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header35.xml" ContentType="application/vnd.openxmlformats-officedocument.wordprocessingml.header+xml"/>
  <Override PartName="/word/footer35.xml" ContentType="application/vnd.openxmlformats-officedocument.wordprocessingml.footer+xml"/>
  <Override PartName="/word/header36.xml" ContentType="application/vnd.openxmlformats-officedocument.wordprocessingml.header+xml"/>
  <Override PartName="/word/header37.xml" ContentType="application/vnd.openxmlformats-officedocument.wordprocessingml.header+xml"/>
  <Override PartName="/word/footer36.xml" ContentType="application/vnd.openxmlformats-officedocument.wordprocessingml.footer+xml"/>
  <Override PartName="/word/footer37.xml" ContentType="application/vnd.openxmlformats-officedocument.wordprocessingml.footer+xml"/>
  <Override PartName="/word/header38.xml" ContentType="application/vnd.openxmlformats-officedocument.wordprocessingml.header+xml"/>
  <Override PartName="/word/footer38.xml" ContentType="application/vnd.openxmlformats-officedocument.wordprocessingml.footer+xml"/>
  <Override PartName="/word/header39.xml" ContentType="application/vnd.openxmlformats-officedocument.wordprocessingml.header+xml"/>
  <Override PartName="/word/header40.xml" ContentType="application/vnd.openxmlformats-officedocument.wordprocessingml.header+xml"/>
  <Override PartName="/word/footer39.xml" ContentType="application/vnd.openxmlformats-officedocument.wordprocessingml.footer+xml"/>
  <Override PartName="/word/footer40.xml" ContentType="application/vnd.openxmlformats-officedocument.wordprocessingml.footer+xml"/>
  <Override PartName="/word/header41.xml" ContentType="application/vnd.openxmlformats-officedocument.wordprocessingml.header+xml"/>
  <Override PartName="/word/footer41.xml" ContentType="application/vnd.openxmlformats-officedocument.wordprocessingml.footer+xml"/>
  <Override PartName="/word/header42.xml" ContentType="application/vnd.openxmlformats-officedocument.wordprocessingml.header+xml"/>
  <Override PartName="/word/header43.xml" ContentType="application/vnd.openxmlformats-officedocument.wordprocessingml.header+xml"/>
  <Override PartName="/word/footer42.xml" ContentType="application/vnd.openxmlformats-officedocument.wordprocessingml.footer+xml"/>
  <Override PartName="/word/footer43.xml" ContentType="application/vnd.openxmlformats-officedocument.wordprocessingml.footer+xml"/>
  <Override PartName="/word/header44.xml" ContentType="application/vnd.openxmlformats-officedocument.wordprocessingml.head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footer46.xml" ContentType="application/vnd.openxmlformats-officedocument.wordprocessingml.footer+xml"/>
  <Override PartName="/word/header47.xml" ContentType="application/vnd.openxmlformats-officedocument.wordprocessingml.head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footer49.xml" ContentType="application/vnd.openxmlformats-officedocument.wordprocessingml.footer+xml"/>
  <Override PartName="/word/header50.xml" ContentType="application/vnd.openxmlformats-officedocument.wordprocessingml.header+xml"/>
  <Override PartName="/word/header51.xml" ContentType="application/vnd.openxmlformats-officedocument.wordprocessingml.header+xml"/>
  <Override PartName="/word/footer50.xml" ContentType="application/vnd.openxmlformats-officedocument.wordprocessingml.footer+xml"/>
  <Override PartName="/word/footer51.xml" ContentType="application/vnd.openxmlformats-officedocument.wordprocessingml.footer+xml"/>
  <Override PartName="/word/header52.xml" ContentType="application/vnd.openxmlformats-officedocument.wordprocessingml.header+xml"/>
  <Override PartName="/word/footer52.xml" ContentType="application/vnd.openxmlformats-officedocument.wordprocessingml.footer+xml"/>
  <Override PartName="/word/header53.xml" ContentType="application/vnd.openxmlformats-officedocument.wordprocessingml.head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footer55.xml" ContentType="application/vnd.openxmlformats-officedocument.wordprocessingml.footer+xml"/>
  <Override PartName="/word/header56.xml" ContentType="application/vnd.openxmlformats-officedocument.wordprocessingml.head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footer58.xml" ContentType="application/vnd.openxmlformats-officedocument.wordprocessingml.footer+xml"/>
  <Override PartName="/word/header59.xml" ContentType="application/vnd.openxmlformats-officedocument.wordprocessingml.head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FDBE7C" w14:textId="5135F939" w:rsidR="0023462A" w:rsidRDefault="00B1483A" w:rsidP="00B1483A">
      <w:pPr>
        <w:pStyle w:val="Pagedecouverture"/>
        <w:rPr>
          <w:noProof/>
        </w:rPr>
      </w:pPr>
      <w:bookmarkStart w:id="0" w:name="LW_BM_COVERPAGE"/>
      <w:r>
        <w:rPr>
          <w:noProof/>
        </w:rPr>
        <w:pict w14:anchorId="5DFE38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7F4EDDE-6E05-47F3-911D-1A5D52B4C25B" style="width:455.25pt;height:387pt">
            <v:imagedata r:id="rId11" o:title=""/>
          </v:shape>
        </w:pict>
      </w:r>
    </w:p>
    <w:bookmarkEnd w:id="0"/>
    <w:p w14:paraId="6F738282" w14:textId="77777777" w:rsidR="0023462A" w:rsidRDefault="0023462A">
      <w:pPr>
        <w:rPr>
          <w:noProof/>
        </w:rPr>
        <w:sectPr w:rsidR="0023462A" w:rsidSect="00B1483A">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070973FC" w14:textId="2D78D346" w:rsidR="0023462A" w:rsidRDefault="00A550FA">
      <w:pPr>
        <w:pStyle w:val="P68B1DB1-Normal2"/>
        <w:spacing w:after="120" w:line="240" w:lineRule="auto"/>
        <w:jc w:val="center"/>
        <w:rPr>
          <w:bCs/>
          <w:noProof/>
        </w:rPr>
      </w:pPr>
      <w:bookmarkStart w:id="1" w:name="_GoBack"/>
      <w:bookmarkEnd w:id="1"/>
      <w:r>
        <w:rPr>
          <w:noProof/>
        </w:rPr>
        <w:lastRenderedPageBreak/>
        <w:t>ANNEXE</w:t>
      </w:r>
    </w:p>
    <w:p w14:paraId="4EFF4398" w14:textId="77777777" w:rsidR="0023462A" w:rsidRDefault="0023462A">
      <w:pPr>
        <w:spacing w:after="120" w:line="240" w:lineRule="auto"/>
        <w:jc w:val="center"/>
        <w:rPr>
          <w:rFonts w:ascii="Times New Roman" w:hAnsi="Times New Roman"/>
          <w:b/>
          <w:bCs/>
          <w:noProof/>
          <w:sz w:val="24"/>
          <w:szCs w:val="24"/>
          <w:u w:val="single"/>
        </w:rPr>
      </w:pPr>
    </w:p>
    <w:p w14:paraId="5AEF6C66" w14:textId="5D530E66" w:rsidR="0023462A" w:rsidRDefault="00A550FA">
      <w:pPr>
        <w:pStyle w:val="P68B1DB1-Heading13"/>
        <w:spacing w:before="0" w:after="120"/>
        <w:rPr>
          <w:noProof/>
        </w:rPr>
      </w:pPr>
      <w:r>
        <w:rPr>
          <w:noProof/>
        </w:rPr>
        <w:t>SECTION 1 : RÉFORMES ET INVESTISSEMENTS DANS LE CADRE DU PLAN DE RÉCUPÉRATION ET DE RESILIENCE</w:t>
      </w:r>
    </w:p>
    <w:p w14:paraId="61250697" w14:textId="565C40D6" w:rsidR="0023462A" w:rsidRDefault="00A550FA">
      <w:pPr>
        <w:pStyle w:val="P68B1DB1-ListParagraph4"/>
        <w:numPr>
          <w:ilvl w:val="0"/>
          <w:numId w:val="16"/>
        </w:numPr>
        <w:spacing w:after="120" w:line="240" w:lineRule="auto"/>
        <w:contextualSpacing w:val="0"/>
        <w:jc w:val="both"/>
        <w:rPr>
          <w:rFonts w:eastAsia="Calibri" w:cs="Times New Roman"/>
          <w:noProof/>
          <w:szCs w:val="24"/>
        </w:rPr>
      </w:pPr>
      <w:r>
        <w:rPr>
          <w:noProof/>
        </w:rPr>
        <w:t>Description des réformes et des investissements</w:t>
      </w:r>
    </w:p>
    <w:p w14:paraId="647ABCB3" w14:textId="24412460" w:rsidR="0023462A" w:rsidRDefault="00A550FA">
      <w:pPr>
        <w:pStyle w:val="P68B1DB1-Heading25"/>
        <w:keepLines w:val="0"/>
        <w:spacing w:before="0" w:after="120"/>
        <w:jc w:val="both"/>
        <w:rPr>
          <w:noProof/>
        </w:rPr>
      </w:pPr>
      <w:r>
        <w:rPr>
          <w:noProof/>
        </w:rPr>
        <w:t>A. Élément 1: DÉMOGRAPHIE ET ÉDUCATION PUBLIQUE</w:t>
      </w:r>
    </w:p>
    <w:p w14:paraId="53A603CE" w14:textId="76B39739" w:rsidR="0023462A" w:rsidRDefault="00A550FA">
      <w:pPr>
        <w:pStyle w:val="P68B1DB1-Normal6"/>
        <w:spacing w:after="120" w:line="240" w:lineRule="auto"/>
        <w:jc w:val="both"/>
        <w:rPr>
          <w:rFonts w:eastAsiaTheme="minorHAnsi"/>
          <w:noProof/>
        </w:rPr>
      </w:pPr>
      <w:r>
        <w:rPr>
          <w:noProof/>
        </w:rPr>
        <w:t xml:space="preserve">Ce volet du plan hongrois pour la reprise et la résilience porte sur les défis liés à l’accès inclusif à une éducation scolaire de qualité, à l’intégration des groupes vulnérables sur le marché du travail et, plus généralement, à l’évolution démographique de l’économie, des finances publiques et de la société hongroises. </w:t>
      </w:r>
    </w:p>
    <w:p w14:paraId="22ECDB71" w14:textId="77777777" w:rsidR="0023462A" w:rsidRDefault="00A550FA">
      <w:pPr>
        <w:pStyle w:val="P68B1DB1-Normal6"/>
        <w:spacing w:after="120" w:line="240" w:lineRule="auto"/>
        <w:jc w:val="both"/>
        <w:rPr>
          <w:rFonts w:eastAsiaTheme="minorHAnsi"/>
          <w:noProof/>
        </w:rPr>
      </w:pPr>
      <w:r>
        <w:rPr>
          <w:noProof/>
        </w:rPr>
        <w:t xml:space="preserve">Les principaux objectifs du volet sont les suivants: </w:t>
      </w:r>
    </w:p>
    <w:p w14:paraId="73AB3D36" w14:textId="77777777" w:rsidR="0023462A" w:rsidRDefault="00A550FA">
      <w:pPr>
        <w:pStyle w:val="P68B1DB1-ListParagraph7"/>
        <w:numPr>
          <w:ilvl w:val="0"/>
          <w:numId w:val="3"/>
        </w:numPr>
        <w:spacing w:after="120" w:line="240" w:lineRule="auto"/>
        <w:contextualSpacing w:val="0"/>
        <w:jc w:val="both"/>
        <w:rPr>
          <w:noProof/>
        </w:rPr>
      </w:pPr>
      <w:r>
        <w:rPr>
          <w:noProof/>
        </w:rPr>
        <w:t>améliorer l’accès à une éducation scolaire de qualité en fournissant aux élèves et aux enseignants les dispositifs nécessaires pour participer à une éducation numérique moderne et en développant leurs compétences numériques;</w:t>
      </w:r>
    </w:p>
    <w:p w14:paraId="0B58458B" w14:textId="77777777" w:rsidR="0023462A" w:rsidRDefault="00A550FA">
      <w:pPr>
        <w:pStyle w:val="P68B1DB1-ListParagraph7"/>
        <w:numPr>
          <w:ilvl w:val="0"/>
          <w:numId w:val="3"/>
        </w:numPr>
        <w:spacing w:after="120" w:line="240" w:lineRule="auto"/>
        <w:contextualSpacing w:val="0"/>
        <w:jc w:val="both"/>
        <w:rPr>
          <w:noProof/>
        </w:rPr>
      </w:pPr>
      <w:r>
        <w:rPr>
          <w:noProof/>
        </w:rPr>
        <w:t>accroître la participation des élèves défavorisés et des étudiants ayant des besoins éducatifs spéciaux à un enseignement ordinaire de qualité;</w:t>
      </w:r>
    </w:p>
    <w:p w14:paraId="5470A1F6" w14:textId="77777777" w:rsidR="0023462A" w:rsidRDefault="00A550FA">
      <w:pPr>
        <w:pStyle w:val="P68B1DB1-ListParagraph7"/>
        <w:numPr>
          <w:ilvl w:val="0"/>
          <w:numId w:val="3"/>
        </w:numPr>
        <w:spacing w:after="120" w:line="240" w:lineRule="auto"/>
        <w:contextualSpacing w:val="0"/>
        <w:jc w:val="both"/>
        <w:rPr>
          <w:noProof/>
        </w:rPr>
      </w:pPr>
      <w:r>
        <w:rPr>
          <w:noProof/>
        </w:rPr>
        <w:t>réduire le risque de ségrégation dans les écoles;</w:t>
      </w:r>
    </w:p>
    <w:p w14:paraId="00024A9D" w14:textId="4F412216" w:rsidR="0023462A" w:rsidRDefault="00A550FA">
      <w:pPr>
        <w:pStyle w:val="P68B1DB1-ListParagraph7"/>
        <w:numPr>
          <w:ilvl w:val="0"/>
          <w:numId w:val="3"/>
        </w:numPr>
        <w:spacing w:after="120" w:line="240" w:lineRule="auto"/>
        <w:contextualSpacing w:val="0"/>
        <w:jc w:val="both"/>
        <w:rPr>
          <w:noProof/>
        </w:rPr>
      </w:pPr>
      <w:r>
        <w:rPr>
          <w:noProof/>
        </w:rPr>
        <w:t>accroître l’attractivité de la profession d’enseignant et renforcer les compétences des enseignants;</w:t>
      </w:r>
    </w:p>
    <w:p w14:paraId="72F52041" w14:textId="10C57592" w:rsidR="0023462A" w:rsidRDefault="00A550FA">
      <w:pPr>
        <w:pStyle w:val="P68B1DB1-ListParagraph7"/>
        <w:numPr>
          <w:ilvl w:val="0"/>
          <w:numId w:val="3"/>
        </w:numPr>
        <w:spacing w:after="120" w:line="240" w:lineRule="auto"/>
        <w:contextualSpacing w:val="0"/>
        <w:jc w:val="both"/>
        <w:rPr>
          <w:noProof/>
        </w:rPr>
      </w:pPr>
      <w:r>
        <w:rPr>
          <w:noProof/>
        </w:rPr>
        <w:t>améliorer l’accès à l’éducation et à l’accueil de la petite enfance afin de réduire les inégalités sociales et de faciliter l’intégration des groupes vulnérables sur le marché du travail;</w:t>
      </w:r>
    </w:p>
    <w:p w14:paraId="6CD26332" w14:textId="77777777" w:rsidR="0023462A" w:rsidRDefault="00A550FA">
      <w:pPr>
        <w:pStyle w:val="P68B1DB1-Normal9"/>
        <w:spacing w:after="120" w:line="240" w:lineRule="auto"/>
        <w:jc w:val="both"/>
        <w:rPr>
          <w:rFonts w:eastAsiaTheme="minorHAnsi"/>
          <w:noProof/>
        </w:rPr>
      </w:pPr>
      <w:r>
        <w:rPr>
          <w:noProof/>
        </w:rPr>
        <w:t>Ce volet comprend des mesures reflétant les principes du socle européen des droits sociaux en matière d’éducation, de formation et d’apprentissage tout au long de la vie, d’égalité entre les hommes et les femmes ainsi que de garde d’enfants et de soutien aux enfants. Le volet soutient également la transition numérique en augmentant les capacités numériques dans l’éducation publique et en renforçant les compétences numériques des élèves et des enseignants. L'accent mis sur la réduction de la ségrégation dans les écoles contribue à la cohésion sociale. Le volet contribue également à la transition écologique, étant donné que les développements d’infrastructures prévus appliquent des normes élevées en matière d’efficacité énergétique.</w:t>
      </w:r>
    </w:p>
    <w:p w14:paraId="5E34743E" w14:textId="77777777" w:rsidR="0023462A" w:rsidRDefault="00A550FA">
      <w:pPr>
        <w:pStyle w:val="P68B1DB1-Normal9"/>
        <w:spacing w:after="120" w:line="240" w:lineRule="auto"/>
        <w:jc w:val="both"/>
        <w:rPr>
          <w:rFonts w:eastAsiaTheme="minorHAnsi"/>
          <w:noProof/>
        </w:rPr>
      </w:pPr>
      <w:r>
        <w:rPr>
          <w:noProof/>
        </w:rPr>
        <w:t>Ce volet est conforme à la stratégie hongroise d’éducation du public élaborée pour la période 2021-2030, au plan national hongrois en matière d’énergie et de climat, à la stratégie nationale en matière d’énergie à l’horizon 2030 et à la stratégie nationale pour un développement propre.</w:t>
      </w:r>
    </w:p>
    <w:p w14:paraId="1D5C4AC3" w14:textId="0A9F36FD" w:rsidR="0023462A" w:rsidRDefault="00A550FA">
      <w:pPr>
        <w:pStyle w:val="P68B1DB1-Normal6"/>
        <w:spacing w:after="120" w:line="240" w:lineRule="auto"/>
        <w:jc w:val="both"/>
        <w:rPr>
          <w:rFonts w:eastAsiaTheme="minorHAnsi"/>
          <w:noProof/>
        </w:rPr>
      </w:pPr>
      <w:r>
        <w:rPr>
          <w:noProof/>
        </w:rPr>
        <w:t xml:space="preserve">Ce volet contribue à donner suite aux recommandations par pays sur la nécessité de poursuivre l’intégration sur le marché du travail des groupes les plus vulnérables, en particulier par le renforcement des compétences, d’améliorer les résultats scolaires et d’accroître la participation des groupes défavorisés, en particulier les Roms, à une éducation ordinaire de qualité (recommandation par pays no 2 en 2019 et recommandation par pays no 3 en 2022), de contribuer à la participation des femmes au marché du travail (recommandation par pays no 4 en 2019), de concentrer la politique économique liée aux investissements sur l’efficacité énergétique et l’utilisation efficace des ressources (recommandation par pays no 3 en 2019), de garantir l’accès à des services essentiels et une éducation de qualité pour tous (recommandation par pays no 2 en 2020), de concentrer les investissements sur la transition écologique et numérique et les infrastructures numériques pour les écoles (recommandation par pays no 3 en 2019). </w:t>
      </w:r>
    </w:p>
    <w:p w14:paraId="78ACE551" w14:textId="77777777" w:rsidR="0023462A" w:rsidRDefault="00A550FA">
      <w:pPr>
        <w:pStyle w:val="P68B1DB1-Normal9"/>
        <w:spacing w:after="120" w:line="240" w:lineRule="auto"/>
        <w:jc w:val="both"/>
        <w:rPr>
          <w:rFonts w:eastAsiaTheme="minorHAnsi"/>
          <w:noProof/>
        </w:rPr>
      </w:pPr>
      <w:r>
        <w:rPr>
          <w:noProof/>
        </w:rPr>
        <w:t xml:space="preserve">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 </w:t>
      </w:r>
    </w:p>
    <w:p w14:paraId="1BE64366" w14:textId="77777777" w:rsidR="0023462A" w:rsidRDefault="00A550FA">
      <w:pPr>
        <w:pStyle w:val="P68B1DB1-Heading310"/>
        <w:spacing w:before="0" w:after="120"/>
        <w:rPr>
          <w:noProof/>
        </w:rPr>
      </w:pPr>
      <w:r>
        <w:rPr>
          <w:noProof/>
        </w:rPr>
        <w:t xml:space="preserve">A.1. </w:t>
      </w:r>
      <w:r>
        <w:rPr>
          <w:noProof/>
        </w:rPr>
        <w:tab/>
        <w:t>Description des réformes et des investissements pour le soutien financier non remboursable</w:t>
      </w:r>
    </w:p>
    <w:p w14:paraId="6BB453FA" w14:textId="3117EBA9" w:rsidR="0023462A" w:rsidRDefault="00A550FA">
      <w:pPr>
        <w:pStyle w:val="P68B1DB1-Heading411"/>
        <w:spacing w:before="0" w:after="120" w:line="240" w:lineRule="auto"/>
        <w:rPr>
          <w:rFonts w:eastAsiaTheme="minorHAnsi"/>
          <w:noProof/>
        </w:rPr>
      </w:pPr>
      <w:r>
        <w:rPr>
          <w:noProof/>
        </w:rPr>
        <w:t>C1.I1 : Développement d'une éducation publique compétitive utilisant la technologie</w:t>
      </w:r>
      <w:r>
        <w:rPr>
          <w:noProof/>
          <w:vertAlign w:val="superscript"/>
        </w:rPr>
        <w:t xml:space="preserve"> du 21e siècle</w:t>
      </w:r>
    </w:p>
    <w:p w14:paraId="0006994E" w14:textId="72ACE3B3" w:rsidR="0023462A" w:rsidRDefault="00A550FA">
      <w:pPr>
        <w:pStyle w:val="P68B1DB1-Normal12"/>
        <w:keepNext/>
        <w:spacing w:after="120" w:line="240" w:lineRule="auto"/>
        <w:jc w:val="both"/>
        <w:rPr>
          <w:rFonts w:ascii="Times New Roman" w:eastAsiaTheme="minorHAnsi" w:hAnsi="Times New Roman" w:cs="Times New Roman"/>
          <w:noProof/>
          <w:szCs w:val="24"/>
        </w:rPr>
      </w:pPr>
      <w:r>
        <w:rPr>
          <w:rFonts w:ascii="Times New Roman" w:hAnsi="Times New Roman"/>
          <w:noProof/>
        </w:rPr>
        <w:t xml:space="preserve">L’objectif de la </w:t>
      </w:r>
      <w:r>
        <w:rPr>
          <w:rFonts w:ascii="Times New Roman" w:hAnsi="Times New Roman" w:cs="Times New Roman"/>
          <w:noProof/>
          <w:szCs w:val="24"/>
        </w:rPr>
        <w:t>mesure</w:t>
      </w:r>
      <w:r>
        <w:rPr>
          <w:rFonts w:ascii="Times New Roman" w:hAnsi="Times New Roman"/>
          <w:noProof/>
        </w:rPr>
        <w:t xml:space="preserve"> est de soutenir la transformation numérique de l’éducation publique en augmentant la disponibilité d’appareils et d’outils numériques </w:t>
      </w:r>
      <w:r>
        <w:rPr>
          <w:rFonts w:ascii="Times New Roman" w:hAnsi="Times New Roman" w:cs="Times New Roman"/>
          <w:noProof/>
          <w:szCs w:val="24"/>
        </w:rPr>
        <w:t xml:space="preserve">dans les écoles. </w:t>
      </w:r>
    </w:p>
    <w:p w14:paraId="746C6778" w14:textId="2A926350" w:rsidR="0023462A" w:rsidRDefault="00A550FA">
      <w:pPr>
        <w:pStyle w:val="P68B1DB1-Normal12"/>
        <w:spacing w:after="120" w:line="240" w:lineRule="auto"/>
        <w:jc w:val="both"/>
        <w:rPr>
          <w:rFonts w:ascii="Times New Roman" w:hAnsi="Times New Roman"/>
          <w:b/>
          <w:noProof/>
        </w:rPr>
      </w:pPr>
      <w:r>
        <w:rPr>
          <w:rFonts w:ascii="Times New Roman" w:hAnsi="Times New Roman" w:cs="Times New Roman"/>
          <w:noProof/>
          <w:szCs w:val="24"/>
        </w:rPr>
        <w:t>Cette mesure consiste</w:t>
      </w:r>
      <w:r>
        <w:rPr>
          <w:rFonts w:ascii="Times New Roman" w:hAnsi="Times New Roman"/>
          <w:noProof/>
        </w:rPr>
        <w:t xml:space="preserve"> à </w:t>
      </w:r>
      <w:r>
        <w:rPr>
          <w:rFonts w:ascii="Times New Roman" w:hAnsi="Times New Roman" w:cs="Times New Roman"/>
          <w:noProof/>
          <w:szCs w:val="24"/>
        </w:rPr>
        <w:t>fournir des appareils numériques aux établissements d’enseignement scolaire et au centre d’administration scolaire (Klebelsberg Központ).</w:t>
      </w:r>
    </w:p>
    <w:p w14:paraId="7DCA6BBD" w14:textId="77777777" w:rsidR="0023462A" w:rsidRDefault="00A550FA">
      <w:pPr>
        <w:pStyle w:val="P68B1DB1-Heading411"/>
        <w:spacing w:before="0" w:after="120" w:line="240" w:lineRule="auto"/>
        <w:rPr>
          <w:rFonts w:eastAsiaTheme="minorHAnsi"/>
          <w:noProof/>
        </w:rPr>
      </w:pPr>
      <w:r>
        <w:rPr>
          <w:noProof/>
        </w:rPr>
        <w:t>C1.I2 : Soutenir l'éducation des élèves ayant des besoins éducatifs spéciaux</w:t>
      </w:r>
    </w:p>
    <w:p w14:paraId="685E8FD9" w14:textId="4CF8BB52" w:rsidR="0023462A" w:rsidRDefault="00A550FA">
      <w:pPr>
        <w:pStyle w:val="P68B1DB1-Normal17"/>
        <w:spacing w:after="120" w:line="240" w:lineRule="auto"/>
        <w:jc w:val="both"/>
        <w:rPr>
          <w:rFonts w:ascii="Times New Roman" w:eastAsiaTheme="minorHAnsi" w:hAnsi="Times New Roman"/>
          <w:noProof/>
        </w:rPr>
      </w:pPr>
      <w:r>
        <w:rPr>
          <w:rFonts w:ascii="Times New Roman" w:hAnsi="Times New Roman"/>
          <w:noProof/>
        </w:rPr>
        <w:t xml:space="preserve">L’objectif  de </w:t>
      </w:r>
      <w:r>
        <w:rPr>
          <w:rFonts w:ascii="Times New Roman" w:eastAsia="Calibri" w:hAnsi="Times New Roman" w:cs="Times New Roman"/>
          <w:noProof/>
          <w:szCs w:val="24"/>
        </w:rPr>
        <w:t>la mesure est d’améliorer</w:t>
      </w:r>
      <w:r>
        <w:rPr>
          <w:rFonts w:ascii="Times New Roman" w:hAnsi="Times New Roman"/>
          <w:noProof/>
        </w:rPr>
        <w:t xml:space="preserve">  la qualité des services spécialisés </w:t>
      </w:r>
      <w:r>
        <w:rPr>
          <w:rFonts w:ascii="Times New Roman" w:eastAsia="Calibri" w:hAnsi="Times New Roman" w:cs="Times New Roman"/>
          <w:noProof/>
          <w:szCs w:val="24"/>
        </w:rPr>
        <w:t>destinés</w:t>
      </w:r>
      <w:r>
        <w:rPr>
          <w:rFonts w:ascii="Times New Roman" w:hAnsi="Times New Roman"/>
          <w:noProof/>
        </w:rPr>
        <w:t xml:space="preserve"> aux écoles intégrant des élèves ayant des besoins éducatifs spéciaux, aux établissements de soins de longue durée</w:t>
      </w:r>
      <w:r>
        <w:rPr>
          <w:rFonts w:ascii="Times New Roman" w:eastAsia="Calibri" w:hAnsi="Times New Roman" w:cs="Times New Roman"/>
          <w:noProof/>
          <w:szCs w:val="24"/>
        </w:rPr>
        <w:t xml:space="preserve"> et</w:t>
      </w:r>
      <w:r>
        <w:rPr>
          <w:rFonts w:ascii="Times New Roman" w:hAnsi="Times New Roman"/>
          <w:noProof/>
        </w:rPr>
        <w:t xml:space="preserve"> aux établissements </w:t>
      </w:r>
      <w:r>
        <w:rPr>
          <w:rFonts w:ascii="Times New Roman" w:eastAsia="Calibri" w:hAnsi="Times New Roman" w:cs="Times New Roman"/>
          <w:noProof/>
          <w:szCs w:val="24"/>
        </w:rPr>
        <w:t>nécessitant un</w:t>
      </w:r>
      <w:r>
        <w:rPr>
          <w:rFonts w:ascii="Times New Roman" w:hAnsi="Times New Roman"/>
          <w:noProof/>
        </w:rPr>
        <w:t xml:space="preserve"> </w:t>
      </w:r>
      <w:r>
        <w:rPr>
          <w:rFonts w:ascii="Times New Roman" w:eastAsia="Calibri" w:hAnsi="Times New Roman" w:cs="Times New Roman"/>
          <w:noProof/>
          <w:szCs w:val="24"/>
        </w:rPr>
        <w:t>soutien</w:t>
      </w:r>
      <w:r>
        <w:rPr>
          <w:rFonts w:ascii="Times New Roman" w:hAnsi="Times New Roman"/>
          <w:noProof/>
        </w:rPr>
        <w:t xml:space="preserve"> pédagogique spécialisé. </w:t>
      </w:r>
    </w:p>
    <w:p w14:paraId="542D5756" w14:textId="1A50836A" w:rsidR="0023462A" w:rsidRDefault="00A550FA">
      <w:pPr>
        <w:pStyle w:val="P68B1DB1-Normal18"/>
        <w:spacing w:after="120" w:line="240" w:lineRule="auto"/>
        <w:jc w:val="both"/>
        <w:rPr>
          <w:b/>
          <w:noProof/>
        </w:rPr>
      </w:pPr>
      <w:r>
        <w:rPr>
          <w:noProof/>
        </w:rPr>
        <w:t xml:space="preserve">Cette mesure consiste à fournir des services de soutien spécialisés aux établissements d’enseignement public qui intègrent des enfants et des élèves ayant des besoins éducatifs spéciaux. </w:t>
      </w:r>
    </w:p>
    <w:p w14:paraId="6A7C5681" w14:textId="1DCE4A0F" w:rsidR="0023462A" w:rsidRDefault="00A550FA">
      <w:pPr>
        <w:pStyle w:val="P68B1DB1-Heading411"/>
        <w:spacing w:before="0" w:after="120" w:line="240" w:lineRule="auto"/>
        <w:rPr>
          <w:rFonts w:eastAsiaTheme="minorHAnsi"/>
          <w:noProof/>
        </w:rPr>
      </w:pPr>
      <w:r>
        <w:rPr>
          <w:noProof/>
        </w:rPr>
        <w:t>C1.R1 : Réduction du risque de ségrégation dans les écoles</w:t>
      </w:r>
    </w:p>
    <w:p w14:paraId="3F0F9204" w14:textId="3306D79B" w:rsidR="0023462A" w:rsidRDefault="00A550FA">
      <w:pPr>
        <w:pStyle w:val="P68B1DB1-Normal12"/>
        <w:spacing w:after="120" w:line="240" w:lineRule="auto"/>
        <w:jc w:val="both"/>
        <w:rPr>
          <w:rFonts w:ascii="Times New Roman" w:eastAsiaTheme="minorHAnsi" w:hAnsi="Times New Roman"/>
          <w:noProof/>
        </w:rPr>
      </w:pPr>
      <w:r>
        <w:rPr>
          <w:rFonts w:ascii="Times New Roman" w:hAnsi="Times New Roman"/>
          <w:noProof/>
        </w:rPr>
        <w:t xml:space="preserve">L'objectif de la réforme est d'améliorer  l'égalité d'accès à une éducation de qualité et de réduire la ségrégation </w:t>
      </w:r>
      <w:r>
        <w:rPr>
          <w:rFonts w:ascii="Times New Roman" w:hAnsi="Times New Roman" w:cs="Times New Roman"/>
          <w:noProof/>
          <w:szCs w:val="24"/>
        </w:rPr>
        <w:t xml:space="preserve">scolaire. </w:t>
      </w:r>
      <w:r>
        <w:rPr>
          <w:rFonts w:ascii="Times New Roman" w:hAnsi="Times New Roman"/>
          <w:noProof/>
        </w:rPr>
        <w:t xml:space="preserve"> </w:t>
      </w:r>
    </w:p>
    <w:p w14:paraId="060B6F6A" w14:textId="5AC6E7CF" w:rsidR="0023462A" w:rsidRDefault="00A550FA">
      <w:pPr>
        <w:pStyle w:val="P68B1DB1-Normal12"/>
        <w:spacing w:after="120" w:line="240" w:lineRule="auto"/>
        <w:jc w:val="both"/>
        <w:rPr>
          <w:rFonts w:ascii="Times New Roman" w:hAnsi="Times New Roman"/>
          <w:b/>
          <w:noProof/>
        </w:rPr>
      </w:pPr>
      <w:r>
        <w:rPr>
          <w:rFonts w:ascii="Times New Roman" w:hAnsi="Times New Roman"/>
          <w:noProof/>
        </w:rPr>
        <w:t xml:space="preserve">La mesure </w:t>
      </w:r>
      <w:r>
        <w:rPr>
          <w:rFonts w:ascii="Times New Roman" w:hAnsi="Times New Roman" w:cs="Times New Roman"/>
          <w:noProof/>
          <w:szCs w:val="24"/>
        </w:rPr>
        <w:t>consiste en l’entrée en vigueur d’actes</w:t>
      </w:r>
      <w:r>
        <w:rPr>
          <w:rFonts w:ascii="Times New Roman" w:hAnsi="Times New Roman"/>
          <w:noProof/>
        </w:rPr>
        <w:t xml:space="preserve"> juridiques visant à réduire le soutien de l’État aux écoles primaires et secondaires du premier cycle (de la 1re à la 8e année) comptant une faible proportion d’élèves défavorisés. </w:t>
      </w:r>
    </w:p>
    <w:p w14:paraId="7FBDEF0D" w14:textId="7427FACD" w:rsidR="0023462A" w:rsidRDefault="00A550FA">
      <w:pPr>
        <w:pStyle w:val="P68B1DB1-Heading411"/>
        <w:spacing w:before="0" w:after="120" w:line="240" w:lineRule="auto"/>
        <w:rPr>
          <w:rFonts w:eastAsiaTheme="minorHAnsi"/>
          <w:noProof/>
        </w:rPr>
      </w:pPr>
      <w:r>
        <w:rPr>
          <w:noProof/>
        </w:rPr>
        <w:t>C1.R2 : Accroître l'attractivité de la profession enseignante</w:t>
      </w:r>
    </w:p>
    <w:p w14:paraId="3488B2BF" w14:textId="62C89994" w:rsidR="0023462A" w:rsidRDefault="00A550FA">
      <w:pPr>
        <w:pStyle w:val="P68B1DB1-Normal12"/>
        <w:spacing w:after="120" w:line="240" w:lineRule="auto"/>
        <w:jc w:val="both"/>
        <w:rPr>
          <w:rFonts w:ascii="Times New Roman" w:eastAsiaTheme="minorHAnsi" w:hAnsi="Times New Roman"/>
          <w:noProof/>
        </w:rPr>
      </w:pPr>
      <w:r>
        <w:rPr>
          <w:rFonts w:ascii="Times New Roman" w:hAnsi="Times New Roman"/>
          <w:noProof/>
        </w:rPr>
        <w:t xml:space="preserve">L’objectif de cette mesure est d’accroître  l’attractivité de la profession d’enseignant et </w:t>
      </w:r>
      <w:r>
        <w:rPr>
          <w:rFonts w:ascii="Times New Roman" w:hAnsi="Times New Roman" w:cs="Times New Roman"/>
          <w:noProof/>
          <w:szCs w:val="24"/>
        </w:rPr>
        <w:t xml:space="preserve">de </w:t>
      </w:r>
      <w:r>
        <w:rPr>
          <w:rFonts w:ascii="Times New Roman" w:hAnsi="Times New Roman"/>
          <w:noProof/>
        </w:rPr>
        <w:t xml:space="preserve">réduire les </w:t>
      </w:r>
      <w:r>
        <w:rPr>
          <w:rFonts w:ascii="Times New Roman" w:hAnsi="Times New Roman" w:cs="Times New Roman"/>
          <w:noProof/>
          <w:szCs w:val="24"/>
        </w:rPr>
        <w:t>pénuries d’enseignants.</w:t>
      </w:r>
      <w:r>
        <w:rPr>
          <w:rFonts w:ascii="Times New Roman" w:hAnsi="Times New Roman"/>
          <w:noProof/>
        </w:rPr>
        <w:t xml:space="preserve"> </w:t>
      </w:r>
    </w:p>
    <w:p w14:paraId="38B708FD" w14:textId="3D9238D0" w:rsidR="0023462A" w:rsidRDefault="00A550FA">
      <w:pPr>
        <w:pStyle w:val="P68B1DB1-Normal12"/>
        <w:spacing w:after="120" w:line="240" w:lineRule="auto"/>
        <w:jc w:val="both"/>
        <w:rPr>
          <w:rFonts w:ascii="Times New Roman" w:hAnsi="Times New Roman"/>
          <w:noProof/>
        </w:rPr>
      </w:pPr>
      <w:r>
        <w:rPr>
          <w:rFonts w:ascii="Times New Roman" w:hAnsi="Times New Roman"/>
          <w:noProof/>
        </w:rPr>
        <w:t xml:space="preserve">La mesure </w:t>
      </w:r>
      <w:r>
        <w:rPr>
          <w:rFonts w:ascii="Times New Roman" w:hAnsi="Times New Roman" w:cs="Times New Roman"/>
          <w:noProof/>
          <w:szCs w:val="24"/>
        </w:rPr>
        <w:t xml:space="preserve">consiste en l’entrée en vigueur d’un ou de plusieurs actes juridiques visant à porter progressivement le salaire des enseignants à au moins 80 % du salaire moyen des diplômés de l’enseignement supérieur en 2025 et à le maintenir au même niveau jusqu’au </w:t>
      </w:r>
      <w:r>
        <w:rPr>
          <w:rFonts w:ascii="Times New Roman" w:hAnsi="Times New Roman"/>
          <w:noProof/>
        </w:rPr>
        <w:t xml:space="preserve">31 décembre </w:t>
      </w:r>
      <w:r>
        <w:rPr>
          <w:rFonts w:ascii="Times New Roman" w:hAnsi="Times New Roman" w:cs="Times New Roman"/>
          <w:noProof/>
          <w:szCs w:val="24"/>
        </w:rPr>
        <w:t>2031</w:t>
      </w:r>
      <w:r>
        <w:rPr>
          <w:rFonts w:ascii="Times New Roman" w:hAnsi="Times New Roman"/>
          <w:noProof/>
        </w:rPr>
        <w:t xml:space="preserve"> au moins. </w:t>
      </w:r>
    </w:p>
    <w:p w14:paraId="60E09232" w14:textId="0D8E62B9" w:rsidR="0023462A" w:rsidRDefault="00A550FA">
      <w:pPr>
        <w:pStyle w:val="P68B1DB1-Heading411"/>
        <w:spacing w:before="0" w:after="120" w:line="240" w:lineRule="auto"/>
        <w:rPr>
          <w:rFonts w:eastAsiaTheme="minorHAnsi"/>
          <w:noProof/>
        </w:rPr>
      </w:pPr>
      <w:r>
        <w:rPr>
          <w:noProof/>
        </w:rPr>
        <w:t>C1.I3 : Construction d'établissements de garde d'enfants</w:t>
      </w:r>
    </w:p>
    <w:p w14:paraId="22558286" w14:textId="0B319CA4" w:rsidR="0023462A" w:rsidRDefault="00A550FA">
      <w:pPr>
        <w:pStyle w:val="P68B1DB1-Normal6"/>
        <w:spacing w:after="120" w:line="240" w:lineRule="auto"/>
        <w:jc w:val="both"/>
        <w:rPr>
          <w:rFonts w:eastAsiaTheme="minorHAnsi"/>
          <w:noProof/>
        </w:rPr>
      </w:pPr>
      <w:r>
        <w:rPr>
          <w:noProof/>
        </w:rPr>
        <w:t xml:space="preserve">L’objectif </w:t>
      </w:r>
      <w:r>
        <w:rPr>
          <w:noProof/>
          <w:shd w:val="clear" w:color="auto" w:fill="FFFFFF"/>
        </w:rPr>
        <w:t>de l’investissement est d’accroître la disponibilité des services d’éducation de la petite enfance en créant de nouvelles places en crèche.</w:t>
      </w:r>
    </w:p>
    <w:p w14:paraId="2A762A50" w14:textId="11D3D102" w:rsidR="0023462A" w:rsidRDefault="00A550FA">
      <w:pPr>
        <w:pStyle w:val="P68B1DB1-Normal17"/>
        <w:spacing w:after="120" w:line="240" w:lineRule="auto"/>
        <w:jc w:val="both"/>
        <w:rPr>
          <w:rFonts w:ascii="Times New Roman" w:hAnsi="Times New Roman" w:cs="Times New Roman"/>
          <w:noProof/>
          <w:szCs w:val="24"/>
        </w:rPr>
      </w:pPr>
      <w:r>
        <w:rPr>
          <w:rFonts w:ascii="Times New Roman" w:hAnsi="Times New Roman" w:cs="Times New Roman"/>
          <w:noProof/>
          <w:szCs w:val="24"/>
        </w:rPr>
        <w:t>Cette</w:t>
      </w:r>
      <w:r>
        <w:rPr>
          <w:rFonts w:ascii="Times New Roman" w:hAnsi="Times New Roman"/>
          <w:noProof/>
        </w:rPr>
        <w:t xml:space="preserve"> mesure</w:t>
      </w:r>
      <w:r>
        <w:rPr>
          <w:rFonts w:ascii="Times New Roman" w:hAnsi="Times New Roman" w:cs="Times New Roman"/>
          <w:noProof/>
          <w:szCs w:val="24"/>
        </w:rPr>
        <w:t xml:space="preserve"> consiste en la construction de structures de garde d'enfants.</w:t>
      </w:r>
      <w:r>
        <w:rPr>
          <w:rFonts w:ascii="Times New Roman" w:hAnsi="Times New Roman"/>
          <w:noProof/>
        </w:rPr>
        <w:t xml:space="preserve"> </w:t>
      </w:r>
    </w:p>
    <w:p w14:paraId="79ABA059" w14:textId="0605E317" w:rsidR="0023462A" w:rsidRDefault="00A550FA">
      <w:pPr>
        <w:pStyle w:val="P68B1DB1-Heading411"/>
        <w:spacing w:before="0" w:after="120" w:line="240" w:lineRule="auto"/>
        <w:rPr>
          <w:noProof/>
        </w:rPr>
      </w:pPr>
      <w:r>
        <w:rPr>
          <w:noProof/>
        </w:rPr>
        <w:t>C1.I4 : Modernisation des infrastructures scolaires</w:t>
      </w:r>
    </w:p>
    <w:p w14:paraId="1E723E42" w14:textId="56125595" w:rsidR="0023462A" w:rsidRDefault="00A550FA">
      <w:pPr>
        <w:pStyle w:val="P68B1DB1-Normal9"/>
        <w:spacing w:after="120" w:line="240" w:lineRule="auto"/>
        <w:jc w:val="both"/>
        <w:rPr>
          <w:noProof/>
        </w:rPr>
      </w:pPr>
      <w:r>
        <w:rPr>
          <w:noProof/>
        </w:rPr>
        <w:t>L’objectif de l’investissement est d’accroître les capacités dans l’enseignement primaire et secondaire en modernisant les infrastructures scolaires et le matériel pédagogique.</w:t>
      </w:r>
    </w:p>
    <w:p w14:paraId="68DF9B35" w14:textId="674B705D" w:rsidR="0023462A" w:rsidRDefault="00A550FA">
      <w:pPr>
        <w:pStyle w:val="P68B1DB1-Normal9"/>
        <w:spacing w:after="120" w:line="240" w:lineRule="auto"/>
        <w:jc w:val="both"/>
        <w:rPr>
          <w:noProof/>
        </w:rPr>
        <w:sectPr w:rsidR="0023462A" w:rsidSect="00E70FB8">
          <w:headerReference w:type="even" r:id="rId18"/>
          <w:headerReference w:type="default" r:id="rId19"/>
          <w:footerReference w:type="even" r:id="rId20"/>
          <w:footerReference w:type="default" r:id="rId21"/>
          <w:headerReference w:type="first" r:id="rId22"/>
          <w:footerReference w:type="first" r:id="rId23"/>
          <w:pgSz w:w="11907" w:h="16839"/>
          <w:pgMar w:top="1134" w:right="1134" w:bottom="1134" w:left="1134" w:header="567" w:footer="567" w:gutter="0"/>
          <w:cols w:space="720"/>
          <w:docGrid w:linePitch="360"/>
        </w:sectPr>
      </w:pPr>
      <w:r>
        <w:rPr>
          <w:noProof/>
        </w:rPr>
        <w:t>Cette mesure consiste en la construction et la rénovation d'installations scolaires, ainsi qu'en l'achat et l'installation de matériel pédagogique.</w:t>
      </w:r>
    </w:p>
    <w:p w14:paraId="1B524A4A" w14:textId="1F31CAE7" w:rsidR="0023462A" w:rsidRDefault="00A550FA">
      <w:pPr>
        <w:pStyle w:val="P68B1DB1-Heading310"/>
        <w:spacing w:before="0" w:after="120"/>
        <w:rPr>
          <w:noProof/>
        </w:rPr>
      </w:pPr>
      <w:r>
        <w:rPr>
          <w:noProof/>
        </w:rPr>
        <w:t xml:space="preserve">A.2. </w:t>
      </w:r>
      <w:r>
        <w:rPr>
          <w:noProof/>
        </w:rPr>
        <w:tab/>
        <w:t>Étapes, cibles, indicateurs et calendrier pour le suivi et la mise en œuvre du soutien financier non remboursable</w:t>
      </w:r>
    </w:p>
    <w:tbl>
      <w:tblPr>
        <w:tblW w:w="16124" w:type="dxa"/>
        <w:jc w:val="center"/>
        <w:tblLayout w:type="fixed"/>
        <w:tblLook w:val="04A0" w:firstRow="1" w:lastRow="0" w:firstColumn="1" w:lastColumn="0" w:noHBand="0" w:noVBand="1"/>
      </w:tblPr>
      <w:tblGrid>
        <w:gridCol w:w="924"/>
        <w:gridCol w:w="1481"/>
        <w:gridCol w:w="1418"/>
        <w:gridCol w:w="992"/>
        <w:gridCol w:w="1417"/>
        <w:gridCol w:w="1276"/>
        <w:gridCol w:w="1134"/>
        <w:gridCol w:w="992"/>
        <w:gridCol w:w="1134"/>
        <w:gridCol w:w="1560"/>
        <w:gridCol w:w="3796"/>
      </w:tblGrid>
      <w:tr w:rsidR="0023462A" w14:paraId="706C5368" w14:textId="77777777" w:rsidTr="009C289F">
        <w:trPr>
          <w:trHeight w:val="313"/>
          <w:tblHeader/>
          <w:jc w:val="center"/>
        </w:trPr>
        <w:tc>
          <w:tcPr>
            <w:tcW w:w="92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EF8AA69" w14:textId="77777777" w:rsidR="0023462A" w:rsidRDefault="00A550FA">
            <w:pPr>
              <w:pStyle w:val="P68B1DB1-Normal19"/>
              <w:spacing w:after="120" w:line="240" w:lineRule="auto"/>
              <w:jc w:val="center"/>
              <w:rPr>
                <w:noProof/>
              </w:rPr>
            </w:pPr>
            <w:r>
              <w:rPr>
                <w:noProof/>
              </w:rPr>
              <w:t>Numéro de série</w:t>
            </w:r>
          </w:p>
        </w:tc>
        <w:tc>
          <w:tcPr>
            <w:tcW w:w="148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4AE5A74" w14:textId="77777777" w:rsidR="0023462A" w:rsidRDefault="00A550FA">
            <w:pPr>
              <w:pStyle w:val="P68B1DB1-Normal19"/>
              <w:spacing w:after="120" w:line="240" w:lineRule="auto"/>
              <w:jc w:val="center"/>
              <w:rPr>
                <w:rFonts w:eastAsiaTheme="minorHAnsi"/>
                <w:noProof/>
              </w:rPr>
            </w:pPr>
            <w:r>
              <w:rPr>
                <w:noProof/>
              </w:rPr>
              <w:t>Mesure connexe (réforme ou investissement)</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FD10BF4" w14:textId="616B80CC" w:rsidR="0023462A" w:rsidRDefault="00A550FA">
            <w:pPr>
              <w:pStyle w:val="P68B1DB1-Normal19"/>
              <w:spacing w:after="120" w:line="240" w:lineRule="auto"/>
              <w:jc w:val="center"/>
              <w:rPr>
                <w:rFonts w:eastAsiaTheme="minorHAnsi"/>
                <w:noProof/>
              </w:rPr>
            </w:pPr>
            <w:r>
              <w:rPr>
                <w:noProof/>
              </w:rPr>
              <w:t>Étape/objectif</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1C45420" w14:textId="77777777" w:rsidR="0023462A" w:rsidRDefault="00A550FA">
            <w:pPr>
              <w:pStyle w:val="P68B1DB1-Normal19"/>
              <w:spacing w:after="120" w:line="240" w:lineRule="auto"/>
              <w:jc w:val="center"/>
              <w:rPr>
                <w:rFonts w:eastAsiaTheme="minorHAnsi"/>
                <w:noProof/>
              </w:rPr>
            </w:pPr>
            <w:r>
              <w:rPr>
                <w:noProof/>
              </w:rPr>
              <w:t>Nom</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3DC2A37" w14:textId="0E7A8DCD" w:rsidR="0023462A" w:rsidRDefault="00A550FA">
            <w:pPr>
              <w:pStyle w:val="P68B1DB1-Normal20"/>
              <w:spacing w:after="120" w:line="240" w:lineRule="auto"/>
              <w:jc w:val="center"/>
              <w:rPr>
                <w:rFonts w:eastAsiaTheme="minorHAnsi"/>
                <w:b/>
                <w:noProof/>
              </w:rPr>
            </w:pPr>
            <w:r>
              <w:rPr>
                <w:b/>
                <w:noProof/>
              </w:rPr>
              <w:t>Indicateurs qualitatifs</w:t>
            </w:r>
            <w:r>
              <w:rPr>
                <w:noProof/>
              </w:rPr>
              <w:br/>
            </w:r>
            <w:r>
              <w:rPr>
                <w:b/>
                <w:noProof/>
              </w:rPr>
              <w:t>(pour les jalons)</w:t>
            </w:r>
          </w:p>
        </w:tc>
        <w:tc>
          <w:tcPr>
            <w:tcW w:w="3402"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704C4A9B" w14:textId="798C3487" w:rsidR="0023462A" w:rsidRDefault="00A550FA">
            <w:pPr>
              <w:pStyle w:val="P68B1DB1-Normal20"/>
              <w:spacing w:after="120" w:line="240" w:lineRule="auto"/>
              <w:jc w:val="center"/>
              <w:rPr>
                <w:rFonts w:eastAsiaTheme="minorHAnsi"/>
                <w:b/>
                <w:noProof/>
              </w:rPr>
            </w:pPr>
            <w:r>
              <w:rPr>
                <w:b/>
                <w:noProof/>
              </w:rPr>
              <w:t>Indicateurs quantitatifs</w:t>
            </w:r>
            <w:r>
              <w:rPr>
                <w:noProof/>
              </w:rPr>
              <w:br/>
            </w:r>
            <w:r>
              <w:rPr>
                <w:b/>
                <w:noProof/>
              </w:rPr>
              <w:t>(pour les objectifs)</w:t>
            </w:r>
          </w:p>
        </w:tc>
        <w:tc>
          <w:tcPr>
            <w:tcW w:w="2694"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39D71937" w14:textId="239FB769" w:rsidR="0023462A" w:rsidRDefault="00A550FA">
            <w:pPr>
              <w:pStyle w:val="P68B1DB1-Normal20"/>
              <w:spacing w:after="120" w:line="240" w:lineRule="auto"/>
              <w:jc w:val="center"/>
              <w:rPr>
                <w:rFonts w:eastAsiaTheme="minorHAnsi"/>
                <w:b/>
                <w:noProof/>
              </w:rPr>
            </w:pPr>
            <w:r>
              <w:rPr>
                <w:b/>
                <w:noProof/>
              </w:rPr>
              <w:t>Calendrier indicatif d'achèvement</w:t>
            </w:r>
            <w:r>
              <w:rPr>
                <w:noProof/>
              </w:rPr>
              <w:br/>
            </w:r>
          </w:p>
        </w:tc>
        <w:tc>
          <w:tcPr>
            <w:tcW w:w="379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BEF2508" w14:textId="77777777" w:rsidR="0023462A" w:rsidRDefault="00A550FA">
            <w:pPr>
              <w:pStyle w:val="P68B1DB1-Normal19"/>
              <w:spacing w:after="120" w:line="240" w:lineRule="auto"/>
              <w:jc w:val="center"/>
              <w:rPr>
                <w:rFonts w:eastAsiaTheme="minorHAnsi"/>
                <w:noProof/>
              </w:rPr>
            </w:pPr>
            <w:r>
              <w:rPr>
                <w:noProof/>
              </w:rPr>
              <w:t>Description de chaque jalon et cible</w:t>
            </w:r>
          </w:p>
        </w:tc>
      </w:tr>
      <w:tr w:rsidR="0023462A" w14:paraId="0A18FCCC" w14:textId="77777777" w:rsidTr="009C289F">
        <w:trPr>
          <w:trHeight w:val="491"/>
          <w:tblHeader/>
          <w:jc w:val="center"/>
        </w:trPr>
        <w:tc>
          <w:tcPr>
            <w:tcW w:w="924" w:type="dxa"/>
            <w:vMerge/>
            <w:tcBorders>
              <w:top w:val="single" w:sz="4" w:space="0" w:color="auto"/>
              <w:left w:val="single" w:sz="4" w:space="0" w:color="auto"/>
              <w:bottom w:val="single" w:sz="4" w:space="0" w:color="auto"/>
              <w:right w:val="single" w:sz="4" w:space="0" w:color="auto"/>
            </w:tcBorders>
            <w:vAlign w:val="center"/>
            <w:hideMark/>
          </w:tcPr>
          <w:p w14:paraId="06C8C322" w14:textId="77777777" w:rsidR="0023462A" w:rsidRDefault="0023462A">
            <w:pPr>
              <w:spacing w:after="120" w:line="240" w:lineRule="auto"/>
              <w:rPr>
                <w:rFonts w:ascii="Times New Roman" w:hAnsi="Times New Roman"/>
                <w:b/>
                <w:noProof/>
                <w:sz w:val="18"/>
              </w:rPr>
            </w:pPr>
          </w:p>
        </w:tc>
        <w:tc>
          <w:tcPr>
            <w:tcW w:w="1481" w:type="dxa"/>
            <w:vMerge/>
            <w:tcBorders>
              <w:top w:val="single" w:sz="4" w:space="0" w:color="auto"/>
              <w:left w:val="single" w:sz="4" w:space="0" w:color="auto"/>
              <w:bottom w:val="single" w:sz="4" w:space="0" w:color="auto"/>
              <w:right w:val="single" w:sz="4" w:space="0" w:color="auto"/>
            </w:tcBorders>
            <w:vAlign w:val="center"/>
            <w:hideMark/>
          </w:tcPr>
          <w:p w14:paraId="5EF296B0" w14:textId="77777777" w:rsidR="0023462A" w:rsidRDefault="0023462A">
            <w:pPr>
              <w:spacing w:after="120" w:line="240" w:lineRule="auto"/>
              <w:rPr>
                <w:rFonts w:ascii="Times New Roman" w:hAnsi="Times New Roman"/>
                <w:b/>
                <w:noProof/>
                <w:sz w:val="18"/>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1B8BC5A4" w14:textId="77777777" w:rsidR="0023462A" w:rsidRDefault="0023462A">
            <w:pPr>
              <w:spacing w:after="120" w:line="240" w:lineRule="auto"/>
              <w:rPr>
                <w:rFonts w:ascii="Times New Roman" w:hAnsi="Times New Roman"/>
                <w:b/>
                <w:noProof/>
                <w:sz w:val="18"/>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5C29E70A" w14:textId="77777777" w:rsidR="0023462A" w:rsidRDefault="0023462A">
            <w:pPr>
              <w:spacing w:after="120" w:line="240" w:lineRule="auto"/>
              <w:rPr>
                <w:rFonts w:ascii="Times New Roman" w:hAnsi="Times New Roman"/>
                <w:b/>
                <w:noProof/>
                <w:sz w:val="18"/>
              </w:rPr>
            </w:pPr>
          </w:p>
        </w:tc>
        <w:tc>
          <w:tcPr>
            <w:tcW w:w="1417" w:type="dxa"/>
            <w:vMerge/>
            <w:tcBorders>
              <w:top w:val="single" w:sz="4" w:space="0" w:color="auto"/>
              <w:left w:val="single" w:sz="4" w:space="0" w:color="auto"/>
              <w:bottom w:val="single" w:sz="4" w:space="0" w:color="auto"/>
            </w:tcBorders>
            <w:vAlign w:val="center"/>
            <w:hideMark/>
          </w:tcPr>
          <w:p w14:paraId="4E9148E4" w14:textId="77777777" w:rsidR="0023462A" w:rsidRDefault="0023462A">
            <w:pPr>
              <w:spacing w:after="120" w:line="240" w:lineRule="auto"/>
              <w:rPr>
                <w:rFonts w:ascii="Times New Roman" w:hAnsi="Times New Roman"/>
                <w:b/>
                <w:noProof/>
                <w:sz w:val="18"/>
              </w:rPr>
            </w:pPr>
          </w:p>
        </w:tc>
        <w:tc>
          <w:tcPr>
            <w:tcW w:w="127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6A64000" w14:textId="77777777" w:rsidR="0023462A" w:rsidRDefault="00A550FA">
            <w:pPr>
              <w:pStyle w:val="P68B1DB1-Normal19"/>
              <w:spacing w:after="120" w:line="240" w:lineRule="auto"/>
              <w:jc w:val="center"/>
              <w:rPr>
                <w:rFonts w:eastAsiaTheme="minorHAnsi"/>
                <w:noProof/>
              </w:rPr>
            </w:pPr>
            <w:r>
              <w:rPr>
                <w:noProof/>
              </w:rPr>
              <w:t>Unité de mesure</w:t>
            </w:r>
          </w:p>
        </w:tc>
        <w:tc>
          <w:tcPr>
            <w:tcW w:w="1134" w:type="dxa"/>
            <w:tcBorders>
              <w:top w:val="single" w:sz="4" w:space="0" w:color="auto"/>
              <w:left w:val="nil"/>
              <w:bottom w:val="single" w:sz="4" w:space="0" w:color="auto"/>
              <w:right w:val="single" w:sz="4" w:space="0" w:color="auto"/>
            </w:tcBorders>
            <w:shd w:val="clear" w:color="auto" w:fill="BDD7EE"/>
            <w:vAlign w:val="center"/>
            <w:hideMark/>
          </w:tcPr>
          <w:p w14:paraId="22F20C6E" w14:textId="77777777" w:rsidR="0023462A" w:rsidRDefault="00A550FA">
            <w:pPr>
              <w:pStyle w:val="P68B1DB1-Normal19"/>
              <w:spacing w:after="120" w:line="240" w:lineRule="auto"/>
              <w:jc w:val="center"/>
              <w:rPr>
                <w:rFonts w:eastAsiaTheme="minorHAnsi"/>
                <w:noProof/>
              </w:rPr>
            </w:pPr>
            <w:r>
              <w:rPr>
                <w:noProof/>
              </w:rPr>
              <w:t xml:space="preserve">Données de référence </w:t>
            </w:r>
          </w:p>
        </w:tc>
        <w:tc>
          <w:tcPr>
            <w:tcW w:w="992" w:type="dxa"/>
            <w:tcBorders>
              <w:top w:val="single" w:sz="4" w:space="0" w:color="auto"/>
              <w:left w:val="nil"/>
              <w:bottom w:val="single" w:sz="4" w:space="0" w:color="auto"/>
              <w:right w:val="single" w:sz="4" w:space="0" w:color="auto"/>
            </w:tcBorders>
            <w:shd w:val="clear" w:color="auto" w:fill="BDD7EE"/>
            <w:vAlign w:val="center"/>
            <w:hideMark/>
          </w:tcPr>
          <w:p w14:paraId="3AD395ED" w14:textId="77777777" w:rsidR="0023462A" w:rsidRDefault="00A550FA">
            <w:pPr>
              <w:pStyle w:val="P68B1DB1-Normal19"/>
              <w:spacing w:after="120" w:line="240" w:lineRule="auto"/>
              <w:jc w:val="center"/>
              <w:rPr>
                <w:rFonts w:eastAsiaTheme="minorHAnsi"/>
                <w:noProof/>
              </w:rPr>
            </w:pPr>
            <w:r>
              <w:rPr>
                <w:noProof/>
              </w:rPr>
              <w:t xml:space="preserve">Objectif </w:t>
            </w:r>
          </w:p>
        </w:tc>
        <w:tc>
          <w:tcPr>
            <w:tcW w:w="1134" w:type="dxa"/>
            <w:tcBorders>
              <w:top w:val="single" w:sz="4" w:space="0" w:color="auto"/>
              <w:left w:val="nil"/>
              <w:bottom w:val="single" w:sz="4" w:space="0" w:color="auto"/>
              <w:right w:val="single" w:sz="4" w:space="0" w:color="auto"/>
            </w:tcBorders>
            <w:shd w:val="clear" w:color="auto" w:fill="BDD7EE"/>
            <w:vAlign w:val="center"/>
            <w:hideMark/>
          </w:tcPr>
          <w:p w14:paraId="622B8741" w14:textId="77777777" w:rsidR="0023462A" w:rsidRDefault="00A550FA">
            <w:pPr>
              <w:pStyle w:val="P68B1DB1-Normal19"/>
              <w:spacing w:after="120" w:line="240" w:lineRule="auto"/>
              <w:jc w:val="center"/>
              <w:rPr>
                <w:rFonts w:eastAsiaTheme="minorHAnsi"/>
                <w:noProof/>
              </w:rPr>
            </w:pPr>
            <w:r>
              <w:rPr>
                <w:noProof/>
              </w:rPr>
              <w:t>Trimestre</w:t>
            </w:r>
          </w:p>
        </w:tc>
        <w:tc>
          <w:tcPr>
            <w:tcW w:w="1560" w:type="dxa"/>
            <w:tcBorders>
              <w:top w:val="single" w:sz="4" w:space="0" w:color="auto"/>
              <w:left w:val="nil"/>
              <w:bottom w:val="single" w:sz="4" w:space="0" w:color="auto"/>
              <w:right w:val="single" w:sz="4" w:space="0" w:color="auto"/>
            </w:tcBorders>
            <w:shd w:val="clear" w:color="auto" w:fill="BDD7EE"/>
            <w:vAlign w:val="center"/>
            <w:hideMark/>
          </w:tcPr>
          <w:p w14:paraId="3AF0A081" w14:textId="77777777" w:rsidR="0023462A" w:rsidRDefault="00A550FA">
            <w:pPr>
              <w:pStyle w:val="P68B1DB1-Normal19"/>
              <w:spacing w:after="120" w:line="240" w:lineRule="auto"/>
              <w:jc w:val="center"/>
              <w:rPr>
                <w:rFonts w:eastAsiaTheme="minorHAnsi"/>
                <w:noProof/>
              </w:rPr>
            </w:pPr>
            <w:r>
              <w:rPr>
                <w:noProof/>
              </w:rPr>
              <w:t>Année</w:t>
            </w:r>
          </w:p>
        </w:tc>
        <w:tc>
          <w:tcPr>
            <w:tcW w:w="3796" w:type="dxa"/>
            <w:vMerge/>
            <w:tcBorders>
              <w:top w:val="single" w:sz="4" w:space="0" w:color="auto"/>
              <w:bottom w:val="single" w:sz="4" w:space="0" w:color="auto"/>
              <w:right w:val="single" w:sz="4" w:space="0" w:color="auto"/>
            </w:tcBorders>
            <w:vAlign w:val="center"/>
            <w:hideMark/>
          </w:tcPr>
          <w:p w14:paraId="3C4A512D" w14:textId="77777777" w:rsidR="0023462A" w:rsidRDefault="0023462A">
            <w:pPr>
              <w:spacing w:after="120" w:line="240" w:lineRule="auto"/>
              <w:rPr>
                <w:rFonts w:ascii="Times New Roman" w:hAnsi="Times New Roman"/>
                <w:b/>
                <w:noProof/>
                <w:sz w:val="18"/>
              </w:rPr>
            </w:pPr>
          </w:p>
        </w:tc>
      </w:tr>
      <w:tr w:rsidR="0023462A" w14:paraId="4DAB8786" w14:textId="77777777" w:rsidTr="009C289F">
        <w:trPr>
          <w:trHeight w:val="1852"/>
          <w:jc w:val="center"/>
        </w:trPr>
        <w:tc>
          <w:tcPr>
            <w:tcW w:w="92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BA6E297" w14:textId="77777777" w:rsidR="0023462A" w:rsidRDefault="00A550FA">
            <w:pPr>
              <w:pStyle w:val="P68B1DB1-Normal20"/>
              <w:spacing w:after="120" w:line="240" w:lineRule="auto"/>
              <w:rPr>
                <w:noProof/>
              </w:rPr>
            </w:pPr>
            <w:r>
              <w:rPr>
                <w:noProof/>
              </w:rPr>
              <w:t>1</w:t>
            </w:r>
          </w:p>
        </w:tc>
        <w:tc>
          <w:tcPr>
            <w:tcW w:w="1481" w:type="dxa"/>
            <w:tcBorders>
              <w:top w:val="single" w:sz="4" w:space="0" w:color="auto"/>
              <w:left w:val="nil"/>
              <w:bottom w:val="single" w:sz="4" w:space="0" w:color="auto"/>
              <w:right w:val="single" w:sz="4" w:space="0" w:color="auto"/>
            </w:tcBorders>
            <w:shd w:val="clear" w:color="auto" w:fill="C6EFCE"/>
            <w:vAlign w:val="center"/>
            <w:hideMark/>
          </w:tcPr>
          <w:p w14:paraId="4C4FBBCE" w14:textId="1732801B" w:rsidR="0023462A" w:rsidRDefault="00A550FA">
            <w:pPr>
              <w:pStyle w:val="P68B1DB1-Normal20"/>
              <w:spacing w:after="120" w:line="240" w:lineRule="auto"/>
              <w:rPr>
                <w:rFonts w:eastAsiaTheme="minorHAnsi"/>
                <w:noProof/>
              </w:rPr>
            </w:pPr>
            <w:r>
              <w:rPr>
                <w:noProof/>
              </w:rPr>
              <w:t xml:space="preserve">C1.I1 Développement d'une éducation publique compétitive utilisant la technologie du XXIe siècle </w:t>
            </w:r>
          </w:p>
        </w:tc>
        <w:tc>
          <w:tcPr>
            <w:tcW w:w="1418" w:type="dxa"/>
            <w:tcBorders>
              <w:top w:val="single" w:sz="4" w:space="0" w:color="auto"/>
              <w:left w:val="nil"/>
              <w:bottom w:val="single" w:sz="4" w:space="0" w:color="auto"/>
              <w:right w:val="single" w:sz="4" w:space="0" w:color="auto"/>
            </w:tcBorders>
            <w:shd w:val="clear" w:color="auto" w:fill="C6EFCE"/>
            <w:vAlign w:val="center"/>
            <w:hideMark/>
          </w:tcPr>
          <w:p w14:paraId="7D887D52" w14:textId="5924906E" w:rsidR="0023462A" w:rsidRDefault="0023462A">
            <w:pPr>
              <w:spacing w:after="120" w:line="240" w:lineRule="auto"/>
              <w:rPr>
                <w:rFonts w:ascii="Times New Roman" w:hAnsi="Times New Roman" w:cs="Times New Roman"/>
                <w:noProof/>
                <w:sz w:val="18"/>
                <w:szCs w:val="18"/>
              </w:rPr>
            </w:pPr>
          </w:p>
          <w:p w14:paraId="29E4BEE8" w14:textId="07693A31" w:rsidR="0023462A" w:rsidRDefault="00A550FA">
            <w:pPr>
              <w:pStyle w:val="P68B1DB1-Normal20"/>
              <w:spacing w:after="120" w:line="240" w:lineRule="auto"/>
              <w:rPr>
                <w:rFonts w:eastAsiaTheme="minorHAnsi"/>
                <w:noProof/>
              </w:rPr>
            </w:pPr>
            <w:r>
              <w:rPr>
                <w:noProof/>
              </w:rPr>
              <w:t>Étape</w:t>
            </w:r>
          </w:p>
        </w:tc>
        <w:tc>
          <w:tcPr>
            <w:tcW w:w="992" w:type="dxa"/>
            <w:tcBorders>
              <w:top w:val="single" w:sz="4" w:space="0" w:color="auto"/>
              <w:left w:val="nil"/>
              <w:bottom w:val="single" w:sz="4" w:space="0" w:color="auto"/>
              <w:right w:val="single" w:sz="4" w:space="0" w:color="auto"/>
            </w:tcBorders>
            <w:shd w:val="clear" w:color="auto" w:fill="C6EFCE"/>
            <w:vAlign w:val="center"/>
            <w:hideMark/>
          </w:tcPr>
          <w:p w14:paraId="477C816E" w14:textId="34F301A0" w:rsidR="0023462A" w:rsidRDefault="00A550FA">
            <w:pPr>
              <w:pStyle w:val="P68B1DB1-Normal26"/>
              <w:spacing w:after="120" w:line="240" w:lineRule="auto"/>
              <w:rPr>
                <w:rFonts w:ascii="Times New Roman" w:hAnsi="Times New Roman"/>
                <w:noProof/>
              </w:rPr>
            </w:pPr>
            <w:r>
              <w:rPr>
                <w:rFonts w:ascii="Times New Roman" w:hAnsi="Times New Roman" w:cs="Times New Roman"/>
                <w:noProof/>
                <w:szCs w:val="18"/>
              </w:rPr>
              <w:t>Livraison</w:t>
            </w:r>
            <w:r>
              <w:rPr>
                <w:rFonts w:ascii="Times New Roman" w:hAnsi="Times New Roman"/>
                <w:noProof/>
              </w:rPr>
              <w:t xml:space="preserve"> d'ordinateurs portables </w:t>
            </w:r>
            <w:r>
              <w:rPr>
                <w:rFonts w:ascii="Times New Roman" w:hAnsi="Times New Roman" w:cs="Times New Roman"/>
                <w:noProof/>
                <w:szCs w:val="18"/>
              </w:rPr>
              <w:t>et d'outils</w:t>
            </w:r>
            <w:r>
              <w:rPr>
                <w:rFonts w:ascii="Times New Roman" w:hAnsi="Times New Roman"/>
                <w:noProof/>
              </w:rPr>
              <w:t xml:space="preserve"> numériques</w:t>
            </w:r>
          </w:p>
        </w:tc>
        <w:tc>
          <w:tcPr>
            <w:tcW w:w="1417" w:type="dxa"/>
            <w:tcBorders>
              <w:top w:val="single" w:sz="4" w:space="0" w:color="auto"/>
              <w:left w:val="nil"/>
              <w:bottom w:val="single" w:sz="4" w:space="0" w:color="auto"/>
              <w:right w:val="single" w:sz="4" w:space="0" w:color="auto"/>
            </w:tcBorders>
            <w:shd w:val="clear" w:color="auto" w:fill="C6EFCE"/>
            <w:vAlign w:val="center"/>
            <w:hideMark/>
          </w:tcPr>
          <w:p w14:paraId="0E7E26D1" w14:textId="24777247" w:rsidR="0023462A" w:rsidRDefault="00A550FA">
            <w:pPr>
              <w:pStyle w:val="P68B1DB1-Normal27"/>
              <w:spacing w:after="120" w:line="240" w:lineRule="auto"/>
              <w:rPr>
                <w:noProof/>
              </w:rPr>
            </w:pPr>
            <w:r>
              <w:rPr>
                <w:noProof/>
              </w:rPr>
              <w:t>Livraison du matériel</w:t>
            </w:r>
          </w:p>
        </w:tc>
        <w:tc>
          <w:tcPr>
            <w:tcW w:w="1276" w:type="dxa"/>
            <w:tcBorders>
              <w:top w:val="nil"/>
              <w:left w:val="nil"/>
              <w:bottom w:val="single" w:sz="4" w:space="0" w:color="auto"/>
              <w:right w:val="single" w:sz="4" w:space="0" w:color="auto"/>
            </w:tcBorders>
            <w:shd w:val="clear" w:color="auto" w:fill="C6EFCE"/>
            <w:vAlign w:val="center"/>
            <w:hideMark/>
          </w:tcPr>
          <w:p w14:paraId="18A3C8D7" w14:textId="6992324F" w:rsidR="0023462A" w:rsidRDefault="0023462A">
            <w:pPr>
              <w:spacing w:after="120" w:line="240" w:lineRule="auto"/>
              <w:rPr>
                <w:rFonts w:ascii="Times New Roman" w:eastAsiaTheme="minorHAnsi" w:hAnsi="Times New Roman"/>
                <w:noProof/>
                <w:sz w:val="18"/>
              </w:rPr>
            </w:pPr>
          </w:p>
        </w:tc>
        <w:tc>
          <w:tcPr>
            <w:tcW w:w="1134" w:type="dxa"/>
            <w:tcBorders>
              <w:top w:val="nil"/>
              <w:left w:val="nil"/>
              <w:bottom w:val="single" w:sz="4" w:space="0" w:color="auto"/>
              <w:right w:val="single" w:sz="4" w:space="0" w:color="auto"/>
            </w:tcBorders>
            <w:shd w:val="clear" w:color="auto" w:fill="C6EFCE"/>
            <w:vAlign w:val="center"/>
            <w:hideMark/>
          </w:tcPr>
          <w:p w14:paraId="5E5C9A53" w14:textId="28A10314" w:rsidR="0023462A" w:rsidRDefault="0023462A">
            <w:pPr>
              <w:spacing w:after="120" w:line="240" w:lineRule="auto"/>
              <w:rPr>
                <w:rFonts w:ascii="Times New Roman" w:hAnsi="Times New Roman"/>
                <w:noProof/>
                <w:sz w:val="18"/>
              </w:rPr>
            </w:pPr>
          </w:p>
        </w:tc>
        <w:tc>
          <w:tcPr>
            <w:tcW w:w="992" w:type="dxa"/>
            <w:tcBorders>
              <w:top w:val="nil"/>
              <w:left w:val="nil"/>
              <w:bottom w:val="single" w:sz="4" w:space="0" w:color="auto"/>
              <w:right w:val="single" w:sz="4" w:space="0" w:color="auto"/>
            </w:tcBorders>
            <w:shd w:val="clear" w:color="auto" w:fill="C6EFCE"/>
            <w:vAlign w:val="center"/>
            <w:hideMark/>
          </w:tcPr>
          <w:p w14:paraId="4411AE83" w14:textId="5C10CDFE" w:rsidR="0023462A" w:rsidRDefault="0023462A">
            <w:pPr>
              <w:spacing w:after="120" w:line="240" w:lineRule="auto"/>
              <w:rPr>
                <w:rFonts w:ascii="Times New Roman" w:hAnsi="Times New Roman" w:cs="Times New Roman"/>
                <w:noProof/>
                <w:sz w:val="18"/>
                <w:szCs w:val="18"/>
              </w:rPr>
            </w:pPr>
          </w:p>
          <w:p w14:paraId="2199412A" w14:textId="63C18D33" w:rsidR="0023462A" w:rsidRDefault="0023462A">
            <w:pPr>
              <w:spacing w:after="120" w:line="240" w:lineRule="auto"/>
              <w:rPr>
                <w:rFonts w:ascii="Times New Roman" w:hAnsi="Times New Roman"/>
                <w:noProof/>
                <w:sz w:val="18"/>
              </w:rPr>
            </w:pPr>
          </w:p>
        </w:tc>
        <w:tc>
          <w:tcPr>
            <w:tcW w:w="1134" w:type="dxa"/>
            <w:tcBorders>
              <w:top w:val="nil"/>
              <w:left w:val="nil"/>
              <w:bottom w:val="single" w:sz="4" w:space="0" w:color="auto"/>
              <w:right w:val="single" w:sz="4" w:space="0" w:color="auto"/>
            </w:tcBorders>
            <w:shd w:val="clear" w:color="auto" w:fill="C6EFCE"/>
            <w:vAlign w:val="center"/>
            <w:hideMark/>
          </w:tcPr>
          <w:p w14:paraId="0F65A806" w14:textId="77777777" w:rsidR="0023462A" w:rsidRDefault="00A550FA">
            <w:pPr>
              <w:pStyle w:val="P68B1DB1-Normal20"/>
              <w:spacing w:after="120" w:line="240" w:lineRule="auto"/>
              <w:rPr>
                <w:rFonts w:eastAsiaTheme="minorHAnsi"/>
                <w:noProof/>
              </w:rPr>
            </w:pPr>
            <w:r>
              <w:rPr>
                <w:noProof/>
              </w:rPr>
              <w:t>T2</w:t>
            </w:r>
          </w:p>
        </w:tc>
        <w:tc>
          <w:tcPr>
            <w:tcW w:w="1560" w:type="dxa"/>
            <w:tcBorders>
              <w:top w:val="nil"/>
              <w:left w:val="nil"/>
              <w:bottom w:val="single" w:sz="4" w:space="0" w:color="auto"/>
              <w:right w:val="single" w:sz="4" w:space="0" w:color="auto"/>
            </w:tcBorders>
            <w:shd w:val="clear" w:color="auto" w:fill="C6EFCE"/>
            <w:vAlign w:val="center"/>
            <w:hideMark/>
          </w:tcPr>
          <w:p w14:paraId="49EBB7C2" w14:textId="2AE5A706" w:rsidR="0023462A" w:rsidRDefault="00A550FA">
            <w:pPr>
              <w:pStyle w:val="P68B1DB1-Normal20"/>
              <w:spacing w:after="120" w:line="240" w:lineRule="auto"/>
              <w:rPr>
                <w:noProof/>
              </w:rPr>
            </w:pPr>
            <w:r>
              <w:rPr>
                <w:noProof/>
              </w:rPr>
              <w:t>2026</w:t>
            </w:r>
          </w:p>
        </w:tc>
        <w:tc>
          <w:tcPr>
            <w:tcW w:w="3796" w:type="dxa"/>
            <w:tcBorders>
              <w:top w:val="single" w:sz="4" w:space="0" w:color="auto"/>
              <w:left w:val="nil"/>
              <w:bottom w:val="single" w:sz="4" w:space="0" w:color="auto"/>
              <w:right w:val="single" w:sz="4" w:space="0" w:color="auto"/>
            </w:tcBorders>
            <w:shd w:val="clear" w:color="auto" w:fill="C6EFCE"/>
            <w:vAlign w:val="center"/>
            <w:hideMark/>
          </w:tcPr>
          <w:p w14:paraId="72F5758D" w14:textId="1A7CF007" w:rsidR="0023462A" w:rsidRDefault="00A550FA">
            <w:pPr>
              <w:pStyle w:val="P68B1DB1-Normal32"/>
              <w:spacing w:after="120" w:line="240" w:lineRule="auto"/>
              <w:jc w:val="both"/>
              <w:rPr>
                <w:noProof/>
              </w:rPr>
            </w:pPr>
            <w:r>
              <w:rPr>
                <w:noProof/>
              </w:rPr>
              <w:t xml:space="preserve">Livraison de 579 000 cahiers numériques et de 3 100 outils numériques aux établissements d’enseignement scolaire ou au centre d’administration scolaire (Klebelsberg Központ). </w:t>
            </w:r>
          </w:p>
        </w:tc>
      </w:tr>
      <w:tr w:rsidR="0023462A" w14:paraId="2ABB2942" w14:textId="77777777" w:rsidTr="009C289F">
        <w:trPr>
          <w:trHeight w:val="540"/>
          <w:jc w:val="center"/>
        </w:trPr>
        <w:tc>
          <w:tcPr>
            <w:tcW w:w="924" w:type="dxa"/>
            <w:tcBorders>
              <w:top w:val="single" w:sz="4" w:space="0" w:color="auto"/>
              <w:left w:val="single" w:sz="4" w:space="0" w:color="auto"/>
              <w:bottom w:val="single" w:sz="4" w:space="0" w:color="auto"/>
              <w:right w:val="single" w:sz="4" w:space="0" w:color="auto"/>
            </w:tcBorders>
            <w:shd w:val="clear" w:color="auto" w:fill="C6EFCE"/>
            <w:vAlign w:val="center"/>
          </w:tcPr>
          <w:p w14:paraId="1F595C40" w14:textId="3F43A6AB" w:rsidR="0023462A" w:rsidRDefault="00A550FA">
            <w:pPr>
              <w:pStyle w:val="P68B1DB1-Normal20"/>
              <w:spacing w:after="120" w:line="240" w:lineRule="auto"/>
              <w:rPr>
                <w:noProof/>
              </w:rPr>
            </w:pPr>
            <w:r>
              <w:rPr>
                <w:noProof/>
              </w:rPr>
              <w:t>2</w:t>
            </w:r>
          </w:p>
        </w:tc>
        <w:tc>
          <w:tcPr>
            <w:tcW w:w="1481" w:type="dxa"/>
            <w:tcBorders>
              <w:top w:val="single" w:sz="4" w:space="0" w:color="auto"/>
              <w:left w:val="nil"/>
              <w:bottom w:val="single" w:sz="4" w:space="0" w:color="auto"/>
              <w:right w:val="single" w:sz="4" w:space="0" w:color="auto"/>
            </w:tcBorders>
            <w:shd w:val="clear" w:color="auto" w:fill="C6EFCE"/>
            <w:vAlign w:val="center"/>
          </w:tcPr>
          <w:p w14:paraId="4234C749" w14:textId="77777777" w:rsidR="0023462A" w:rsidRDefault="00A550FA">
            <w:pPr>
              <w:pStyle w:val="P68B1DB1-Normal20"/>
              <w:spacing w:after="120" w:line="240" w:lineRule="auto"/>
              <w:rPr>
                <w:rFonts w:eastAsiaTheme="minorHAnsi"/>
                <w:noProof/>
              </w:rPr>
            </w:pPr>
            <w:r>
              <w:rPr>
                <w:noProof/>
              </w:rPr>
              <w:t>C1.I2 Soutien à l'éducation des élèves ayant des besoins éducatifs spéciaux</w:t>
            </w:r>
          </w:p>
          <w:p w14:paraId="7DCE12A8" w14:textId="77777777" w:rsidR="0023462A" w:rsidRDefault="0023462A">
            <w:pPr>
              <w:spacing w:after="120" w:line="240" w:lineRule="auto"/>
              <w:rPr>
                <w:rFonts w:ascii="Times New Roman" w:hAnsi="Times New Roman"/>
                <w:noProof/>
                <w:sz w:val="18"/>
              </w:rPr>
            </w:pPr>
          </w:p>
        </w:tc>
        <w:tc>
          <w:tcPr>
            <w:tcW w:w="1418" w:type="dxa"/>
            <w:tcBorders>
              <w:top w:val="single" w:sz="4" w:space="0" w:color="auto"/>
              <w:left w:val="nil"/>
              <w:bottom w:val="single" w:sz="4" w:space="0" w:color="auto"/>
              <w:right w:val="single" w:sz="4" w:space="0" w:color="auto"/>
            </w:tcBorders>
            <w:shd w:val="clear" w:color="auto" w:fill="C6EFCE"/>
            <w:vAlign w:val="center"/>
          </w:tcPr>
          <w:p w14:paraId="0EEA5CC3" w14:textId="47C76D22" w:rsidR="0023462A" w:rsidRDefault="0023462A">
            <w:pPr>
              <w:spacing w:after="120" w:line="240" w:lineRule="auto"/>
              <w:rPr>
                <w:rFonts w:ascii="Times New Roman" w:hAnsi="Times New Roman" w:cs="Times New Roman"/>
                <w:noProof/>
                <w:sz w:val="18"/>
                <w:szCs w:val="18"/>
              </w:rPr>
            </w:pPr>
          </w:p>
          <w:p w14:paraId="65AEC0BF" w14:textId="215DBD8C" w:rsidR="0023462A" w:rsidRDefault="00A550FA">
            <w:pPr>
              <w:pStyle w:val="P68B1DB1-Normal20"/>
              <w:spacing w:after="120" w:line="240" w:lineRule="auto"/>
              <w:rPr>
                <w:rFonts w:eastAsiaTheme="minorHAnsi"/>
                <w:noProof/>
              </w:rPr>
            </w:pPr>
            <w:r>
              <w:rPr>
                <w:noProof/>
              </w:rPr>
              <w:t>Étape</w:t>
            </w:r>
          </w:p>
        </w:tc>
        <w:tc>
          <w:tcPr>
            <w:tcW w:w="992" w:type="dxa"/>
            <w:tcBorders>
              <w:top w:val="single" w:sz="4" w:space="0" w:color="auto"/>
              <w:left w:val="nil"/>
              <w:bottom w:val="single" w:sz="4" w:space="0" w:color="auto"/>
              <w:right w:val="single" w:sz="4" w:space="0" w:color="auto"/>
            </w:tcBorders>
            <w:shd w:val="clear" w:color="auto" w:fill="C6EFCE"/>
            <w:vAlign w:val="center"/>
          </w:tcPr>
          <w:p w14:paraId="7C255A31" w14:textId="09C3983F" w:rsidR="0023462A" w:rsidRDefault="00A550FA">
            <w:pPr>
              <w:pStyle w:val="P68B1DB1-Normal26"/>
              <w:spacing w:after="120" w:line="240" w:lineRule="auto"/>
              <w:rPr>
                <w:rFonts w:ascii="Times New Roman" w:hAnsi="Times New Roman"/>
                <w:noProof/>
              </w:rPr>
            </w:pPr>
            <w:r>
              <w:rPr>
                <w:rFonts w:ascii="Times New Roman" w:hAnsi="Times New Roman" w:cs="Times New Roman"/>
                <w:noProof/>
                <w:szCs w:val="18"/>
              </w:rPr>
              <w:t>Fourniture</w:t>
            </w:r>
            <w:r>
              <w:rPr>
                <w:rFonts w:ascii="Times New Roman" w:hAnsi="Times New Roman"/>
                <w:noProof/>
              </w:rPr>
              <w:t xml:space="preserve"> de </w:t>
            </w:r>
            <w:r>
              <w:rPr>
                <w:rFonts w:ascii="Times New Roman" w:hAnsi="Times New Roman" w:cs="Times New Roman"/>
                <w:noProof/>
                <w:szCs w:val="18"/>
              </w:rPr>
              <w:t xml:space="preserve">services </w:t>
            </w:r>
            <w:r>
              <w:rPr>
                <w:rFonts w:ascii="Times New Roman" w:hAnsi="Times New Roman"/>
                <w:noProof/>
              </w:rPr>
              <w:t xml:space="preserve">d ' appui à l ' éducation des </w:t>
            </w:r>
            <w:r>
              <w:rPr>
                <w:rFonts w:ascii="Times New Roman" w:hAnsi="Times New Roman" w:cs="Times New Roman"/>
                <w:noProof/>
                <w:szCs w:val="18"/>
              </w:rPr>
              <w:t>enfants</w:t>
            </w:r>
            <w:r>
              <w:rPr>
                <w:rFonts w:ascii="Times New Roman" w:hAnsi="Times New Roman"/>
                <w:noProof/>
              </w:rPr>
              <w:t xml:space="preserve"> ayant des besoins éducatifs spéciaux</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4001FED7" w14:textId="7370D90F" w:rsidR="0023462A" w:rsidRDefault="00A550FA">
            <w:pPr>
              <w:pStyle w:val="P68B1DB1-Normal20"/>
              <w:spacing w:after="120" w:line="240" w:lineRule="auto"/>
              <w:rPr>
                <w:noProof/>
              </w:rPr>
            </w:pPr>
            <w:r>
              <w:rPr>
                <w:noProof/>
              </w:rPr>
              <w:t>Attribution du soutien</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279A4D75" w14:textId="2FB467C1" w:rsidR="0023462A" w:rsidRDefault="0023462A">
            <w:pPr>
              <w:spacing w:after="120" w:line="240" w:lineRule="auto"/>
              <w:rPr>
                <w:rFonts w:ascii="Times New Roman" w:hAnsi="Times New Roman"/>
                <w:noProof/>
                <w:sz w:val="18"/>
              </w:rPr>
            </w:pPr>
          </w:p>
        </w:tc>
        <w:tc>
          <w:tcPr>
            <w:tcW w:w="1134" w:type="dxa"/>
            <w:tcBorders>
              <w:top w:val="single" w:sz="4" w:space="0" w:color="auto"/>
              <w:left w:val="nil"/>
              <w:bottom w:val="single" w:sz="4" w:space="0" w:color="auto"/>
              <w:right w:val="single" w:sz="4" w:space="0" w:color="auto"/>
            </w:tcBorders>
            <w:shd w:val="clear" w:color="auto" w:fill="C6EFCE"/>
            <w:vAlign w:val="center"/>
          </w:tcPr>
          <w:p w14:paraId="659A42B1" w14:textId="36FD19CD" w:rsidR="0023462A" w:rsidRDefault="0023462A">
            <w:pPr>
              <w:spacing w:after="120" w:line="240" w:lineRule="auto"/>
              <w:rPr>
                <w:rFonts w:ascii="Times New Roman" w:hAnsi="Times New Roman"/>
                <w:noProof/>
                <w:sz w:val="18"/>
              </w:rPr>
            </w:pPr>
          </w:p>
        </w:tc>
        <w:tc>
          <w:tcPr>
            <w:tcW w:w="992" w:type="dxa"/>
            <w:tcBorders>
              <w:top w:val="single" w:sz="4" w:space="0" w:color="auto"/>
              <w:left w:val="nil"/>
              <w:bottom w:val="single" w:sz="4" w:space="0" w:color="auto"/>
              <w:right w:val="single" w:sz="4" w:space="0" w:color="auto"/>
            </w:tcBorders>
            <w:shd w:val="clear" w:color="auto" w:fill="C6EFCE"/>
            <w:vAlign w:val="center"/>
          </w:tcPr>
          <w:p w14:paraId="69FD5B30" w14:textId="26D39A47" w:rsidR="0023462A" w:rsidRDefault="0023462A">
            <w:pPr>
              <w:spacing w:after="120" w:line="240" w:lineRule="auto"/>
              <w:rPr>
                <w:rFonts w:ascii="Times New Roman" w:hAnsi="Times New Roman"/>
                <w:noProof/>
                <w:sz w:val="18"/>
              </w:rPr>
            </w:pPr>
          </w:p>
        </w:tc>
        <w:tc>
          <w:tcPr>
            <w:tcW w:w="1134" w:type="dxa"/>
            <w:tcBorders>
              <w:top w:val="single" w:sz="4" w:space="0" w:color="auto"/>
              <w:left w:val="nil"/>
              <w:bottom w:val="single" w:sz="4" w:space="0" w:color="auto"/>
              <w:right w:val="single" w:sz="4" w:space="0" w:color="auto"/>
            </w:tcBorders>
            <w:shd w:val="clear" w:color="auto" w:fill="C6EFCE"/>
            <w:vAlign w:val="center"/>
          </w:tcPr>
          <w:p w14:paraId="37A026F1" w14:textId="77777777" w:rsidR="0023462A" w:rsidRDefault="00A550FA">
            <w:pPr>
              <w:pStyle w:val="P68B1DB1-Normal20"/>
              <w:spacing w:after="120" w:line="240" w:lineRule="auto"/>
              <w:rPr>
                <w:rFonts w:eastAsiaTheme="minorHAnsi"/>
                <w:noProof/>
              </w:rPr>
            </w:pPr>
            <w:r>
              <w:rPr>
                <w:noProof/>
              </w:rPr>
              <w:t>T2</w:t>
            </w:r>
          </w:p>
        </w:tc>
        <w:tc>
          <w:tcPr>
            <w:tcW w:w="1560" w:type="dxa"/>
            <w:tcBorders>
              <w:top w:val="single" w:sz="4" w:space="0" w:color="auto"/>
              <w:left w:val="nil"/>
              <w:bottom w:val="single" w:sz="4" w:space="0" w:color="auto"/>
              <w:right w:val="single" w:sz="4" w:space="0" w:color="auto"/>
            </w:tcBorders>
            <w:shd w:val="clear" w:color="auto" w:fill="C6EFCE"/>
            <w:vAlign w:val="center"/>
          </w:tcPr>
          <w:p w14:paraId="1602B19D" w14:textId="77777777" w:rsidR="0023462A" w:rsidRDefault="00A550FA">
            <w:pPr>
              <w:pStyle w:val="P68B1DB1-Normal20"/>
              <w:spacing w:after="120" w:line="240" w:lineRule="auto"/>
              <w:rPr>
                <w:rFonts w:eastAsiaTheme="minorHAnsi"/>
                <w:noProof/>
              </w:rPr>
            </w:pPr>
            <w:r>
              <w:rPr>
                <w:noProof/>
              </w:rPr>
              <w:t>2026</w:t>
            </w:r>
          </w:p>
        </w:tc>
        <w:tc>
          <w:tcPr>
            <w:tcW w:w="3796" w:type="dxa"/>
            <w:tcBorders>
              <w:top w:val="single" w:sz="4" w:space="0" w:color="auto"/>
              <w:left w:val="nil"/>
              <w:bottom w:val="single" w:sz="4" w:space="0" w:color="auto"/>
              <w:right w:val="single" w:sz="4" w:space="0" w:color="auto"/>
            </w:tcBorders>
            <w:shd w:val="clear" w:color="auto" w:fill="C6EFCE"/>
            <w:vAlign w:val="center"/>
          </w:tcPr>
          <w:p w14:paraId="00648125" w14:textId="3140629F" w:rsidR="0023462A" w:rsidRDefault="00A550FA">
            <w:pPr>
              <w:pStyle w:val="P68B1DB1-Normal32"/>
              <w:spacing w:after="120" w:line="240" w:lineRule="auto"/>
              <w:jc w:val="both"/>
              <w:rPr>
                <w:noProof/>
              </w:rPr>
            </w:pPr>
            <w:r>
              <w:rPr>
                <w:noProof/>
              </w:rPr>
              <w:t xml:space="preserve">23,5 millions d’EUR octroyés pour des projets dans les domaines de la formation et du partage des connaissances, des services de transport scolaire, de la location d’équipements, des TIC et du matériel médical, des véhicules électriques adaptés et des paiements effectués. </w:t>
            </w:r>
          </w:p>
        </w:tc>
      </w:tr>
      <w:tr w:rsidR="0023462A" w14:paraId="0D227F46" w14:textId="77777777" w:rsidTr="009C289F">
        <w:trPr>
          <w:trHeight w:val="540"/>
          <w:jc w:val="center"/>
        </w:trPr>
        <w:tc>
          <w:tcPr>
            <w:tcW w:w="924" w:type="dxa"/>
            <w:tcBorders>
              <w:top w:val="single" w:sz="4" w:space="0" w:color="auto"/>
              <w:left w:val="single" w:sz="4" w:space="0" w:color="auto"/>
              <w:bottom w:val="single" w:sz="4" w:space="0" w:color="auto"/>
              <w:right w:val="single" w:sz="4" w:space="0" w:color="auto"/>
            </w:tcBorders>
            <w:shd w:val="clear" w:color="auto" w:fill="C6EFCE"/>
            <w:vAlign w:val="center"/>
          </w:tcPr>
          <w:p w14:paraId="340E095B" w14:textId="08C213A0" w:rsidR="0023462A" w:rsidRDefault="00A550FA">
            <w:pPr>
              <w:pStyle w:val="P68B1DB1-Normal20"/>
              <w:spacing w:after="120" w:line="240" w:lineRule="auto"/>
              <w:rPr>
                <w:noProof/>
              </w:rPr>
            </w:pPr>
            <w:r>
              <w:rPr>
                <w:noProof/>
              </w:rPr>
              <w:t>3</w:t>
            </w:r>
          </w:p>
        </w:tc>
        <w:tc>
          <w:tcPr>
            <w:tcW w:w="1481" w:type="dxa"/>
            <w:tcBorders>
              <w:top w:val="single" w:sz="4" w:space="0" w:color="auto"/>
              <w:left w:val="nil"/>
              <w:bottom w:val="single" w:sz="4" w:space="0" w:color="auto"/>
              <w:right w:val="single" w:sz="4" w:space="0" w:color="auto"/>
            </w:tcBorders>
            <w:shd w:val="clear" w:color="auto" w:fill="C6EFCE"/>
            <w:vAlign w:val="center"/>
          </w:tcPr>
          <w:p w14:paraId="1989B1F1" w14:textId="1877A311" w:rsidR="0023462A" w:rsidRDefault="00A550FA">
            <w:pPr>
              <w:pStyle w:val="P68B1DB1-Normal20"/>
              <w:spacing w:after="120" w:line="240" w:lineRule="auto"/>
              <w:rPr>
                <w:rFonts w:eastAsiaTheme="minorHAnsi"/>
                <w:noProof/>
              </w:rPr>
            </w:pPr>
            <w:r>
              <w:rPr>
                <w:noProof/>
              </w:rPr>
              <w:t>C1.R1 Réduction du risque de ségrégation dans les écoles</w:t>
            </w:r>
          </w:p>
        </w:tc>
        <w:tc>
          <w:tcPr>
            <w:tcW w:w="1418" w:type="dxa"/>
            <w:tcBorders>
              <w:top w:val="single" w:sz="4" w:space="0" w:color="auto"/>
              <w:left w:val="nil"/>
              <w:bottom w:val="single" w:sz="4" w:space="0" w:color="auto"/>
              <w:right w:val="single" w:sz="4" w:space="0" w:color="auto"/>
            </w:tcBorders>
            <w:shd w:val="clear" w:color="auto" w:fill="C6EFCE"/>
            <w:vAlign w:val="center"/>
          </w:tcPr>
          <w:p w14:paraId="527C21C6" w14:textId="77777777" w:rsidR="0023462A" w:rsidRDefault="00A550FA">
            <w:pPr>
              <w:pStyle w:val="P68B1DB1-Normal20"/>
              <w:spacing w:after="120" w:line="240" w:lineRule="auto"/>
              <w:rPr>
                <w:rFonts w:eastAsiaTheme="minorHAnsi"/>
                <w:noProof/>
              </w:rPr>
            </w:pPr>
            <w:r>
              <w:rPr>
                <w:noProof/>
              </w:rPr>
              <w:t>Étape</w:t>
            </w:r>
          </w:p>
        </w:tc>
        <w:tc>
          <w:tcPr>
            <w:tcW w:w="992" w:type="dxa"/>
            <w:tcBorders>
              <w:top w:val="single" w:sz="4" w:space="0" w:color="auto"/>
              <w:left w:val="nil"/>
              <w:bottom w:val="single" w:sz="4" w:space="0" w:color="auto"/>
              <w:right w:val="single" w:sz="4" w:space="0" w:color="auto"/>
            </w:tcBorders>
            <w:shd w:val="clear" w:color="auto" w:fill="C6EFCE"/>
            <w:vAlign w:val="center"/>
          </w:tcPr>
          <w:p w14:paraId="7F287DBF" w14:textId="40B770A8" w:rsidR="0023462A" w:rsidRDefault="00A550FA">
            <w:pPr>
              <w:pStyle w:val="P68B1DB1-Normal20"/>
              <w:spacing w:after="120" w:line="240" w:lineRule="auto"/>
              <w:rPr>
                <w:rFonts w:eastAsiaTheme="minorHAnsi"/>
                <w:noProof/>
              </w:rPr>
            </w:pPr>
            <w:r>
              <w:rPr>
                <w:noProof/>
              </w:rPr>
              <w:t>Entrée en vigueur d’un ou de plusieurs actes juridiques prévoyant la réduction du soutien de l’État aux écoles primaires et secondaires du premier cycle comptant une faible proportion d’élèves défavorisés</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4F6CF9E7" w14:textId="5869C0AF" w:rsidR="0023462A" w:rsidRDefault="00A550FA">
            <w:pPr>
              <w:pStyle w:val="P68B1DB1-Normal20"/>
              <w:spacing w:after="120" w:line="240" w:lineRule="auto"/>
              <w:rPr>
                <w:rFonts w:eastAsiaTheme="minorHAnsi"/>
                <w:noProof/>
              </w:rPr>
            </w:pPr>
            <w:r>
              <w:rPr>
                <w:noProof/>
              </w:rPr>
              <w:t>Dispositions de l'acte ou des actes juridiques indiquant son entrée en vigueur</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22BBF3F4" w14:textId="77777777" w:rsidR="0023462A" w:rsidRDefault="0023462A">
            <w:pPr>
              <w:spacing w:after="120" w:line="240" w:lineRule="auto"/>
              <w:rPr>
                <w:rFonts w:ascii="Times New Roman" w:hAnsi="Times New Roman"/>
                <w:noProof/>
                <w:sz w:val="18"/>
              </w:rPr>
            </w:pPr>
          </w:p>
        </w:tc>
        <w:tc>
          <w:tcPr>
            <w:tcW w:w="1134" w:type="dxa"/>
            <w:tcBorders>
              <w:top w:val="single" w:sz="4" w:space="0" w:color="auto"/>
              <w:left w:val="nil"/>
              <w:bottom w:val="single" w:sz="4" w:space="0" w:color="auto"/>
              <w:right w:val="single" w:sz="4" w:space="0" w:color="auto"/>
            </w:tcBorders>
            <w:shd w:val="clear" w:color="auto" w:fill="C6EFCE"/>
            <w:vAlign w:val="center"/>
          </w:tcPr>
          <w:p w14:paraId="1F8A93BC" w14:textId="77777777" w:rsidR="0023462A" w:rsidRDefault="0023462A">
            <w:pPr>
              <w:spacing w:after="120" w:line="240" w:lineRule="auto"/>
              <w:rPr>
                <w:rFonts w:ascii="Times New Roman" w:hAnsi="Times New Roman"/>
                <w:noProof/>
                <w:sz w:val="18"/>
              </w:rPr>
            </w:pPr>
          </w:p>
        </w:tc>
        <w:tc>
          <w:tcPr>
            <w:tcW w:w="992" w:type="dxa"/>
            <w:tcBorders>
              <w:top w:val="single" w:sz="4" w:space="0" w:color="auto"/>
              <w:left w:val="nil"/>
              <w:bottom w:val="single" w:sz="4" w:space="0" w:color="auto"/>
              <w:right w:val="single" w:sz="4" w:space="0" w:color="auto"/>
            </w:tcBorders>
            <w:shd w:val="clear" w:color="auto" w:fill="C6EFCE"/>
            <w:vAlign w:val="center"/>
          </w:tcPr>
          <w:p w14:paraId="225260B3" w14:textId="77777777" w:rsidR="0023462A" w:rsidRDefault="0023462A">
            <w:pPr>
              <w:spacing w:after="120" w:line="240" w:lineRule="auto"/>
              <w:rPr>
                <w:rFonts w:ascii="Times New Roman" w:hAnsi="Times New Roman"/>
                <w:noProof/>
                <w:sz w:val="18"/>
              </w:rPr>
            </w:pPr>
          </w:p>
        </w:tc>
        <w:tc>
          <w:tcPr>
            <w:tcW w:w="1134" w:type="dxa"/>
            <w:tcBorders>
              <w:top w:val="single" w:sz="4" w:space="0" w:color="auto"/>
              <w:left w:val="nil"/>
              <w:bottom w:val="single" w:sz="4" w:space="0" w:color="auto"/>
              <w:right w:val="single" w:sz="4" w:space="0" w:color="auto"/>
            </w:tcBorders>
            <w:shd w:val="clear" w:color="auto" w:fill="C6EFCE"/>
            <w:vAlign w:val="center"/>
          </w:tcPr>
          <w:p w14:paraId="4D547EDB" w14:textId="47455776" w:rsidR="0023462A" w:rsidRDefault="00A550FA">
            <w:pPr>
              <w:pStyle w:val="P68B1DB1-Normal20"/>
              <w:spacing w:after="120" w:line="240" w:lineRule="auto"/>
              <w:rPr>
                <w:rFonts w:eastAsiaTheme="minorHAnsi"/>
                <w:noProof/>
              </w:rPr>
            </w:pPr>
            <w:r>
              <w:rPr>
                <w:noProof/>
              </w:rPr>
              <w:t>T2</w:t>
            </w:r>
          </w:p>
        </w:tc>
        <w:tc>
          <w:tcPr>
            <w:tcW w:w="1560" w:type="dxa"/>
            <w:tcBorders>
              <w:top w:val="single" w:sz="4" w:space="0" w:color="auto"/>
              <w:left w:val="nil"/>
              <w:bottom w:val="single" w:sz="4" w:space="0" w:color="auto"/>
              <w:right w:val="single" w:sz="4" w:space="0" w:color="auto"/>
            </w:tcBorders>
            <w:shd w:val="clear" w:color="auto" w:fill="C6EFCE"/>
            <w:vAlign w:val="center"/>
          </w:tcPr>
          <w:p w14:paraId="3D936A81" w14:textId="0A7575C8" w:rsidR="0023462A" w:rsidRDefault="00A550FA">
            <w:pPr>
              <w:pStyle w:val="P68B1DB1-Normal20"/>
              <w:spacing w:after="120" w:line="240" w:lineRule="auto"/>
              <w:rPr>
                <w:rFonts w:eastAsiaTheme="minorHAnsi"/>
                <w:noProof/>
              </w:rPr>
            </w:pPr>
            <w:r>
              <w:rPr>
                <w:noProof/>
              </w:rPr>
              <w:t>2026</w:t>
            </w:r>
          </w:p>
        </w:tc>
        <w:tc>
          <w:tcPr>
            <w:tcW w:w="3796" w:type="dxa"/>
            <w:tcBorders>
              <w:top w:val="single" w:sz="4" w:space="0" w:color="auto"/>
              <w:left w:val="nil"/>
              <w:bottom w:val="single" w:sz="4" w:space="0" w:color="auto"/>
              <w:right w:val="single" w:sz="4" w:space="0" w:color="auto"/>
            </w:tcBorders>
            <w:shd w:val="clear" w:color="auto" w:fill="C6EFCE"/>
            <w:vAlign w:val="center"/>
          </w:tcPr>
          <w:p w14:paraId="5B69B3A0" w14:textId="6C11E9BD" w:rsidR="0023462A" w:rsidRDefault="00A550FA">
            <w:pPr>
              <w:pStyle w:val="P68B1DB1-Normal20"/>
              <w:spacing w:after="120" w:line="240" w:lineRule="auto"/>
              <w:jc w:val="both"/>
              <w:rPr>
                <w:rFonts w:eastAsiaTheme="minorHAnsi"/>
                <w:noProof/>
              </w:rPr>
            </w:pPr>
            <w:r>
              <w:rPr>
                <w:noProof/>
              </w:rPr>
              <w:t xml:space="preserve">Entrée en vigueur d’un ou de plusieurs actes juridiques visant à réduire le soutien de l’État aux écoles primaires et secondaires du premier cycle (de la 1re à la 8e année) comptant une faible proportion d’élèves défavorisés. </w:t>
            </w:r>
          </w:p>
          <w:p w14:paraId="5E7A191E" w14:textId="5B8747C9" w:rsidR="0023462A" w:rsidRDefault="00A550FA">
            <w:pPr>
              <w:pStyle w:val="P68B1DB1-Normal20"/>
              <w:spacing w:after="120" w:line="240" w:lineRule="auto"/>
              <w:jc w:val="both"/>
              <w:rPr>
                <w:noProof/>
              </w:rPr>
            </w:pPr>
            <w:r>
              <w:rPr>
                <w:noProof/>
              </w:rPr>
              <w:t>Le ou les actes juridiques comprennent des dispositions selon lesquelles l’aide de l’État aux écoles primaires et secondaires du premier cycle est réduite de 10 % si la proportion d’élèves défavorisés dans ces écoles est inférieure de plus de 20 points de pourcentage à la proportion moyenne dans l’établissement (au niveau de l’unité administrative locale où l’école est située) déterminée au début de l’année scolaire 2025/2026.</w:t>
            </w:r>
          </w:p>
        </w:tc>
      </w:tr>
      <w:tr w:rsidR="0023462A" w14:paraId="153D4CD3" w14:textId="77777777" w:rsidTr="009C289F">
        <w:trPr>
          <w:trHeight w:val="540"/>
          <w:jc w:val="center"/>
        </w:trPr>
        <w:tc>
          <w:tcPr>
            <w:tcW w:w="924" w:type="dxa"/>
            <w:tcBorders>
              <w:top w:val="single" w:sz="4" w:space="0" w:color="auto"/>
              <w:left w:val="single" w:sz="4" w:space="0" w:color="auto"/>
              <w:bottom w:val="single" w:sz="4" w:space="0" w:color="auto"/>
              <w:right w:val="single" w:sz="4" w:space="0" w:color="auto"/>
            </w:tcBorders>
            <w:shd w:val="clear" w:color="auto" w:fill="C6EFCE"/>
            <w:vAlign w:val="center"/>
          </w:tcPr>
          <w:p w14:paraId="00D16C88" w14:textId="542975DD" w:rsidR="0023462A" w:rsidRDefault="00A550FA">
            <w:pPr>
              <w:pStyle w:val="P68B1DB1-Normal20"/>
              <w:spacing w:after="120" w:line="240" w:lineRule="auto"/>
              <w:rPr>
                <w:noProof/>
              </w:rPr>
            </w:pPr>
            <w:r>
              <w:rPr>
                <w:noProof/>
              </w:rPr>
              <w:t>4</w:t>
            </w:r>
          </w:p>
        </w:tc>
        <w:tc>
          <w:tcPr>
            <w:tcW w:w="1481" w:type="dxa"/>
            <w:tcBorders>
              <w:top w:val="single" w:sz="4" w:space="0" w:color="auto"/>
              <w:left w:val="nil"/>
              <w:bottom w:val="single" w:sz="4" w:space="0" w:color="auto"/>
              <w:right w:val="single" w:sz="4" w:space="0" w:color="auto"/>
            </w:tcBorders>
            <w:shd w:val="clear" w:color="auto" w:fill="C6EFCE"/>
            <w:vAlign w:val="center"/>
          </w:tcPr>
          <w:p w14:paraId="7D3D5C1E" w14:textId="6FD9D683" w:rsidR="0023462A" w:rsidRDefault="00A550FA">
            <w:pPr>
              <w:pStyle w:val="P68B1DB1-Normal20"/>
              <w:spacing w:after="120" w:line="240" w:lineRule="auto"/>
              <w:rPr>
                <w:rFonts w:eastAsiaTheme="minorHAnsi"/>
                <w:noProof/>
              </w:rPr>
            </w:pPr>
            <w:r>
              <w:rPr>
                <w:noProof/>
              </w:rPr>
              <w:t xml:space="preserve">C1.R2 </w:t>
            </w:r>
            <w:bookmarkStart w:id="2" w:name="_Hlk228977276"/>
            <w:r>
              <w:rPr>
                <w:noProof/>
              </w:rPr>
              <w:t>Accroître l'attractivité de la profession enseignante</w:t>
            </w:r>
            <w:bookmarkEnd w:id="2"/>
          </w:p>
        </w:tc>
        <w:tc>
          <w:tcPr>
            <w:tcW w:w="1418" w:type="dxa"/>
            <w:tcBorders>
              <w:top w:val="single" w:sz="4" w:space="0" w:color="auto"/>
              <w:left w:val="nil"/>
              <w:bottom w:val="single" w:sz="4" w:space="0" w:color="auto"/>
              <w:right w:val="single" w:sz="4" w:space="0" w:color="auto"/>
            </w:tcBorders>
            <w:shd w:val="clear" w:color="auto" w:fill="C6EFCE"/>
            <w:vAlign w:val="center"/>
          </w:tcPr>
          <w:p w14:paraId="3603EC60" w14:textId="77777777" w:rsidR="0023462A" w:rsidRDefault="00A550FA">
            <w:pPr>
              <w:pStyle w:val="P68B1DB1-Normal20"/>
              <w:spacing w:after="120" w:line="240" w:lineRule="auto"/>
              <w:rPr>
                <w:rFonts w:eastAsiaTheme="minorHAnsi"/>
                <w:noProof/>
              </w:rPr>
            </w:pPr>
            <w:r>
              <w:rPr>
                <w:noProof/>
              </w:rPr>
              <w:t>Étape</w:t>
            </w:r>
          </w:p>
        </w:tc>
        <w:tc>
          <w:tcPr>
            <w:tcW w:w="992" w:type="dxa"/>
            <w:tcBorders>
              <w:top w:val="single" w:sz="4" w:space="0" w:color="auto"/>
              <w:left w:val="nil"/>
              <w:bottom w:val="single" w:sz="4" w:space="0" w:color="auto"/>
              <w:right w:val="single" w:sz="4" w:space="0" w:color="auto"/>
            </w:tcBorders>
            <w:shd w:val="clear" w:color="auto" w:fill="C6EFCE"/>
            <w:vAlign w:val="center"/>
          </w:tcPr>
          <w:p w14:paraId="4F8FFF75" w14:textId="2BA8A1CC" w:rsidR="0023462A" w:rsidRDefault="00A550FA">
            <w:pPr>
              <w:pStyle w:val="P68B1DB1-Normal20"/>
              <w:spacing w:after="120" w:line="240" w:lineRule="auto"/>
              <w:rPr>
                <w:rFonts w:eastAsiaTheme="minorHAnsi"/>
                <w:noProof/>
              </w:rPr>
            </w:pPr>
            <w:r>
              <w:rPr>
                <w:noProof/>
              </w:rPr>
              <w:t xml:space="preserve">Entrée en vigueur d’un ou de plusieurs actes juridiques visant à augmenter les salaires des enseignants dans le système d’enseignement public </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62480A83" w14:textId="7F53E81F" w:rsidR="0023462A" w:rsidRDefault="00A550FA">
            <w:pPr>
              <w:pStyle w:val="P68B1DB1-Normal20"/>
              <w:spacing w:after="120" w:line="240" w:lineRule="auto"/>
              <w:rPr>
                <w:rFonts w:eastAsiaTheme="minorHAnsi"/>
                <w:noProof/>
              </w:rPr>
            </w:pPr>
            <w:r>
              <w:rPr>
                <w:noProof/>
              </w:rPr>
              <w:t>Dispositions de l'acte ou des actes juridiques indiquant son entrée en vigueur</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00C829B9" w14:textId="77777777" w:rsidR="0023462A" w:rsidRDefault="0023462A">
            <w:pPr>
              <w:spacing w:after="120" w:line="240" w:lineRule="auto"/>
              <w:rPr>
                <w:rFonts w:ascii="Times New Roman" w:hAnsi="Times New Roman"/>
                <w:noProof/>
                <w:sz w:val="18"/>
              </w:rPr>
            </w:pPr>
          </w:p>
        </w:tc>
        <w:tc>
          <w:tcPr>
            <w:tcW w:w="1134" w:type="dxa"/>
            <w:tcBorders>
              <w:top w:val="single" w:sz="4" w:space="0" w:color="auto"/>
              <w:left w:val="nil"/>
              <w:bottom w:val="single" w:sz="4" w:space="0" w:color="auto"/>
              <w:right w:val="single" w:sz="4" w:space="0" w:color="auto"/>
            </w:tcBorders>
            <w:shd w:val="clear" w:color="auto" w:fill="C6EFCE"/>
            <w:vAlign w:val="center"/>
          </w:tcPr>
          <w:p w14:paraId="19F5416D" w14:textId="77777777" w:rsidR="0023462A" w:rsidRDefault="0023462A">
            <w:pPr>
              <w:spacing w:after="120" w:line="240" w:lineRule="auto"/>
              <w:rPr>
                <w:rFonts w:ascii="Times New Roman" w:hAnsi="Times New Roman"/>
                <w:noProof/>
                <w:sz w:val="18"/>
              </w:rPr>
            </w:pPr>
          </w:p>
        </w:tc>
        <w:tc>
          <w:tcPr>
            <w:tcW w:w="992" w:type="dxa"/>
            <w:tcBorders>
              <w:top w:val="single" w:sz="4" w:space="0" w:color="auto"/>
              <w:left w:val="nil"/>
              <w:bottom w:val="single" w:sz="4" w:space="0" w:color="auto"/>
              <w:right w:val="single" w:sz="4" w:space="0" w:color="auto"/>
            </w:tcBorders>
            <w:shd w:val="clear" w:color="auto" w:fill="C6EFCE"/>
            <w:vAlign w:val="center"/>
          </w:tcPr>
          <w:p w14:paraId="70DBB44F" w14:textId="77777777" w:rsidR="0023462A" w:rsidRDefault="0023462A">
            <w:pPr>
              <w:spacing w:after="120" w:line="240" w:lineRule="auto"/>
              <w:rPr>
                <w:rFonts w:ascii="Times New Roman" w:hAnsi="Times New Roman"/>
                <w:noProof/>
                <w:sz w:val="18"/>
              </w:rPr>
            </w:pPr>
          </w:p>
        </w:tc>
        <w:tc>
          <w:tcPr>
            <w:tcW w:w="1134" w:type="dxa"/>
            <w:tcBorders>
              <w:top w:val="single" w:sz="4" w:space="0" w:color="auto"/>
              <w:left w:val="nil"/>
              <w:bottom w:val="single" w:sz="4" w:space="0" w:color="auto"/>
              <w:right w:val="single" w:sz="4" w:space="0" w:color="auto"/>
            </w:tcBorders>
            <w:shd w:val="clear" w:color="auto" w:fill="C6EFCE"/>
            <w:vAlign w:val="center"/>
          </w:tcPr>
          <w:p w14:paraId="37A12B81" w14:textId="534D1BF4" w:rsidR="0023462A" w:rsidRDefault="00A550FA">
            <w:pPr>
              <w:pStyle w:val="P68B1DB1-Normal20"/>
              <w:spacing w:after="120" w:line="240" w:lineRule="auto"/>
              <w:rPr>
                <w:rFonts w:eastAsiaTheme="minorHAnsi"/>
                <w:noProof/>
              </w:rPr>
            </w:pPr>
            <w:r>
              <w:rPr>
                <w:noProof/>
              </w:rPr>
              <w:t>T2</w:t>
            </w:r>
          </w:p>
        </w:tc>
        <w:tc>
          <w:tcPr>
            <w:tcW w:w="1560" w:type="dxa"/>
            <w:tcBorders>
              <w:top w:val="single" w:sz="4" w:space="0" w:color="auto"/>
              <w:left w:val="nil"/>
              <w:bottom w:val="single" w:sz="4" w:space="0" w:color="auto"/>
              <w:right w:val="single" w:sz="4" w:space="0" w:color="auto"/>
            </w:tcBorders>
            <w:shd w:val="clear" w:color="auto" w:fill="C6EFCE"/>
            <w:vAlign w:val="center"/>
          </w:tcPr>
          <w:p w14:paraId="3D0ECC34" w14:textId="37A76742" w:rsidR="0023462A" w:rsidRDefault="00A550FA">
            <w:pPr>
              <w:pStyle w:val="P68B1DB1-Normal20"/>
              <w:spacing w:after="120" w:line="240" w:lineRule="auto"/>
              <w:rPr>
                <w:rFonts w:eastAsiaTheme="minorHAnsi"/>
                <w:noProof/>
              </w:rPr>
            </w:pPr>
            <w:r>
              <w:rPr>
                <w:noProof/>
              </w:rPr>
              <w:t>2026</w:t>
            </w:r>
          </w:p>
        </w:tc>
        <w:tc>
          <w:tcPr>
            <w:tcW w:w="3796" w:type="dxa"/>
            <w:tcBorders>
              <w:top w:val="single" w:sz="4" w:space="0" w:color="auto"/>
              <w:left w:val="nil"/>
              <w:bottom w:val="single" w:sz="4" w:space="0" w:color="auto"/>
              <w:right w:val="single" w:sz="4" w:space="0" w:color="auto"/>
            </w:tcBorders>
            <w:shd w:val="clear" w:color="auto" w:fill="C6EFCE"/>
            <w:vAlign w:val="center"/>
          </w:tcPr>
          <w:p w14:paraId="7BBCC6A5" w14:textId="6C2CD598" w:rsidR="0023462A" w:rsidRDefault="00A550FA">
            <w:pPr>
              <w:pStyle w:val="P68B1DB1-Normal26"/>
              <w:spacing w:after="120" w:line="240" w:lineRule="auto"/>
              <w:jc w:val="both"/>
              <w:rPr>
                <w:rFonts w:ascii="Times New Roman" w:eastAsiaTheme="minorHAnsi" w:hAnsi="Times New Roman"/>
                <w:noProof/>
              </w:rPr>
            </w:pPr>
            <w:r>
              <w:rPr>
                <w:rFonts w:ascii="Times New Roman" w:hAnsi="Times New Roman"/>
                <w:noProof/>
              </w:rPr>
              <w:t xml:space="preserve">Entrée en vigueur d’un ou de plusieurs actes juridiques établissant l’obligation que le salaire moyen des enseignants du système d’enseignement public (tous les enseignants du système d’enseignement public titulaires d’un diplôme de l’enseignement supérieur au sens de la loi sur l’enseignement public, à l’exclusion de l’enseignement professionnel) atteigne au moins 80 % du salaire moyen des diplômés de l’enseignement supérieur au 1er janvier 2025 et soit maintenu à un niveau d’au moins 80 % du salaire moyen des diplômés de l’enseignement supérieur jusqu’au 31 décembre </w:t>
            </w:r>
            <w:r>
              <w:rPr>
                <w:rFonts w:ascii="Times New Roman" w:hAnsi="Times New Roman" w:cs="Times New Roman"/>
                <w:noProof/>
                <w:szCs w:val="18"/>
              </w:rPr>
              <w:t>2031</w:t>
            </w:r>
            <w:r>
              <w:rPr>
                <w:rFonts w:ascii="Times New Roman" w:hAnsi="Times New Roman"/>
                <w:noProof/>
              </w:rPr>
              <w:t xml:space="preserve"> au moins.</w:t>
            </w:r>
          </w:p>
          <w:p w14:paraId="51919C22" w14:textId="2C31261F" w:rsidR="0023462A" w:rsidRDefault="00A550FA">
            <w:pPr>
              <w:pStyle w:val="P68B1DB1-Normal26"/>
              <w:spacing w:after="120" w:line="240" w:lineRule="auto"/>
              <w:jc w:val="both"/>
              <w:rPr>
                <w:rFonts w:ascii="Times New Roman" w:eastAsiaTheme="minorHAnsi" w:hAnsi="Times New Roman"/>
                <w:noProof/>
              </w:rPr>
            </w:pPr>
            <w:r>
              <w:rPr>
                <w:rFonts w:ascii="Times New Roman" w:hAnsi="Times New Roman"/>
                <w:noProof/>
              </w:rPr>
              <w:t xml:space="preserve">La loi comprend également des dispositions selon lesquelles, à compter du 1er janvier 2024 et jusqu’au 31 décembre </w:t>
            </w:r>
            <w:r>
              <w:rPr>
                <w:rFonts w:ascii="Times New Roman" w:hAnsi="Times New Roman" w:cs="Times New Roman"/>
                <w:noProof/>
                <w:szCs w:val="18"/>
              </w:rPr>
              <w:t>2031</w:t>
            </w:r>
            <w:r>
              <w:rPr>
                <w:rFonts w:ascii="Times New Roman" w:hAnsi="Times New Roman"/>
                <w:noProof/>
              </w:rPr>
              <w:t xml:space="preserve"> au moins, le salaire des enseignants des catégories énumérées ci-dessous est supérieur d’au moins 12,5</w:t>
            </w:r>
            <w:r>
              <w:rPr>
                <w:rFonts w:ascii="Times New Roman" w:hAnsi="Times New Roman"/>
                <w:noProof/>
                <w:color w:val="006100"/>
              </w:rPr>
              <w:t> </w:t>
            </w:r>
            <w:r>
              <w:rPr>
                <w:rFonts w:ascii="Times New Roman" w:hAnsi="Times New Roman"/>
                <w:noProof/>
              </w:rPr>
              <w:t>% du salaire des enseignants ayant la même qualification et la même expérience qui ne relèvent pas de ces catégories:</w:t>
            </w:r>
          </w:p>
          <w:p w14:paraId="5A1FB724" w14:textId="26EF2DA1" w:rsidR="0023462A" w:rsidRDefault="00A550FA">
            <w:pPr>
              <w:pStyle w:val="P68B1DB1-ListParagraph33"/>
              <w:numPr>
                <w:ilvl w:val="0"/>
                <w:numId w:val="4"/>
              </w:numPr>
              <w:spacing w:after="120" w:line="240" w:lineRule="auto"/>
              <w:ind w:left="487"/>
              <w:contextualSpacing w:val="0"/>
              <w:jc w:val="both"/>
              <w:rPr>
                <w:noProof/>
              </w:rPr>
            </w:pPr>
            <w:r>
              <w:rPr>
                <w:noProof/>
              </w:rPr>
              <w:t>les enseignants travaillant dans des établissements défavorisés ou rattrapant des établissements tels que définis par décret gouvernemental;</w:t>
            </w:r>
          </w:p>
          <w:p w14:paraId="7EE43E77" w14:textId="15F6BD69" w:rsidR="0023462A" w:rsidRDefault="00A550FA">
            <w:pPr>
              <w:pStyle w:val="P68B1DB1-ListParagraph33"/>
              <w:numPr>
                <w:ilvl w:val="0"/>
                <w:numId w:val="4"/>
              </w:numPr>
              <w:spacing w:after="120" w:line="240" w:lineRule="auto"/>
              <w:ind w:left="487"/>
              <w:contextualSpacing w:val="0"/>
              <w:jc w:val="both"/>
              <w:rPr>
                <w:noProof/>
              </w:rPr>
            </w:pPr>
            <w:r>
              <w:rPr>
                <w:noProof/>
              </w:rPr>
              <w:t xml:space="preserve">les enseignants travaillant dans des écoles comptant au moins 10 % d’élèves défavorisés et définissant des méthodes pédagogiques spéciales pour l’éducation inclusive dans leurs programmes pédagogiques (source: Köznevelési Információs Rendszer). </w:t>
            </w:r>
          </w:p>
        </w:tc>
      </w:tr>
      <w:tr w:rsidR="0023462A" w14:paraId="21846055" w14:textId="77777777" w:rsidTr="009C289F">
        <w:trPr>
          <w:trHeight w:val="540"/>
          <w:jc w:val="center"/>
        </w:trPr>
        <w:tc>
          <w:tcPr>
            <w:tcW w:w="924" w:type="dxa"/>
            <w:tcBorders>
              <w:top w:val="single" w:sz="4" w:space="0" w:color="auto"/>
              <w:left w:val="single" w:sz="4" w:space="0" w:color="auto"/>
              <w:bottom w:val="single" w:sz="4" w:space="0" w:color="auto"/>
              <w:right w:val="single" w:sz="4" w:space="0" w:color="auto"/>
            </w:tcBorders>
            <w:shd w:val="clear" w:color="auto" w:fill="C6EFCE"/>
            <w:vAlign w:val="center"/>
          </w:tcPr>
          <w:p w14:paraId="5A693EB2" w14:textId="7F7D8BD5" w:rsidR="0023462A" w:rsidRDefault="00A550FA">
            <w:pPr>
              <w:pStyle w:val="P68B1DB1-Normal20"/>
              <w:spacing w:after="120" w:line="240" w:lineRule="auto"/>
              <w:rPr>
                <w:noProof/>
              </w:rPr>
            </w:pPr>
            <w:r>
              <w:rPr>
                <w:noProof/>
              </w:rPr>
              <w:t>5</w:t>
            </w:r>
          </w:p>
        </w:tc>
        <w:tc>
          <w:tcPr>
            <w:tcW w:w="1481" w:type="dxa"/>
            <w:tcBorders>
              <w:top w:val="single" w:sz="4" w:space="0" w:color="auto"/>
              <w:left w:val="nil"/>
              <w:bottom w:val="single" w:sz="4" w:space="0" w:color="auto"/>
              <w:right w:val="single" w:sz="4" w:space="0" w:color="auto"/>
            </w:tcBorders>
            <w:shd w:val="clear" w:color="auto" w:fill="C6EFCE"/>
            <w:vAlign w:val="center"/>
          </w:tcPr>
          <w:p w14:paraId="129714C0" w14:textId="0E6A79CC" w:rsidR="0023462A" w:rsidRDefault="00A550FA">
            <w:pPr>
              <w:pStyle w:val="P68B1DB1-Normal26"/>
              <w:spacing w:after="120" w:line="240" w:lineRule="auto"/>
              <w:rPr>
                <w:rFonts w:ascii="Times New Roman" w:hAnsi="Times New Roman"/>
                <w:noProof/>
              </w:rPr>
            </w:pPr>
            <w:r>
              <w:rPr>
                <w:rFonts w:ascii="Times New Roman" w:hAnsi="Times New Roman"/>
                <w:noProof/>
              </w:rPr>
              <w:t xml:space="preserve">C1.I3 </w:t>
            </w:r>
            <w:r>
              <w:rPr>
                <w:rFonts w:ascii="Times New Roman" w:eastAsia="Times New Roman" w:hAnsi="Times New Roman" w:cs="Times New Roman"/>
                <w:noProof/>
                <w:szCs w:val="18"/>
              </w:rPr>
              <w:t xml:space="preserve">Construction </w:t>
            </w:r>
            <w:r>
              <w:rPr>
                <w:rFonts w:ascii="Times New Roman" w:hAnsi="Times New Roman"/>
                <w:noProof/>
              </w:rPr>
              <w:t>de structures de garde d'enfants</w:t>
            </w:r>
          </w:p>
        </w:tc>
        <w:tc>
          <w:tcPr>
            <w:tcW w:w="1418" w:type="dxa"/>
            <w:tcBorders>
              <w:top w:val="single" w:sz="4" w:space="0" w:color="auto"/>
              <w:left w:val="nil"/>
              <w:bottom w:val="single" w:sz="4" w:space="0" w:color="auto"/>
              <w:right w:val="single" w:sz="4" w:space="0" w:color="auto"/>
            </w:tcBorders>
            <w:shd w:val="clear" w:color="auto" w:fill="C6EFCE"/>
            <w:vAlign w:val="center"/>
          </w:tcPr>
          <w:p w14:paraId="4903B44F" w14:textId="77777777" w:rsidR="0023462A" w:rsidRDefault="00A550FA">
            <w:pPr>
              <w:pStyle w:val="P68B1DB1-Normal20"/>
              <w:spacing w:after="120" w:line="240" w:lineRule="auto"/>
              <w:rPr>
                <w:rFonts w:eastAsiaTheme="minorHAnsi"/>
                <w:noProof/>
              </w:rPr>
            </w:pPr>
            <w:r>
              <w:rPr>
                <w:noProof/>
              </w:rPr>
              <w:t>Objectif</w:t>
            </w:r>
          </w:p>
        </w:tc>
        <w:tc>
          <w:tcPr>
            <w:tcW w:w="992" w:type="dxa"/>
            <w:tcBorders>
              <w:top w:val="single" w:sz="4" w:space="0" w:color="auto"/>
              <w:left w:val="nil"/>
              <w:bottom w:val="single" w:sz="4" w:space="0" w:color="auto"/>
              <w:right w:val="single" w:sz="4" w:space="0" w:color="auto"/>
            </w:tcBorders>
            <w:shd w:val="clear" w:color="auto" w:fill="C6EFCE"/>
            <w:vAlign w:val="center"/>
          </w:tcPr>
          <w:p w14:paraId="2E291B22" w14:textId="6513D4C1" w:rsidR="0023462A" w:rsidRDefault="00A550FA">
            <w:pPr>
              <w:pStyle w:val="P68B1DB1-Normal32"/>
              <w:spacing w:after="120" w:line="240" w:lineRule="auto"/>
              <w:rPr>
                <w:noProof/>
              </w:rPr>
            </w:pPr>
            <w:r>
              <w:rPr>
                <w:noProof/>
              </w:rPr>
              <w:t xml:space="preserve">Établissements de garde d'enfants construits </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7A02B86C" w14:textId="77777777" w:rsidR="0023462A" w:rsidRDefault="0023462A">
            <w:pPr>
              <w:spacing w:after="120" w:line="240" w:lineRule="auto"/>
              <w:rPr>
                <w:rFonts w:ascii="Times New Roman" w:hAnsi="Times New Roman"/>
                <w:noProof/>
                <w:sz w:val="18"/>
              </w:rPr>
            </w:pPr>
          </w:p>
        </w:tc>
        <w:tc>
          <w:tcPr>
            <w:tcW w:w="1276" w:type="dxa"/>
            <w:tcBorders>
              <w:top w:val="single" w:sz="4" w:space="0" w:color="auto"/>
              <w:left w:val="nil"/>
              <w:bottom w:val="single" w:sz="4" w:space="0" w:color="auto"/>
              <w:right w:val="single" w:sz="4" w:space="0" w:color="auto"/>
            </w:tcBorders>
            <w:shd w:val="clear" w:color="auto" w:fill="C6EFCE"/>
            <w:vAlign w:val="center"/>
          </w:tcPr>
          <w:p w14:paraId="5569F59A" w14:textId="77777777" w:rsidR="0023462A" w:rsidRDefault="00A550FA">
            <w:pPr>
              <w:pStyle w:val="P68B1DB1-Normal20"/>
              <w:spacing w:after="120" w:line="240" w:lineRule="auto"/>
              <w:jc w:val="center"/>
              <w:rPr>
                <w:rFonts w:eastAsiaTheme="minorHAnsi"/>
                <w:noProof/>
              </w:rPr>
            </w:pPr>
            <w:r>
              <w:rPr>
                <w:noProof/>
              </w:rPr>
              <w:t>Numéro</w:t>
            </w:r>
          </w:p>
        </w:tc>
        <w:tc>
          <w:tcPr>
            <w:tcW w:w="1134" w:type="dxa"/>
            <w:tcBorders>
              <w:top w:val="single" w:sz="4" w:space="0" w:color="auto"/>
              <w:left w:val="nil"/>
              <w:bottom w:val="single" w:sz="4" w:space="0" w:color="auto"/>
              <w:right w:val="single" w:sz="4" w:space="0" w:color="auto"/>
            </w:tcBorders>
            <w:shd w:val="clear" w:color="auto" w:fill="C6EFCE"/>
            <w:vAlign w:val="center"/>
          </w:tcPr>
          <w:p w14:paraId="5D000436" w14:textId="44D5DFFB" w:rsidR="0023462A" w:rsidRDefault="00A550FA">
            <w:pPr>
              <w:pStyle w:val="P68B1DB1-Normal32"/>
              <w:spacing w:after="120" w:line="240" w:lineRule="auto"/>
              <w:jc w:val="center"/>
              <w:rPr>
                <w:noProof/>
              </w:rPr>
            </w:pPr>
            <w:r>
              <w:rPr>
                <w:noProof/>
              </w:rPr>
              <w:t>0</w:t>
            </w:r>
          </w:p>
        </w:tc>
        <w:tc>
          <w:tcPr>
            <w:tcW w:w="992" w:type="dxa"/>
            <w:tcBorders>
              <w:top w:val="single" w:sz="4" w:space="0" w:color="auto"/>
              <w:left w:val="nil"/>
              <w:bottom w:val="single" w:sz="4" w:space="0" w:color="auto"/>
              <w:right w:val="single" w:sz="4" w:space="0" w:color="auto"/>
            </w:tcBorders>
            <w:shd w:val="clear" w:color="auto" w:fill="C6EFCE"/>
            <w:vAlign w:val="center"/>
          </w:tcPr>
          <w:p w14:paraId="64AE81B4" w14:textId="0C56B164" w:rsidR="0023462A" w:rsidRDefault="00A550FA">
            <w:pPr>
              <w:pStyle w:val="P68B1DB1-Normal27"/>
              <w:spacing w:after="120" w:line="240" w:lineRule="auto"/>
              <w:jc w:val="center"/>
              <w:rPr>
                <w:noProof/>
              </w:rPr>
            </w:pPr>
            <w:r>
              <w:rPr>
                <w:noProof/>
              </w:rPr>
              <w:t>110</w:t>
            </w:r>
          </w:p>
        </w:tc>
        <w:tc>
          <w:tcPr>
            <w:tcW w:w="1134" w:type="dxa"/>
            <w:tcBorders>
              <w:top w:val="single" w:sz="4" w:space="0" w:color="auto"/>
              <w:left w:val="nil"/>
              <w:bottom w:val="single" w:sz="4" w:space="0" w:color="auto"/>
              <w:right w:val="single" w:sz="4" w:space="0" w:color="auto"/>
            </w:tcBorders>
            <w:shd w:val="clear" w:color="auto" w:fill="C6EFCE"/>
            <w:vAlign w:val="center"/>
          </w:tcPr>
          <w:p w14:paraId="15B2BA6C" w14:textId="25CF2DB3" w:rsidR="0023462A" w:rsidRDefault="00A550FA">
            <w:pPr>
              <w:pStyle w:val="P68B1DB1-Normal20"/>
              <w:spacing w:after="120" w:line="240" w:lineRule="auto"/>
              <w:rPr>
                <w:rFonts w:eastAsiaTheme="minorHAnsi"/>
                <w:noProof/>
              </w:rPr>
            </w:pPr>
            <w:r>
              <w:rPr>
                <w:noProof/>
              </w:rPr>
              <w:t>T2</w:t>
            </w:r>
          </w:p>
        </w:tc>
        <w:tc>
          <w:tcPr>
            <w:tcW w:w="1560" w:type="dxa"/>
            <w:tcBorders>
              <w:top w:val="single" w:sz="4" w:space="0" w:color="auto"/>
              <w:left w:val="nil"/>
              <w:bottom w:val="single" w:sz="4" w:space="0" w:color="auto"/>
              <w:right w:val="single" w:sz="4" w:space="0" w:color="auto"/>
            </w:tcBorders>
            <w:shd w:val="clear" w:color="auto" w:fill="C6EFCE"/>
            <w:vAlign w:val="center"/>
          </w:tcPr>
          <w:p w14:paraId="04A68785" w14:textId="1818F469" w:rsidR="0023462A" w:rsidRDefault="00A550FA">
            <w:pPr>
              <w:pStyle w:val="P68B1DB1-Normal20"/>
              <w:spacing w:after="120" w:line="240" w:lineRule="auto"/>
              <w:rPr>
                <w:rFonts w:eastAsiaTheme="minorHAnsi"/>
                <w:noProof/>
              </w:rPr>
            </w:pPr>
            <w:r>
              <w:rPr>
                <w:noProof/>
              </w:rPr>
              <w:t>2026</w:t>
            </w:r>
          </w:p>
        </w:tc>
        <w:tc>
          <w:tcPr>
            <w:tcW w:w="3796" w:type="dxa"/>
            <w:tcBorders>
              <w:top w:val="single" w:sz="4" w:space="0" w:color="auto"/>
              <w:left w:val="nil"/>
              <w:bottom w:val="single" w:sz="4" w:space="0" w:color="auto"/>
              <w:right w:val="single" w:sz="4" w:space="0" w:color="auto"/>
            </w:tcBorders>
            <w:shd w:val="clear" w:color="auto" w:fill="C6EFCE"/>
            <w:vAlign w:val="center"/>
          </w:tcPr>
          <w:p w14:paraId="03A9BB55" w14:textId="11C9D767" w:rsidR="0023462A" w:rsidRDefault="00A550FA">
            <w:pPr>
              <w:pStyle w:val="P68B1DB1-Normal26"/>
              <w:spacing w:after="120" w:line="240" w:lineRule="auto"/>
              <w:jc w:val="both"/>
              <w:rPr>
                <w:rFonts w:ascii="Times New Roman" w:eastAsiaTheme="minorHAnsi" w:hAnsi="Times New Roman"/>
                <w:noProof/>
              </w:rPr>
            </w:pPr>
            <w:r>
              <w:rPr>
                <w:rFonts w:ascii="Times New Roman" w:hAnsi="Times New Roman"/>
                <w:noProof/>
              </w:rPr>
              <w:t>Lancement d’appel(s)/d’appel(s) d’offres pour la construction de 110 structures de garde d’enfants. Les conditions du ou des appels d’offres/appels à candidatures garantissent que la demande d’énergie primaire de tout nouveau bâtiment est inférieure d’au moins 20 % à l’exigence d’un bâtiment dont la consommation d’énergie est quasi nulle prévue par la législation nationale.</w:t>
            </w:r>
            <w:r>
              <w:rPr>
                <w:rFonts w:ascii="Times New Roman" w:hAnsi="Times New Roman" w:cs="Times New Roman"/>
                <w:noProof/>
                <w:szCs w:val="18"/>
              </w:rPr>
              <w:t xml:space="preserve"> Construction de 110 structures de garde d'enfants. </w:t>
            </w:r>
          </w:p>
        </w:tc>
      </w:tr>
      <w:tr w:rsidR="0023462A" w14:paraId="5A6DF76B" w14:textId="77777777" w:rsidTr="009C289F">
        <w:trPr>
          <w:trHeight w:val="540"/>
          <w:jc w:val="center"/>
        </w:trPr>
        <w:tc>
          <w:tcPr>
            <w:tcW w:w="924" w:type="dxa"/>
            <w:tcBorders>
              <w:top w:val="single" w:sz="4" w:space="0" w:color="auto"/>
              <w:left w:val="single" w:sz="4" w:space="0" w:color="auto"/>
              <w:bottom w:val="single" w:sz="4" w:space="0" w:color="auto"/>
              <w:right w:val="single" w:sz="4" w:space="0" w:color="auto"/>
            </w:tcBorders>
            <w:shd w:val="clear" w:color="auto" w:fill="C6EFCE"/>
            <w:vAlign w:val="center"/>
          </w:tcPr>
          <w:p w14:paraId="3BF5FACC" w14:textId="263D4217" w:rsidR="0023462A" w:rsidRDefault="00A550FA">
            <w:pPr>
              <w:pStyle w:val="P68B1DB1-Normal20"/>
              <w:spacing w:after="120" w:line="240" w:lineRule="auto"/>
              <w:rPr>
                <w:noProof/>
              </w:rPr>
            </w:pPr>
            <w:r>
              <w:rPr>
                <w:noProof/>
              </w:rPr>
              <w:t>6</w:t>
            </w:r>
          </w:p>
        </w:tc>
        <w:tc>
          <w:tcPr>
            <w:tcW w:w="1481" w:type="dxa"/>
            <w:tcBorders>
              <w:top w:val="single" w:sz="4" w:space="0" w:color="auto"/>
              <w:left w:val="nil"/>
              <w:bottom w:val="single" w:sz="4" w:space="0" w:color="auto"/>
              <w:right w:val="single" w:sz="4" w:space="0" w:color="auto"/>
            </w:tcBorders>
            <w:shd w:val="clear" w:color="auto" w:fill="C6EFCE"/>
            <w:vAlign w:val="center"/>
          </w:tcPr>
          <w:p w14:paraId="66A33DA6" w14:textId="3888C789" w:rsidR="0023462A" w:rsidRDefault="00A550FA">
            <w:pPr>
              <w:pStyle w:val="P68B1DB1-Normal20"/>
              <w:spacing w:after="120" w:line="240" w:lineRule="auto"/>
              <w:rPr>
                <w:noProof/>
              </w:rPr>
            </w:pPr>
            <w:r>
              <w:rPr>
                <w:noProof/>
              </w:rPr>
              <w:t>C1.I4 Modernisation des infrastructures scolaires</w:t>
            </w:r>
          </w:p>
        </w:tc>
        <w:tc>
          <w:tcPr>
            <w:tcW w:w="1418" w:type="dxa"/>
            <w:tcBorders>
              <w:top w:val="single" w:sz="4" w:space="0" w:color="auto"/>
              <w:left w:val="nil"/>
              <w:bottom w:val="single" w:sz="4" w:space="0" w:color="auto"/>
              <w:right w:val="single" w:sz="4" w:space="0" w:color="auto"/>
            </w:tcBorders>
            <w:shd w:val="clear" w:color="auto" w:fill="C6EFCE"/>
            <w:vAlign w:val="center"/>
          </w:tcPr>
          <w:p w14:paraId="1F80E578" w14:textId="3868380D" w:rsidR="0023462A" w:rsidRDefault="00A550FA">
            <w:pPr>
              <w:pStyle w:val="P68B1DB1-Normal20"/>
              <w:spacing w:after="120" w:line="240" w:lineRule="auto"/>
              <w:rPr>
                <w:noProof/>
              </w:rPr>
            </w:pPr>
            <w:r>
              <w:rPr>
                <w:noProof/>
              </w:rPr>
              <w:t>Étape</w:t>
            </w:r>
          </w:p>
        </w:tc>
        <w:tc>
          <w:tcPr>
            <w:tcW w:w="992" w:type="dxa"/>
            <w:tcBorders>
              <w:top w:val="single" w:sz="4" w:space="0" w:color="auto"/>
              <w:left w:val="nil"/>
              <w:bottom w:val="single" w:sz="4" w:space="0" w:color="auto"/>
              <w:right w:val="single" w:sz="4" w:space="0" w:color="auto"/>
            </w:tcBorders>
            <w:shd w:val="clear" w:color="auto" w:fill="C6EFCE"/>
            <w:vAlign w:val="center"/>
          </w:tcPr>
          <w:p w14:paraId="2EEFF01B" w14:textId="23F34568" w:rsidR="0023462A" w:rsidRDefault="00A550FA">
            <w:pPr>
              <w:pStyle w:val="P68B1DB1-Normal32"/>
              <w:spacing w:after="120" w:line="240" w:lineRule="auto"/>
              <w:rPr>
                <w:noProof/>
              </w:rPr>
            </w:pPr>
            <w:r>
              <w:rPr>
                <w:noProof/>
              </w:rPr>
              <w:t>Construction et rénovation d'installations scolaires</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45DB0889" w14:textId="3E2DB3B5" w:rsidR="0023462A" w:rsidRDefault="00A550FA">
            <w:pPr>
              <w:pStyle w:val="P68B1DB1-Normal20"/>
              <w:spacing w:after="120" w:line="240" w:lineRule="auto"/>
              <w:rPr>
                <w:noProof/>
              </w:rPr>
            </w:pPr>
            <w:r>
              <w:rPr>
                <w:noProof/>
              </w:rPr>
              <w:t>Déboursement des fonds</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7EE3499B" w14:textId="77777777" w:rsidR="0023462A" w:rsidRDefault="0023462A">
            <w:pPr>
              <w:spacing w:after="120" w:line="240" w:lineRule="auto"/>
              <w:jc w:val="center"/>
              <w:rPr>
                <w:rFonts w:ascii="Times New Roman" w:hAnsi="Times New Roman"/>
                <w:noProof/>
                <w:sz w:val="18"/>
              </w:rPr>
            </w:pPr>
          </w:p>
        </w:tc>
        <w:tc>
          <w:tcPr>
            <w:tcW w:w="1134" w:type="dxa"/>
            <w:tcBorders>
              <w:top w:val="single" w:sz="4" w:space="0" w:color="auto"/>
              <w:left w:val="nil"/>
              <w:bottom w:val="single" w:sz="4" w:space="0" w:color="auto"/>
              <w:right w:val="single" w:sz="4" w:space="0" w:color="auto"/>
            </w:tcBorders>
            <w:shd w:val="clear" w:color="auto" w:fill="C6EFCE"/>
            <w:vAlign w:val="center"/>
          </w:tcPr>
          <w:p w14:paraId="708BB757" w14:textId="77777777" w:rsidR="0023462A" w:rsidRDefault="0023462A">
            <w:pPr>
              <w:spacing w:after="120" w:line="240" w:lineRule="auto"/>
              <w:jc w:val="center"/>
              <w:rPr>
                <w:rFonts w:ascii="Times New Roman" w:hAnsi="Times New Roman" w:cs="Times New Roman"/>
                <w:noProof/>
                <w:sz w:val="18"/>
                <w:szCs w:val="18"/>
              </w:rPr>
            </w:pPr>
          </w:p>
        </w:tc>
        <w:tc>
          <w:tcPr>
            <w:tcW w:w="992" w:type="dxa"/>
            <w:tcBorders>
              <w:top w:val="single" w:sz="4" w:space="0" w:color="auto"/>
              <w:left w:val="nil"/>
              <w:bottom w:val="single" w:sz="4" w:space="0" w:color="auto"/>
              <w:right w:val="single" w:sz="4" w:space="0" w:color="auto"/>
            </w:tcBorders>
            <w:shd w:val="clear" w:color="auto" w:fill="C6EFCE"/>
            <w:vAlign w:val="center"/>
          </w:tcPr>
          <w:p w14:paraId="3B058482" w14:textId="77777777" w:rsidR="0023462A" w:rsidRDefault="0023462A">
            <w:pPr>
              <w:spacing w:after="120" w:line="240" w:lineRule="auto"/>
              <w:jc w:val="center"/>
              <w:rPr>
                <w:rFonts w:ascii="Times New Roman" w:eastAsia="Times New Roman" w:hAnsi="Times New Roman" w:cs="Times New Roman"/>
                <w:noProof/>
                <w:sz w:val="18"/>
                <w:szCs w:val="18"/>
              </w:rPr>
            </w:pPr>
          </w:p>
        </w:tc>
        <w:tc>
          <w:tcPr>
            <w:tcW w:w="1134" w:type="dxa"/>
            <w:tcBorders>
              <w:top w:val="single" w:sz="4" w:space="0" w:color="auto"/>
              <w:left w:val="nil"/>
              <w:bottom w:val="single" w:sz="4" w:space="0" w:color="auto"/>
              <w:right w:val="single" w:sz="4" w:space="0" w:color="auto"/>
            </w:tcBorders>
            <w:shd w:val="clear" w:color="auto" w:fill="C6EFCE"/>
            <w:vAlign w:val="center"/>
          </w:tcPr>
          <w:p w14:paraId="5DB94B76" w14:textId="6190474B" w:rsidR="0023462A" w:rsidRDefault="00A550FA">
            <w:pPr>
              <w:pStyle w:val="P68B1DB1-Normal20"/>
              <w:spacing w:after="120" w:line="240" w:lineRule="auto"/>
              <w:rPr>
                <w:noProof/>
              </w:rPr>
            </w:pPr>
            <w:r>
              <w:rPr>
                <w:noProof/>
              </w:rPr>
              <w:t>T2</w:t>
            </w:r>
          </w:p>
        </w:tc>
        <w:tc>
          <w:tcPr>
            <w:tcW w:w="1560" w:type="dxa"/>
            <w:tcBorders>
              <w:top w:val="single" w:sz="4" w:space="0" w:color="auto"/>
              <w:left w:val="nil"/>
              <w:bottom w:val="single" w:sz="4" w:space="0" w:color="auto"/>
              <w:right w:val="single" w:sz="4" w:space="0" w:color="auto"/>
            </w:tcBorders>
            <w:shd w:val="clear" w:color="auto" w:fill="C6EFCE"/>
            <w:vAlign w:val="center"/>
          </w:tcPr>
          <w:p w14:paraId="2890DEB6" w14:textId="356E1F12" w:rsidR="0023462A" w:rsidRDefault="00A550FA">
            <w:pPr>
              <w:pStyle w:val="P68B1DB1-Normal20"/>
              <w:spacing w:after="120" w:line="240" w:lineRule="auto"/>
              <w:rPr>
                <w:noProof/>
              </w:rPr>
            </w:pPr>
            <w:r>
              <w:rPr>
                <w:noProof/>
              </w:rPr>
              <w:t>2026</w:t>
            </w:r>
          </w:p>
        </w:tc>
        <w:tc>
          <w:tcPr>
            <w:tcW w:w="3796" w:type="dxa"/>
            <w:tcBorders>
              <w:top w:val="single" w:sz="4" w:space="0" w:color="auto"/>
              <w:left w:val="nil"/>
              <w:bottom w:val="single" w:sz="4" w:space="0" w:color="auto"/>
              <w:right w:val="single" w:sz="4" w:space="0" w:color="auto"/>
            </w:tcBorders>
            <w:shd w:val="clear" w:color="auto" w:fill="C6EFCE"/>
            <w:vAlign w:val="center"/>
          </w:tcPr>
          <w:p w14:paraId="58BCB4B9" w14:textId="0E143506" w:rsidR="0023462A" w:rsidRDefault="00A550FA">
            <w:pPr>
              <w:pStyle w:val="P68B1DB1-Normal32"/>
              <w:spacing w:after="120" w:line="240" w:lineRule="auto"/>
              <w:jc w:val="both"/>
              <w:rPr>
                <w:noProof/>
              </w:rPr>
            </w:pPr>
            <w:r>
              <w:rPr>
                <w:noProof/>
              </w:rPr>
              <w:t>Déboursement de 152 millions d’EUR de fonds pour des investissements dans les infrastructures scolaires et les équipements pédagogiques.</w:t>
            </w:r>
          </w:p>
        </w:tc>
      </w:tr>
    </w:tbl>
    <w:p w14:paraId="213DDDE3" w14:textId="77777777" w:rsidR="0023462A" w:rsidRDefault="0023462A">
      <w:pPr>
        <w:spacing w:after="120" w:line="240" w:lineRule="auto"/>
        <w:rPr>
          <w:rFonts w:ascii="Times New Roman" w:hAnsi="Times New Roman" w:cs="Times New Roman"/>
          <w:noProof/>
          <w:sz w:val="24"/>
          <w:szCs w:val="24"/>
        </w:rPr>
      </w:pPr>
    </w:p>
    <w:p w14:paraId="5D761432" w14:textId="77777777" w:rsidR="0023462A" w:rsidRDefault="0023462A">
      <w:pPr>
        <w:spacing w:after="120" w:line="240" w:lineRule="auto"/>
        <w:rPr>
          <w:rFonts w:ascii="Times New Roman" w:hAnsi="Times New Roman" w:cs="Times New Roman"/>
          <w:noProof/>
          <w:sz w:val="24"/>
          <w:szCs w:val="24"/>
        </w:rPr>
        <w:sectPr w:rsidR="0023462A" w:rsidSect="009030B8">
          <w:headerReference w:type="even" r:id="rId24"/>
          <w:headerReference w:type="default" r:id="rId25"/>
          <w:footerReference w:type="even" r:id="rId26"/>
          <w:footerReference w:type="default" r:id="rId27"/>
          <w:headerReference w:type="first" r:id="rId28"/>
          <w:footerReference w:type="first" r:id="rId29"/>
          <w:pgSz w:w="16839" w:h="11907" w:orient="landscape"/>
          <w:pgMar w:top="1134" w:right="1134" w:bottom="1134" w:left="1134" w:header="567" w:footer="567" w:gutter="0"/>
          <w:cols w:space="720"/>
          <w:docGrid w:linePitch="360"/>
        </w:sectPr>
      </w:pPr>
    </w:p>
    <w:p w14:paraId="73AC84FE" w14:textId="596BD80A" w:rsidR="0023462A" w:rsidRDefault="0023462A">
      <w:pPr>
        <w:pStyle w:val="paragraph"/>
        <w:spacing w:before="0" w:beforeAutospacing="0" w:after="120" w:afterAutospacing="0"/>
        <w:ind w:left="840" w:hanging="840"/>
        <w:jc w:val="both"/>
        <w:textAlignment w:val="baseline"/>
        <w:rPr>
          <w:rStyle w:val="normaltextrun"/>
          <w:rFonts w:ascii="Times New Roman" w:hAnsi="Times New Roman" w:cs="Times New Roman"/>
          <w:noProof/>
          <w:sz w:val="24"/>
          <w:szCs w:val="24"/>
          <w:u w:val="single"/>
        </w:rPr>
      </w:pPr>
    </w:p>
    <w:p w14:paraId="5B30B099" w14:textId="77777777" w:rsidR="0023462A" w:rsidRDefault="00A550FA">
      <w:pPr>
        <w:pStyle w:val="P68B1DB1-Heading25"/>
        <w:keepLines w:val="0"/>
        <w:spacing w:before="0" w:after="120"/>
        <w:jc w:val="both"/>
        <w:rPr>
          <w:noProof/>
        </w:rPr>
      </w:pPr>
      <w:r>
        <w:rPr>
          <w:noProof/>
        </w:rPr>
        <w:t>B. Élément 2: FORCE DE TRAVAIL ÉLEVÉE ET COMPÉTITIVE</w:t>
      </w:r>
    </w:p>
    <w:p w14:paraId="23B3662E" w14:textId="77777777" w:rsidR="0023462A" w:rsidRDefault="00A550FA">
      <w:pPr>
        <w:pStyle w:val="P68B1DB1-Normal6"/>
        <w:spacing w:after="120" w:line="240" w:lineRule="auto"/>
        <w:jc w:val="both"/>
        <w:rPr>
          <w:rFonts w:eastAsiaTheme="minorHAnsi"/>
          <w:noProof/>
        </w:rPr>
      </w:pPr>
      <w:r>
        <w:rPr>
          <w:noProof/>
        </w:rPr>
        <w:t xml:space="preserve">Ce volet du plan hongrois pour la reprise et la résilience contribue à la modernisation des systèmes d’enseignement professionnel et supérieur. Il répond aux défis de la transition écologique et numérique en mettant en œuvre des solutions de rénovation de l’efficacité énergétique et d’équipement numérique dans les bâtiments des établissements d’enseignement supérieur et professionnel. Le volet aborde également les défis liés au développement des compétences et aux niveaux de recherche et d’innovation en encourageant les projets de recherche entre entreprises et universités. Les mesures relevant de cette composante sont importantes pour la reprise de l’économie et pour renforcer la résilience future face aux crises. </w:t>
      </w:r>
    </w:p>
    <w:p w14:paraId="3463CA74" w14:textId="5924FDBA" w:rsidR="0023462A" w:rsidRDefault="00A550FA">
      <w:pPr>
        <w:pStyle w:val="P68B1DB1-Normal6"/>
        <w:spacing w:after="120" w:line="240" w:lineRule="auto"/>
        <w:jc w:val="both"/>
        <w:rPr>
          <w:rFonts w:eastAsiaTheme="minorHAnsi"/>
          <w:noProof/>
        </w:rPr>
      </w:pPr>
      <w:r>
        <w:rPr>
          <w:noProof/>
        </w:rPr>
        <w:t xml:space="preserve">L'objectif central de ce volet est de renforcer la main-d'œuvre et les institutions de formation connexes à la lumière des crises actuelles et de nouvelles crises éventuelles, et d'améliorer l'environnement socio-économique de la Hongrie. À cette fin, le volet vise i) à créer un système d’enseignement supérieur compétitif; ii) contribuer à accroître la disponibilité de travailleurs qualifiés; et iii) soutenir un écosystème pour la science, l’innovation et la formation. </w:t>
      </w:r>
    </w:p>
    <w:p w14:paraId="735A9283" w14:textId="77777777" w:rsidR="0023462A" w:rsidRDefault="00A550FA">
      <w:pPr>
        <w:pStyle w:val="P68B1DB1-Normal6"/>
        <w:spacing w:after="120" w:line="240" w:lineRule="auto"/>
        <w:jc w:val="both"/>
        <w:rPr>
          <w:rFonts w:eastAsiaTheme="minorHAnsi"/>
          <w:noProof/>
        </w:rPr>
      </w:pPr>
      <w:r>
        <w:rPr>
          <w:noProof/>
        </w:rPr>
        <w:t xml:space="preserve">Le volet soutient la mise en œuvre des recommandations par pays sur la promotion des investissements et des réformes dans la recherche et l’innovation, ainsi que des compétences vertes et numériques (recommandation par pays no 5 en 2022); concentrer les investissements sur les transitions écologique et numérique et sur l’infrastructure numérique des écoles (recommandation par pays no 2 en 2020); et sur l’orientation de la politique économique liée à l’investissement vers la recherche et l’innovation (recommandation par pays no 3 en 2019). </w:t>
      </w:r>
    </w:p>
    <w:p w14:paraId="74B3ABA4" w14:textId="1D9998E7" w:rsidR="0023462A" w:rsidRDefault="00A550FA">
      <w:pPr>
        <w:pStyle w:val="P68B1DB1-Normal6"/>
        <w:spacing w:after="120" w:line="240" w:lineRule="auto"/>
        <w:jc w:val="both"/>
        <w:rPr>
          <w:rFonts w:eastAsiaTheme="minorHAnsi"/>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2BCC9CC1" w14:textId="77777777" w:rsidR="0023462A" w:rsidRDefault="00A550FA">
      <w:pPr>
        <w:pStyle w:val="P68B1DB1-Heading310"/>
        <w:spacing w:before="0" w:after="120"/>
        <w:rPr>
          <w:noProof/>
        </w:rPr>
      </w:pPr>
      <w:r>
        <w:rPr>
          <w:noProof/>
        </w:rPr>
        <w:t>B.1. Description des réformes et des investissements pour le soutien financier non remboursable</w:t>
      </w:r>
    </w:p>
    <w:p w14:paraId="63A65A6C" w14:textId="65D7FCC1" w:rsidR="0023462A" w:rsidRDefault="00A550FA">
      <w:pPr>
        <w:pStyle w:val="P68B1DB1-Heading411"/>
        <w:spacing w:before="0" w:after="120" w:line="240" w:lineRule="auto"/>
        <w:rPr>
          <w:noProof/>
        </w:rPr>
      </w:pPr>
      <w:r>
        <w:rPr>
          <w:noProof/>
        </w:rPr>
        <w:t>C2.R1 : Modernisation des cours d'enseignement supérieur</w:t>
      </w:r>
    </w:p>
    <w:p w14:paraId="3FFFD2DF" w14:textId="3199223D" w:rsidR="0023462A" w:rsidRDefault="00A550FA">
      <w:pPr>
        <w:pStyle w:val="P68B1DB1-Normal6"/>
        <w:spacing w:after="120" w:line="240" w:lineRule="auto"/>
        <w:jc w:val="both"/>
        <w:rPr>
          <w:rFonts w:eastAsiaTheme="minorHAnsi"/>
          <w:noProof/>
        </w:rPr>
      </w:pPr>
      <w:r>
        <w:rPr>
          <w:noProof/>
        </w:rPr>
        <w:t xml:space="preserve">L'objectif de cette mesure est de moderniser l'enseignement supérieur en incluant davantage d'éléments axés sur la pratique dans les programmes. </w:t>
      </w:r>
    </w:p>
    <w:p w14:paraId="6A4B38FB" w14:textId="0C78B3F7" w:rsidR="0023462A" w:rsidRDefault="00A550FA">
      <w:pPr>
        <w:pStyle w:val="P68B1DB1-Normal34"/>
        <w:spacing w:after="120" w:line="240" w:lineRule="auto"/>
        <w:jc w:val="both"/>
        <w:rPr>
          <w:noProof/>
        </w:rPr>
      </w:pPr>
      <w:r>
        <w:rPr>
          <w:noProof/>
        </w:rPr>
        <w:t xml:space="preserve">Cette mesure consiste à réviser les programmes d'enseignement supérieur afin d'introduire des éléments axés sur la pratique et à modifier certains règlements connexes. </w:t>
      </w:r>
    </w:p>
    <w:p w14:paraId="62D5DD08" w14:textId="0D9CC8B3" w:rsidR="0023462A" w:rsidRDefault="00A550FA">
      <w:pPr>
        <w:pStyle w:val="P68B1DB1-Heading411"/>
        <w:spacing w:before="0" w:after="120" w:line="240" w:lineRule="auto"/>
        <w:rPr>
          <w:noProof/>
        </w:rPr>
      </w:pPr>
      <w:r>
        <w:rPr>
          <w:noProof/>
        </w:rPr>
        <w:t xml:space="preserve">C2.I1 : Innovation institutionnelle dans l'enseignement supérieur </w:t>
      </w:r>
    </w:p>
    <w:p w14:paraId="418D72AB" w14:textId="5AC34198" w:rsidR="0023462A" w:rsidRDefault="00A550FA">
      <w:pPr>
        <w:pStyle w:val="P68B1DB1-Normal6"/>
        <w:spacing w:after="120" w:line="240" w:lineRule="auto"/>
        <w:jc w:val="both"/>
        <w:rPr>
          <w:rFonts w:eastAsiaTheme="minorHAnsi"/>
          <w:noProof/>
        </w:rPr>
      </w:pPr>
      <w:r>
        <w:rPr>
          <w:noProof/>
        </w:rPr>
        <w:t xml:space="preserve">L’objectif de cette mesure est de développer des contenus d’apprentissage numériques. </w:t>
      </w:r>
    </w:p>
    <w:p w14:paraId="226B0E9A" w14:textId="4C20841E" w:rsidR="0023462A" w:rsidRDefault="00A550FA">
      <w:pPr>
        <w:pStyle w:val="P68B1DB1-Normal34"/>
        <w:spacing w:after="120" w:line="240" w:lineRule="auto"/>
        <w:jc w:val="both"/>
        <w:rPr>
          <w:b/>
          <w:noProof/>
        </w:rPr>
      </w:pPr>
      <w:r>
        <w:rPr>
          <w:noProof/>
        </w:rPr>
        <w:t xml:space="preserve">Cette mesure consiste à développer du contenu d’apprentissage numérique. </w:t>
      </w:r>
    </w:p>
    <w:p w14:paraId="001BE511" w14:textId="48678A7A" w:rsidR="0023462A" w:rsidRDefault="00A550FA">
      <w:pPr>
        <w:pStyle w:val="P68B1DB1-Heading411"/>
        <w:spacing w:before="0" w:after="120" w:line="240" w:lineRule="auto"/>
        <w:rPr>
          <w:noProof/>
        </w:rPr>
      </w:pPr>
      <w:r>
        <w:rPr>
          <w:noProof/>
        </w:rPr>
        <w:t xml:space="preserve">C2.I2 : Numérisation et modernisation des infrastructures de l’enseignement supérieur </w:t>
      </w:r>
    </w:p>
    <w:p w14:paraId="492F7CB7" w14:textId="18B4F3D5" w:rsidR="0023462A" w:rsidRDefault="00A550FA">
      <w:pPr>
        <w:pStyle w:val="P68B1DB1-Normal6"/>
        <w:spacing w:after="120" w:line="240" w:lineRule="auto"/>
        <w:jc w:val="both"/>
        <w:rPr>
          <w:rFonts w:eastAsiaTheme="minorHAnsi"/>
          <w:noProof/>
        </w:rPr>
      </w:pPr>
      <w:r>
        <w:rPr>
          <w:noProof/>
        </w:rPr>
        <w:t xml:space="preserve">L’objectif de cette mesure est d’accroître l’attractivité des établissements d’enseignement supérieur et de soutenir la transition écologique et numérique au moyen d’infrastructures modernisées et de la numérisation. </w:t>
      </w:r>
    </w:p>
    <w:p w14:paraId="3DD05385" w14:textId="26E8F0CF" w:rsidR="0023462A" w:rsidRDefault="00A550FA">
      <w:pPr>
        <w:pStyle w:val="P68B1DB1-Normal12"/>
        <w:spacing w:after="120" w:line="240" w:lineRule="auto"/>
        <w:jc w:val="both"/>
        <w:rPr>
          <w:rFonts w:ascii="Times New Roman" w:hAnsi="Times New Roman"/>
          <w:noProof/>
        </w:rPr>
      </w:pPr>
      <w:r>
        <w:rPr>
          <w:rFonts w:ascii="Times New Roman" w:hAnsi="Times New Roman" w:cs="Times New Roman"/>
          <w:noProof/>
          <w:szCs w:val="24"/>
        </w:rPr>
        <w:t>Cette</w:t>
      </w:r>
      <w:r>
        <w:rPr>
          <w:rFonts w:ascii="Times New Roman" w:hAnsi="Times New Roman"/>
          <w:noProof/>
        </w:rPr>
        <w:t xml:space="preserve"> mesure </w:t>
      </w:r>
      <w:r>
        <w:rPr>
          <w:rFonts w:ascii="Times New Roman" w:hAnsi="Times New Roman" w:cs="Times New Roman"/>
          <w:noProof/>
          <w:szCs w:val="24"/>
        </w:rPr>
        <w:t>consiste</w:t>
      </w:r>
      <w:r>
        <w:rPr>
          <w:rFonts w:ascii="Times New Roman" w:hAnsi="Times New Roman"/>
          <w:noProof/>
        </w:rPr>
        <w:t xml:space="preserve"> à:</w:t>
      </w:r>
    </w:p>
    <w:p w14:paraId="7C20F1C6" w14:textId="60886BC0" w:rsidR="0023462A" w:rsidRDefault="00A550FA">
      <w:pPr>
        <w:pStyle w:val="P68B1DB1-ListParagraph7"/>
        <w:numPr>
          <w:ilvl w:val="0"/>
          <w:numId w:val="157"/>
        </w:numPr>
        <w:spacing w:after="120" w:line="240" w:lineRule="auto"/>
        <w:contextualSpacing w:val="0"/>
        <w:jc w:val="both"/>
        <w:rPr>
          <w:rFonts w:eastAsiaTheme="minorHAnsi"/>
          <w:noProof/>
        </w:rPr>
      </w:pPr>
      <w:r>
        <w:rPr>
          <w:noProof/>
        </w:rPr>
        <w:t>rénovation de l’efficacité énergétique des établissements d’enseignement supérieur, en réalisant au moins 30 % d’économies d’énergie primaire.</w:t>
      </w:r>
    </w:p>
    <w:p w14:paraId="16E83EAE" w14:textId="29FB6F3F" w:rsidR="0023462A" w:rsidRDefault="00A550FA">
      <w:pPr>
        <w:pStyle w:val="P68B1DB1-ListParagraph7"/>
        <w:numPr>
          <w:ilvl w:val="0"/>
          <w:numId w:val="157"/>
        </w:numPr>
        <w:spacing w:after="120" w:line="240" w:lineRule="auto"/>
        <w:contextualSpacing w:val="0"/>
        <w:jc w:val="both"/>
        <w:rPr>
          <w:rFonts w:eastAsiaTheme="minorHAnsi"/>
          <w:noProof/>
        </w:rPr>
      </w:pPr>
      <w:r>
        <w:rPr>
          <w:noProof/>
        </w:rPr>
        <w:t xml:space="preserve">la construction de nouveaux bâtiments pour les établissements d’enseignement supérieur, dont la demande d’énergie primaire est inférieure d’au moins 20 % à l’exigence relative aux bâtiments dont la consommation d’énergie est quasi nulle. </w:t>
      </w:r>
    </w:p>
    <w:p w14:paraId="5E1646DD" w14:textId="76A796D8" w:rsidR="0023462A" w:rsidRDefault="00A550FA">
      <w:pPr>
        <w:pStyle w:val="P68B1DB1-ListParagraph35"/>
        <w:numPr>
          <w:ilvl w:val="0"/>
          <w:numId w:val="157"/>
        </w:numPr>
        <w:spacing w:after="120" w:line="240" w:lineRule="auto"/>
        <w:contextualSpacing w:val="0"/>
        <w:jc w:val="both"/>
        <w:rPr>
          <w:noProof/>
        </w:rPr>
      </w:pPr>
      <w:r>
        <w:rPr>
          <w:noProof/>
        </w:rPr>
        <w:t xml:space="preserve">l’achat et la livraison d’équipements numériques dans les établissements d’enseignement supérieur. </w:t>
      </w:r>
    </w:p>
    <w:p w14:paraId="17A982AD" w14:textId="2F1B1CCA" w:rsidR="0023462A" w:rsidRDefault="00A550FA">
      <w:pPr>
        <w:pStyle w:val="P68B1DB1-Heading411"/>
        <w:spacing w:before="0" w:after="120" w:line="240" w:lineRule="auto"/>
        <w:rPr>
          <w:noProof/>
        </w:rPr>
      </w:pPr>
      <w:r>
        <w:rPr>
          <w:noProof/>
        </w:rPr>
        <w:t xml:space="preserve">C2.I3 : Infrastructures d'enseignement et de formation professionnels pour le XXIe siècle </w:t>
      </w:r>
    </w:p>
    <w:p w14:paraId="5D06DA06" w14:textId="3C823657" w:rsidR="0023462A" w:rsidRDefault="00A550FA">
      <w:pPr>
        <w:pStyle w:val="P68B1DB1-Normal12"/>
        <w:spacing w:after="120" w:line="240" w:lineRule="auto"/>
        <w:jc w:val="both"/>
        <w:rPr>
          <w:rFonts w:ascii="Times New Roman" w:eastAsiaTheme="minorHAnsi" w:hAnsi="Times New Roman"/>
          <w:noProof/>
        </w:rPr>
      </w:pPr>
      <w:r>
        <w:rPr>
          <w:rFonts w:ascii="Times New Roman" w:hAnsi="Times New Roman"/>
          <w:noProof/>
        </w:rPr>
        <w:t xml:space="preserve">L’objectif de l’investissement est d’améliorer la numérisation </w:t>
      </w:r>
      <w:r>
        <w:rPr>
          <w:rFonts w:ascii="Times New Roman" w:hAnsi="Times New Roman" w:cs="Times New Roman"/>
          <w:noProof/>
          <w:szCs w:val="24"/>
        </w:rPr>
        <w:t xml:space="preserve">et l’efficacité énergétique </w:t>
      </w:r>
      <w:r>
        <w:rPr>
          <w:rFonts w:ascii="Times New Roman" w:hAnsi="Times New Roman"/>
          <w:noProof/>
        </w:rPr>
        <w:t xml:space="preserve">de </w:t>
      </w:r>
      <w:r>
        <w:rPr>
          <w:rFonts w:ascii="Times New Roman" w:hAnsi="Times New Roman" w:cs="Times New Roman"/>
          <w:noProof/>
          <w:szCs w:val="24"/>
        </w:rPr>
        <w:t xml:space="preserve">certains </w:t>
      </w:r>
      <w:r>
        <w:rPr>
          <w:rFonts w:ascii="Times New Roman" w:hAnsi="Times New Roman"/>
          <w:noProof/>
        </w:rPr>
        <w:t xml:space="preserve">centres de formation professionnelle. </w:t>
      </w:r>
    </w:p>
    <w:p w14:paraId="4B18167C" w14:textId="650CFB4B" w:rsidR="0023462A" w:rsidRDefault="00A550FA">
      <w:pPr>
        <w:pStyle w:val="P68B1DB1-Normal34"/>
        <w:spacing w:after="120" w:line="240" w:lineRule="auto"/>
        <w:jc w:val="both"/>
        <w:rPr>
          <w:noProof/>
        </w:rPr>
      </w:pPr>
      <w:r>
        <w:rPr>
          <w:noProof/>
        </w:rPr>
        <w:t xml:space="preserve">Cette mesure consiste à: (i) la rénovation de l’efficacité énergétique et/ou la construction de nouveaux bâtiments, et (ii) l’achat et la livraison d’équipements TIC à certains centres d’enseignement et de formation professionnels. </w:t>
      </w:r>
    </w:p>
    <w:p w14:paraId="762373DA" w14:textId="3CFE334F" w:rsidR="0023462A" w:rsidRDefault="00A550FA">
      <w:pPr>
        <w:pStyle w:val="P68B1DB1-Heading411"/>
        <w:spacing w:before="0" w:after="120" w:line="240" w:lineRule="auto"/>
        <w:rPr>
          <w:noProof/>
        </w:rPr>
      </w:pPr>
      <w:r>
        <w:rPr>
          <w:noProof/>
        </w:rPr>
        <w:t xml:space="preserve">C2.I4 : Développement du Centre central d'examen </w:t>
      </w:r>
    </w:p>
    <w:p w14:paraId="4920661C" w14:textId="0C2928DB" w:rsidR="0023462A" w:rsidRDefault="00A550FA">
      <w:pPr>
        <w:pStyle w:val="P68B1DB1-Normal12"/>
        <w:spacing w:after="120" w:line="240" w:lineRule="auto"/>
        <w:jc w:val="both"/>
        <w:rPr>
          <w:rFonts w:ascii="Times New Roman" w:eastAsiaTheme="minorHAnsi" w:hAnsi="Times New Roman"/>
          <w:noProof/>
        </w:rPr>
      </w:pPr>
      <w:r>
        <w:rPr>
          <w:rFonts w:ascii="Times New Roman" w:hAnsi="Times New Roman"/>
          <w:noProof/>
        </w:rPr>
        <w:t xml:space="preserve">L'objectif de cette mesure est de </w:t>
      </w:r>
      <w:r>
        <w:rPr>
          <w:rFonts w:ascii="Times New Roman" w:hAnsi="Times New Roman" w:cs="Times New Roman"/>
          <w:noProof/>
          <w:szCs w:val="24"/>
        </w:rPr>
        <w:t>développer</w:t>
      </w:r>
      <w:r>
        <w:rPr>
          <w:rFonts w:ascii="Times New Roman" w:hAnsi="Times New Roman"/>
          <w:noProof/>
        </w:rPr>
        <w:t xml:space="preserve"> un centre d'examen central à Budapest </w:t>
      </w:r>
      <w:r>
        <w:rPr>
          <w:rFonts w:ascii="Times New Roman" w:hAnsi="Times New Roman" w:cs="Times New Roman"/>
          <w:noProof/>
          <w:szCs w:val="24"/>
        </w:rPr>
        <w:t xml:space="preserve">pour promouvoir </w:t>
      </w:r>
      <w:r>
        <w:rPr>
          <w:rFonts w:ascii="Times New Roman" w:hAnsi="Times New Roman"/>
          <w:noProof/>
        </w:rPr>
        <w:t xml:space="preserve">des examens professionnels de qualité. </w:t>
      </w:r>
    </w:p>
    <w:p w14:paraId="35E0D567" w14:textId="0EA6EF76" w:rsidR="0023462A" w:rsidRDefault="00A550FA">
      <w:pPr>
        <w:pStyle w:val="P68B1DB1-Normal12"/>
        <w:spacing w:after="120" w:line="240" w:lineRule="auto"/>
        <w:jc w:val="both"/>
        <w:rPr>
          <w:rFonts w:ascii="Times New Roman" w:hAnsi="Times New Roman"/>
          <w:noProof/>
        </w:rPr>
      </w:pPr>
      <w:r>
        <w:rPr>
          <w:rFonts w:ascii="Times New Roman" w:hAnsi="Times New Roman"/>
          <w:noProof/>
        </w:rPr>
        <w:t xml:space="preserve">Cet investissement </w:t>
      </w:r>
      <w:r>
        <w:rPr>
          <w:rFonts w:ascii="Times New Roman" w:hAnsi="Times New Roman" w:cs="Times New Roman"/>
          <w:noProof/>
          <w:szCs w:val="24"/>
        </w:rPr>
        <w:t>consiste en la rénovation, l’achat et la livraison d’équipements pour</w:t>
      </w:r>
      <w:r>
        <w:rPr>
          <w:rFonts w:ascii="Times New Roman" w:hAnsi="Times New Roman"/>
          <w:noProof/>
        </w:rPr>
        <w:t xml:space="preserve"> le centre central d’examen.</w:t>
      </w:r>
      <w:r>
        <w:rPr>
          <w:rFonts w:ascii="Times New Roman" w:hAnsi="Times New Roman" w:cs="Times New Roman"/>
          <w:noProof/>
          <w:szCs w:val="24"/>
        </w:rPr>
        <w:t xml:space="preserve"> </w:t>
      </w:r>
    </w:p>
    <w:p w14:paraId="0D6793EF" w14:textId="6296CDD1" w:rsidR="0023462A" w:rsidRDefault="00A550FA">
      <w:pPr>
        <w:pStyle w:val="P68B1DB1-Heading411"/>
        <w:spacing w:before="0" w:after="120" w:line="240" w:lineRule="auto"/>
        <w:rPr>
          <w:noProof/>
        </w:rPr>
      </w:pPr>
      <w:r>
        <w:rPr>
          <w:noProof/>
        </w:rPr>
        <w:t>C2.I5 : Soutien à la recherche et au développement</w:t>
      </w:r>
    </w:p>
    <w:p w14:paraId="4AA0AE84" w14:textId="14856023" w:rsidR="0023462A" w:rsidRDefault="00A550FA">
      <w:pPr>
        <w:pStyle w:val="P68B1DB1-Normal36"/>
        <w:spacing w:after="120" w:line="240" w:lineRule="auto"/>
        <w:jc w:val="both"/>
        <w:rPr>
          <w:noProof/>
        </w:rPr>
      </w:pPr>
      <w:r>
        <w:rPr>
          <w:noProof/>
        </w:rPr>
        <w:t>L'objectif de l'investissement est de renforcer l'écosystème de l'innovation dans le pays en soutenant les activités de recherche et développement dans les domaines de la sécurité de la société et de l'environnement; la santé; l’industrie et la numérisation.</w:t>
      </w:r>
    </w:p>
    <w:p w14:paraId="59A2E9A6" w14:textId="0F0B2667" w:rsidR="0023462A" w:rsidRDefault="00A550FA">
      <w:pPr>
        <w:pStyle w:val="P68B1DB1-Normal6"/>
        <w:spacing w:after="120" w:line="240" w:lineRule="auto"/>
        <w:jc w:val="both"/>
        <w:rPr>
          <w:rFonts w:eastAsiaTheme="minorHAnsi"/>
          <w:noProof/>
        </w:rPr>
      </w:pPr>
      <w:r>
        <w:rPr>
          <w:noProof/>
        </w:rPr>
        <w:t xml:space="preserve">La mesure consiste à fournir un soutien financier aux entités de recherche. </w:t>
      </w:r>
    </w:p>
    <w:p w14:paraId="59EA7D7D" w14:textId="7E109344" w:rsidR="0023462A" w:rsidRDefault="00A550FA">
      <w:pPr>
        <w:pStyle w:val="P68B1DB1-Normal34"/>
        <w:spacing w:after="120" w:line="240" w:lineRule="auto"/>
        <w:jc w:val="both"/>
        <w:rPr>
          <w:noProof/>
        </w:rPr>
      </w:pPr>
      <w:r>
        <w:rPr>
          <w:noProof/>
        </w:rPr>
        <w:t xml:space="preserve"> </w:t>
      </w:r>
    </w:p>
    <w:p w14:paraId="114FE172" w14:textId="77777777" w:rsidR="0023462A" w:rsidRDefault="0023462A">
      <w:pPr>
        <w:spacing w:after="120" w:line="240" w:lineRule="auto"/>
        <w:jc w:val="both"/>
        <w:rPr>
          <w:rFonts w:ascii="Times New Roman" w:hAnsi="Times New Roman" w:cs="Times New Roman"/>
          <w:noProof/>
          <w:sz w:val="24"/>
          <w:szCs w:val="24"/>
        </w:rPr>
        <w:sectPr w:rsidR="0023462A" w:rsidSect="009030B8">
          <w:headerReference w:type="even" r:id="rId30"/>
          <w:headerReference w:type="default" r:id="rId31"/>
          <w:footerReference w:type="even" r:id="rId32"/>
          <w:footerReference w:type="default" r:id="rId33"/>
          <w:headerReference w:type="first" r:id="rId34"/>
          <w:footerReference w:type="first" r:id="rId35"/>
          <w:pgSz w:w="11907" w:h="16839"/>
          <w:pgMar w:top="1134" w:right="1134" w:bottom="1134" w:left="1134" w:header="567" w:footer="567" w:gutter="0"/>
          <w:cols w:space="720"/>
          <w:docGrid w:linePitch="360"/>
        </w:sectPr>
      </w:pPr>
    </w:p>
    <w:p w14:paraId="40889759" w14:textId="77777777" w:rsidR="0023462A" w:rsidRDefault="00A550FA">
      <w:pPr>
        <w:pStyle w:val="P68B1DB1-Heading310"/>
        <w:spacing w:before="0" w:after="120"/>
        <w:rPr>
          <w:noProof/>
        </w:rPr>
      </w:pPr>
      <w:r>
        <w:rPr>
          <w:noProof/>
        </w:rPr>
        <w:t xml:space="preserve">B.2. </w:t>
      </w:r>
      <w:r>
        <w:rPr>
          <w:noProof/>
        </w:rPr>
        <w:tab/>
        <w:t>Étapes, cibles, indicateurs et calendrier pour le suivi et la mise en œuvre du soutien financier non remboursable</w:t>
      </w:r>
    </w:p>
    <w:tbl>
      <w:tblPr>
        <w:tblW w:w="16191" w:type="dxa"/>
        <w:tblInd w:w="-743" w:type="dxa"/>
        <w:tblLook w:val="04A0" w:firstRow="1" w:lastRow="0" w:firstColumn="1" w:lastColumn="0" w:noHBand="0" w:noVBand="1"/>
      </w:tblPr>
      <w:tblGrid>
        <w:gridCol w:w="1022"/>
        <w:gridCol w:w="1613"/>
        <w:gridCol w:w="1296"/>
        <w:gridCol w:w="1894"/>
        <w:gridCol w:w="1803"/>
        <w:gridCol w:w="1457"/>
        <w:gridCol w:w="1103"/>
        <w:gridCol w:w="846"/>
        <w:gridCol w:w="986"/>
        <w:gridCol w:w="768"/>
        <w:gridCol w:w="3403"/>
      </w:tblGrid>
      <w:tr w:rsidR="0023462A" w14:paraId="4602760E" w14:textId="77777777">
        <w:trPr>
          <w:trHeight w:val="313"/>
          <w:tblHeader/>
        </w:trPr>
        <w:tc>
          <w:tcPr>
            <w:tcW w:w="102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3230F5E" w14:textId="77777777" w:rsidR="0023462A" w:rsidRDefault="00A550FA">
            <w:pPr>
              <w:pStyle w:val="P68B1DB1-Normal37"/>
              <w:spacing w:after="120" w:line="240" w:lineRule="auto"/>
              <w:jc w:val="center"/>
              <w:rPr>
                <w:noProof/>
              </w:rPr>
            </w:pPr>
            <w:r>
              <w:rPr>
                <w:noProof/>
              </w:rPr>
              <w:t>Numéro séquentiel</w:t>
            </w:r>
          </w:p>
        </w:tc>
        <w:tc>
          <w:tcPr>
            <w:tcW w:w="164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311616B" w14:textId="77777777" w:rsidR="0023462A" w:rsidRDefault="00A550FA">
            <w:pPr>
              <w:pStyle w:val="P68B1DB1-Normal37"/>
              <w:spacing w:after="120" w:line="240" w:lineRule="auto"/>
              <w:jc w:val="center"/>
              <w:rPr>
                <w:rFonts w:eastAsiaTheme="minorHAnsi"/>
                <w:noProof/>
              </w:rPr>
            </w:pPr>
            <w:r>
              <w:rPr>
                <w:noProof/>
              </w:rPr>
              <w:t>Mesure connexe (réforme ou investissement)</w:t>
            </w:r>
          </w:p>
        </w:tc>
        <w:tc>
          <w:tcPr>
            <w:tcW w:w="103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CD2F84C" w14:textId="4B1BE8C5" w:rsidR="0023462A" w:rsidRDefault="00A550FA">
            <w:pPr>
              <w:pStyle w:val="P68B1DB1-Normal37"/>
              <w:spacing w:after="120" w:line="240" w:lineRule="auto"/>
              <w:jc w:val="center"/>
              <w:rPr>
                <w:rFonts w:eastAsiaTheme="minorHAnsi"/>
                <w:noProof/>
              </w:rPr>
            </w:pPr>
            <w:r>
              <w:rPr>
                <w:noProof/>
              </w:rPr>
              <w:t>Étape/objectif</w:t>
            </w:r>
          </w:p>
        </w:tc>
        <w:tc>
          <w:tcPr>
            <w:tcW w:w="196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48C5ED1" w14:textId="77777777" w:rsidR="0023462A" w:rsidRDefault="00A550FA">
            <w:pPr>
              <w:pStyle w:val="P68B1DB1-Normal37"/>
              <w:spacing w:after="120" w:line="240" w:lineRule="auto"/>
              <w:jc w:val="center"/>
              <w:rPr>
                <w:rFonts w:eastAsiaTheme="minorHAnsi"/>
                <w:noProof/>
              </w:rPr>
            </w:pPr>
            <w:r>
              <w:rPr>
                <w:noProof/>
              </w:rPr>
              <w:t>Nom</w:t>
            </w:r>
          </w:p>
        </w:tc>
        <w:tc>
          <w:tcPr>
            <w:tcW w:w="184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81E554A" w14:textId="63316129" w:rsidR="0023462A" w:rsidRDefault="00A550FA">
            <w:pPr>
              <w:pStyle w:val="P68B1DB1-Normal32"/>
              <w:spacing w:after="120" w:line="240" w:lineRule="auto"/>
              <w:jc w:val="center"/>
              <w:rPr>
                <w:rFonts w:eastAsiaTheme="minorHAnsi"/>
                <w:b/>
                <w:noProof/>
              </w:rPr>
            </w:pPr>
            <w:r>
              <w:rPr>
                <w:b/>
                <w:noProof/>
              </w:rPr>
              <w:t>Indicateurs qualitatifs</w:t>
            </w:r>
            <w:r>
              <w:rPr>
                <w:noProof/>
              </w:rPr>
              <w:br/>
            </w:r>
            <w:r>
              <w:rPr>
                <w:b/>
                <w:noProof/>
              </w:rPr>
              <w:t>(pour les jalons)</w:t>
            </w:r>
          </w:p>
        </w:tc>
        <w:tc>
          <w:tcPr>
            <w:tcW w:w="3372"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2EBAB7CC" w14:textId="7C5E3C57" w:rsidR="0023462A" w:rsidRDefault="00A550FA">
            <w:pPr>
              <w:pStyle w:val="P68B1DB1-Normal32"/>
              <w:spacing w:after="120" w:line="240" w:lineRule="auto"/>
              <w:jc w:val="center"/>
              <w:rPr>
                <w:rFonts w:eastAsiaTheme="minorHAnsi"/>
                <w:b/>
                <w:noProof/>
              </w:rPr>
            </w:pPr>
            <w:r>
              <w:rPr>
                <w:b/>
                <w:noProof/>
              </w:rPr>
              <w:t>Indicateurs quantitatifs</w:t>
            </w:r>
            <w:r>
              <w:rPr>
                <w:noProof/>
              </w:rPr>
              <w:br/>
            </w:r>
            <w:r>
              <w:rPr>
                <w:b/>
                <w:noProof/>
              </w:rPr>
              <w:t>(pour les objectifs)</w:t>
            </w:r>
          </w:p>
        </w:tc>
        <w:tc>
          <w:tcPr>
            <w:tcW w:w="1623"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4C29E4A0" w14:textId="4AF5D254" w:rsidR="0023462A" w:rsidRDefault="00A550FA">
            <w:pPr>
              <w:pStyle w:val="P68B1DB1-Normal32"/>
              <w:spacing w:after="120" w:line="240" w:lineRule="auto"/>
              <w:jc w:val="center"/>
              <w:rPr>
                <w:rFonts w:eastAsiaTheme="minorHAnsi"/>
                <w:b/>
                <w:noProof/>
              </w:rPr>
            </w:pPr>
            <w:r>
              <w:rPr>
                <w:b/>
                <w:noProof/>
              </w:rPr>
              <w:t>Calendrier indicatif d'achèvement</w:t>
            </w:r>
            <w:r>
              <w:rPr>
                <w:noProof/>
              </w:rPr>
              <w:br/>
            </w:r>
          </w:p>
        </w:tc>
        <w:tc>
          <w:tcPr>
            <w:tcW w:w="3687"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7E34ADF4" w14:textId="77777777" w:rsidR="0023462A" w:rsidRDefault="00A550FA">
            <w:pPr>
              <w:pStyle w:val="P68B1DB1-Normal37"/>
              <w:spacing w:after="120" w:line="240" w:lineRule="auto"/>
              <w:jc w:val="center"/>
              <w:rPr>
                <w:rFonts w:eastAsiaTheme="minorHAnsi"/>
                <w:noProof/>
              </w:rPr>
            </w:pPr>
            <w:r>
              <w:rPr>
                <w:noProof/>
              </w:rPr>
              <w:t>Description de chaque jalon et cible</w:t>
            </w:r>
          </w:p>
        </w:tc>
      </w:tr>
      <w:tr w:rsidR="0023462A" w14:paraId="34372DDD" w14:textId="77777777">
        <w:trPr>
          <w:trHeight w:val="533"/>
          <w:tblHeader/>
        </w:trPr>
        <w:tc>
          <w:tcPr>
            <w:tcW w:w="1027" w:type="dxa"/>
            <w:vMerge/>
            <w:tcBorders>
              <w:top w:val="single" w:sz="4" w:space="0" w:color="auto"/>
              <w:left w:val="single" w:sz="4" w:space="0" w:color="auto"/>
              <w:bottom w:val="single" w:sz="4" w:space="0" w:color="auto"/>
              <w:right w:val="single" w:sz="4" w:space="0" w:color="auto"/>
            </w:tcBorders>
            <w:vAlign w:val="center"/>
            <w:hideMark/>
          </w:tcPr>
          <w:p w14:paraId="6777E035" w14:textId="77777777" w:rsidR="0023462A" w:rsidRDefault="0023462A">
            <w:pPr>
              <w:spacing w:after="120" w:line="240" w:lineRule="auto"/>
              <w:rPr>
                <w:rFonts w:ascii="Times New Roman" w:hAnsi="Times New Roman" w:cs="Times New Roman"/>
                <w:b/>
                <w:noProof/>
                <w:sz w:val="18"/>
                <w:szCs w:val="18"/>
              </w:rPr>
            </w:pPr>
          </w:p>
        </w:tc>
        <w:tc>
          <w:tcPr>
            <w:tcW w:w="1645" w:type="dxa"/>
            <w:vMerge/>
            <w:tcBorders>
              <w:top w:val="single" w:sz="4" w:space="0" w:color="auto"/>
              <w:left w:val="single" w:sz="4" w:space="0" w:color="auto"/>
              <w:bottom w:val="single" w:sz="4" w:space="0" w:color="auto"/>
              <w:right w:val="single" w:sz="4" w:space="0" w:color="auto"/>
            </w:tcBorders>
            <w:vAlign w:val="center"/>
            <w:hideMark/>
          </w:tcPr>
          <w:p w14:paraId="7CE14B62" w14:textId="77777777" w:rsidR="0023462A" w:rsidRDefault="0023462A">
            <w:pPr>
              <w:spacing w:after="120" w:line="240" w:lineRule="auto"/>
              <w:rPr>
                <w:rFonts w:ascii="Times New Roman" w:hAnsi="Times New Roman" w:cs="Times New Roman"/>
                <w:b/>
                <w:noProof/>
                <w:sz w:val="18"/>
                <w:szCs w:val="18"/>
              </w:rPr>
            </w:pPr>
          </w:p>
        </w:tc>
        <w:tc>
          <w:tcPr>
            <w:tcW w:w="1030" w:type="dxa"/>
            <w:vMerge/>
            <w:tcBorders>
              <w:top w:val="single" w:sz="4" w:space="0" w:color="auto"/>
              <w:left w:val="single" w:sz="4" w:space="0" w:color="auto"/>
              <w:bottom w:val="single" w:sz="4" w:space="0" w:color="auto"/>
              <w:right w:val="single" w:sz="4" w:space="0" w:color="auto"/>
            </w:tcBorders>
            <w:vAlign w:val="center"/>
            <w:hideMark/>
          </w:tcPr>
          <w:p w14:paraId="6A15F1A6" w14:textId="77777777" w:rsidR="0023462A" w:rsidRDefault="0023462A">
            <w:pPr>
              <w:spacing w:after="120" w:line="240" w:lineRule="auto"/>
              <w:rPr>
                <w:rFonts w:ascii="Times New Roman" w:hAnsi="Times New Roman" w:cs="Times New Roman"/>
                <w:b/>
                <w:noProof/>
                <w:sz w:val="18"/>
                <w:szCs w:val="18"/>
              </w:rPr>
            </w:pPr>
          </w:p>
        </w:tc>
        <w:tc>
          <w:tcPr>
            <w:tcW w:w="1966" w:type="dxa"/>
            <w:vMerge/>
            <w:tcBorders>
              <w:top w:val="single" w:sz="4" w:space="0" w:color="auto"/>
              <w:left w:val="single" w:sz="4" w:space="0" w:color="auto"/>
              <w:bottom w:val="single" w:sz="4" w:space="0" w:color="auto"/>
              <w:right w:val="single" w:sz="4" w:space="0" w:color="auto"/>
            </w:tcBorders>
            <w:vAlign w:val="center"/>
            <w:hideMark/>
          </w:tcPr>
          <w:p w14:paraId="66E461AB" w14:textId="77777777" w:rsidR="0023462A" w:rsidRDefault="0023462A">
            <w:pPr>
              <w:spacing w:after="120" w:line="240" w:lineRule="auto"/>
              <w:rPr>
                <w:rFonts w:ascii="Times New Roman" w:hAnsi="Times New Roman" w:cs="Times New Roman"/>
                <w:b/>
                <w:noProof/>
                <w:sz w:val="18"/>
                <w:szCs w:val="18"/>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14:paraId="6283BA55" w14:textId="77777777" w:rsidR="0023462A" w:rsidRDefault="0023462A">
            <w:pPr>
              <w:spacing w:after="120" w:line="240" w:lineRule="auto"/>
              <w:rPr>
                <w:rFonts w:ascii="Times New Roman" w:hAnsi="Times New Roman" w:cs="Times New Roman"/>
                <w:b/>
                <w:noProof/>
                <w:sz w:val="18"/>
                <w:szCs w:val="18"/>
              </w:rPr>
            </w:pPr>
          </w:p>
        </w:tc>
        <w:tc>
          <w:tcPr>
            <w:tcW w:w="154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2902737" w14:textId="77777777" w:rsidR="0023462A" w:rsidRDefault="00A550FA">
            <w:pPr>
              <w:pStyle w:val="P68B1DB1-Normal37"/>
              <w:spacing w:after="120" w:line="240" w:lineRule="auto"/>
              <w:jc w:val="center"/>
              <w:rPr>
                <w:rFonts w:eastAsiaTheme="minorHAnsi"/>
                <w:noProof/>
              </w:rPr>
            </w:pPr>
            <w:r>
              <w:rPr>
                <w:noProof/>
              </w:rPr>
              <w:t>Unité de mesure</w:t>
            </w:r>
          </w:p>
        </w:tc>
        <w:tc>
          <w:tcPr>
            <w:tcW w:w="112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F3D6F1B" w14:textId="77777777" w:rsidR="0023462A" w:rsidRDefault="00A550FA">
            <w:pPr>
              <w:pStyle w:val="P68B1DB1-Normal37"/>
              <w:spacing w:after="120" w:line="240" w:lineRule="auto"/>
              <w:jc w:val="center"/>
              <w:rPr>
                <w:rFonts w:eastAsiaTheme="minorHAnsi"/>
                <w:noProof/>
              </w:rPr>
            </w:pPr>
            <w:r>
              <w:rPr>
                <w:noProof/>
              </w:rPr>
              <w:t xml:space="preserve">Données de référence </w:t>
            </w:r>
          </w:p>
        </w:tc>
        <w:tc>
          <w:tcPr>
            <w:tcW w:w="70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2DC17AF" w14:textId="77777777" w:rsidR="0023462A" w:rsidRDefault="00A550FA">
            <w:pPr>
              <w:pStyle w:val="P68B1DB1-Normal37"/>
              <w:spacing w:after="120" w:line="240" w:lineRule="auto"/>
              <w:jc w:val="center"/>
              <w:rPr>
                <w:rFonts w:eastAsiaTheme="minorHAnsi"/>
                <w:noProof/>
              </w:rPr>
            </w:pPr>
            <w:r>
              <w:rPr>
                <w:noProof/>
              </w:rPr>
              <w:t xml:space="preserve">Objectif </w:t>
            </w:r>
          </w:p>
        </w:tc>
        <w:tc>
          <w:tcPr>
            <w:tcW w:w="84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08542E2" w14:textId="77777777" w:rsidR="0023462A" w:rsidRDefault="00A550FA">
            <w:pPr>
              <w:pStyle w:val="P68B1DB1-Normal37"/>
              <w:spacing w:after="120" w:line="240" w:lineRule="auto"/>
              <w:jc w:val="center"/>
              <w:rPr>
                <w:rFonts w:eastAsiaTheme="minorHAnsi"/>
                <w:noProof/>
              </w:rPr>
            </w:pPr>
            <w:r>
              <w:rPr>
                <w:noProof/>
              </w:rPr>
              <w:t>Trimestre</w:t>
            </w:r>
          </w:p>
        </w:tc>
        <w:tc>
          <w:tcPr>
            <w:tcW w:w="77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3639552" w14:textId="77777777" w:rsidR="0023462A" w:rsidRDefault="00A550FA">
            <w:pPr>
              <w:pStyle w:val="P68B1DB1-Normal37"/>
              <w:spacing w:after="120" w:line="240" w:lineRule="auto"/>
              <w:jc w:val="center"/>
              <w:rPr>
                <w:rFonts w:eastAsiaTheme="minorHAnsi"/>
                <w:noProof/>
              </w:rPr>
            </w:pPr>
            <w:r>
              <w:rPr>
                <w:noProof/>
              </w:rPr>
              <w:t>Année</w:t>
            </w:r>
          </w:p>
        </w:tc>
        <w:tc>
          <w:tcPr>
            <w:tcW w:w="3687" w:type="dxa"/>
            <w:vMerge/>
            <w:tcBorders>
              <w:top w:val="single" w:sz="4" w:space="0" w:color="auto"/>
              <w:bottom w:val="single" w:sz="4" w:space="0" w:color="auto"/>
              <w:right w:val="single" w:sz="4" w:space="0" w:color="auto"/>
            </w:tcBorders>
            <w:vAlign w:val="center"/>
            <w:hideMark/>
          </w:tcPr>
          <w:p w14:paraId="0E642DA1" w14:textId="77777777" w:rsidR="0023462A" w:rsidRDefault="0023462A">
            <w:pPr>
              <w:spacing w:after="120" w:line="240" w:lineRule="auto"/>
              <w:rPr>
                <w:rFonts w:ascii="Times New Roman" w:hAnsi="Times New Roman" w:cs="Times New Roman"/>
                <w:b/>
                <w:noProof/>
                <w:sz w:val="18"/>
                <w:szCs w:val="18"/>
              </w:rPr>
            </w:pPr>
          </w:p>
        </w:tc>
      </w:tr>
      <w:tr w:rsidR="0023462A" w14:paraId="06D8BEE2" w14:textId="77777777">
        <w:trPr>
          <w:trHeight w:val="830"/>
        </w:trPr>
        <w:tc>
          <w:tcPr>
            <w:tcW w:w="1027" w:type="dxa"/>
            <w:tcBorders>
              <w:top w:val="single" w:sz="4" w:space="0" w:color="auto"/>
              <w:left w:val="single" w:sz="4" w:space="0" w:color="auto"/>
              <w:bottom w:val="single" w:sz="4" w:space="0" w:color="auto"/>
              <w:right w:val="single" w:sz="4" w:space="0" w:color="auto"/>
            </w:tcBorders>
            <w:shd w:val="clear" w:color="auto" w:fill="C6EFCE"/>
            <w:vAlign w:val="center"/>
          </w:tcPr>
          <w:p w14:paraId="43E74FDA" w14:textId="372A3210" w:rsidR="0023462A" w:rsidRDefault="00A550FA">
            <w:pPr>
              <w:pStyle w:val="P68B1DB1-Normal32"/>
              <w:spacing w:after="120" w:line="240" w:lineRule="auto"/>
              <w:rPr>
                <w:noProof/>
              </w:rPr>
            </w:pPr>
            <w:r>
              <w:rPr>
                <w:noProof/>
              </w:rPr>
              <w:t>7</w:t>
            </w:r>
          </w:p>
        </w:tc>
        <w:tc>
          <w:tcPr>
            <w:tcW w:w="1645" w:type="dxa"/>
            <w:tcBorders>
              <w:top w:val="single" w:sz="4" w:space="0" w:color="auto"/>
              <w:left w:val="nil"/>
              <w:bottom w:val="single" w:sz="4" w:space="0" w:color="auto"/>
              <w:right w:val="single" w:sz="4" w:space="0" w:color="auto"/>
            </w:tcBorders>
            <w:shd w:val="clear" w:color="auto" w:fill="C6EFCE"/>
            <w:vAlign w:val="center"/>
          </w:tcPr>
          <w:p w14:paraId="1BEF2C7F" w14:textId="69FC15C3" w:rsidR="0023462A" w:rsidRDefault="00A550FA">
            <w:pPr>
              <w:pStyle w:val="P68B1DB1-Normal32"/>
              <w:spacing w:after="120" w:line="240" w:lineRule="auto"/>
              <w:rPr>
                <w:noProof/>
              </w:rPr>
            </w:pPr>
            <w:r>
              <w:rPr>
                <w:noProof/>
              </w:rPr>
              <w:t>C2.R1 Modernisation des programmes d'enseignement supérieur</w:t>
            </w:r>
          </w:p>
        </w:tc>
        <w:tc>
          <w:tcPr>
            <w:tcW w:w="1030" w:type="dxa"/>
            <w:tcBorders>
              <w:top w:val="single" w:sz="4" w:space="0" w:color="auto"/>
              <w:left w:val="nil"/>
              <w:bottom w:val="single" w:sz="4" w:space="0" w:color="auto"/>
              <w:right w:val="single" w:sz="4" w:space="0" w:color="auto"/>
            </w:tcBorders>
            <w:shd w:val="clear" w:color="auto" w:fill="C6EFCE"/>
            <w:vAlign w:val="center"/>
          </w:tcPr>
          <w:p w14:paraId="418AD6DC" w14:textId="17F6DAE4" w:rsidR="0023462A" w:rsidRDefault="00A550FA">
            <w:pPr>
              <w:pStyle w:val="P68B1DB1-Normal32"/>
              <w:spacing w:after="120" w:line="240" w:lineRule="auto"/>
              <w:rPr>
                <w:rFonts w:eastAsiaTheme="minorHAnsi"/>
                <w:noProof/>
              </w:rPr>
            </w:pPr>
            <w:r>
              <w:rPr>
                <w:noProof/>
              </w:rPr>
              <w:t>Étape</w:t>
            </w:r>
          </w:p>
        </w:tc>
        <w:tc>
          <w:tcPr>
            <w:tcW w:w="1966" w:type="dxa"/>
            <w:tcBorders>
              <w:top w:val="single" w:sz="4" w:space="0" w:color="auto"/>
              <w:left w:val="nil"/>
              <w:bottom w:val="single" w:sz="4" w:space="0" w:color="auto"/>
              <w:right w:val="single" w:sz="4" w:space="0" w:color="auto"/>
            </w:tcBorders>
            <w:shd w:val="clear" w:color="auto" w:fill="C6EFCE"/>
            <w:vAlign w:val="center"/>
          </w:tcPr>
          <w:p w14:paraId="06617DC8" w14:textId="78A4B6DF" w:rsidR="0023462A" w:rsidRDefault="00A550FA">
            <w:pPr>
              <w:pStyle w:val="P68B1DB1-Normal32"/>
              <w:spacing w:after="120" w:line="240" w:lineRule="auto"/>
              <w:rPr>
                <w:noProof/>
              </w:rPr>
            </w:pPr>
            <w:r>
              <w:rPr>
                <w:noProof/>
              </w:rPr>
              <w:t>Révision des programmes d'enseignement supérieur</w:t>
            </w:r>
          </w:p>
        </w:tc>
        <w:tc>
          <w:tcPr>
            <w:tcW w:w="1841" w:type="dxa"/>
            <w:tcBorders>
              <w:top w:val="single" w:sz="4" w:space="0" w:color="auto"/>
              <w:left w:val="nil"/>
              <w:bottom w:val="single" w:sz="4" w:space="0" w:color="auto"/>
              <w:right w:val="single" w:sz="4" w:space="0" w:color="auto"/>
            </w:tcBorders>
            <w:shd w:val="clear" w:color="auto" w:fill="C6EFCE"/>
            <w:vAlign w:val="center"/>
          </w:tcPr>
          <w:p w14:paraId="65231C8C" w14:textId="3F7FA12B" w:rsidR="0023462A" w:rsidRDefault="00A550FA">
            <w:pPr>
              <w:pStyle w:val="P68B1DB1-Normal32"/>
              <w:spacing w:after="120" w:line="240" w:lineRule="auto"/>
              <w:rPr>
                <w:strike/>
                <w:noProof/>
              </w:rPr>
            </w:pPr>
            <w:r>
              <w:rPr>
                <w:noProof/>
              </w:rPr>
              <w:t xml:space="preserve">Programmes révisés </w:t>
            </w:r>
          </w:p>
        </w:tc>
        <w:tc>
          <w:tcPr>
            <w:tcW w:w="1541" w:type="dxa"/>
            <w:tcBorders>
              <w:top w:val="single" w:sz="4" w:space="0" w:color="auto"/>
              <w:left w:val="nil"/>
              <w:bottom w:val="single" w:sz="4" w:space="0" w:color="auto"/>
              <w:right w:val="single" w:sz="4" w:space="0" w:color="auto"/>
            </w:tcBorders>
            <w:shd w:val="clear" w:color="auto" w:fill="C6EFCE"/>
            <w:vAlign w:val="center"/>
          </w:tcPr>
          <w:p w14:paraId="0F0B1E39" w14:textId="5B5ADA90" w:rsidR="0023462A" w:rsidRDefault="0023462A">
            <w:pPr>
              <w:spacing w:after="120" w:line="240" w:lineRule="auto"/>
              <w:rPr>
                <w:rFonts w:ascii="Times New Roman" w:hAnsi="Times New Roman" w:cs="Times New Roman"/>
                <w:noProof/>
                <w:sz w:val="18"/>
                <w:szCs w:val="18"/>
              </w:rPr>
            </w:pPr>
          </w:p>
        </w:tc>
        <w:tc>
          <w:tcPr>
            <w:tcW w:w="1126" w:type="dxa"/>
            <w:tcBorders>
              <w:top w:val="single" w:sz="4" w:space="0" w:color="auto"/>
              <w:left w:val="nil"/>
              <w:bottom w:val="single" w:sz="4" w:space="0" w:color="auto"/>
              <w:right w:val="single" w:sz="4" w:space="0" w:color="auto"/>
            </w:tcBorders>
            <w:shd w:val="clear" w:color="auto" w:fill="C6EFCE"/>
            <w:vAlign w:val="center"/>
          </w:tcPr>
          <w:p w14:paraId="389331BF" w14:textId="477F9B5B" w:rsidR="0023462A" w:rsidRDefault="0023462A">
            <w:pPr>
              <w:spacing w:after="120" w:line="240" w:lineRule="auto"/>
              <w:rPr>
                <w:rFonts w:ascii="Times New Roman" w:hAnsi="Times New Roman" w:cs="Times New Roman"/>
                <w:noProof/>
                <w:sz w:val="18"/>
                <w:szCs w:val="18"/>
              </w:rPr>
            </w:pPr>
          </w:p>
        </w:tc>
        <w:tc>
          <w:tcPr>
            <w:tcW w:w="705" w:type="dxa"/>
            <w:tcBorders>
              <w:top w:val="single" w:sz="4" w:space="0" w:color="auto"/>
              <w:left w:val="nil"/>
              <w:bottom w:val="single" w:sz="4" w:space="0" w:color="auto"/>
              <w:right w:val="single" w:sz="4" w:space="0" w:color="auto"/>
            </w:tcBorders>
            <w:shd w:val="clear" w:color="auto" w:fill="C6EFCE"/>
            <w:vAlign w:val="center"/>
          </w:tcPr>
          <w:p w14:paraId="01E83958" w14:textId="0577D21F" w:rsidR="0023462A" w:rsidRDefault="0023462A">
            <w:pPr>
              <w:spacing w:after="120" w:line="240" w:lineRule="auto"/>
              <w:rPr>
                <w:rFonts w:ascii="Times New Roman" w:hAnsi="Times New Roman" w:cs="Times New Roman"/>
                <w:noProof/>
                <w:sz w:val="18"/>
                <w:szCs w:val="18"/>
              </w:rPr>
            </w:pPr>
          </w:p>
        </w:tc>
        <w:tc>
          <w:tcPr>
            <w:tcW w:w="846" w:type="dxa"/>
            <w:tcBorders>
              <w:top w:val="single" w:sz="4" w:space="0" w:color="auto"/>
              <w:left w:val="nil"/>
              <w:bottom w:val="single" w:sz="4" w:space="0" w:color="auto"/>
              <w:right w:val="single" w:sz="4" w:space="0" w:color="auto"/>
            </w:tcBorders>
            <w:shd w:val="clear" w:color="auto" w:fill="C6EFCE"/>
            <w:vAlign w:val="center"/>
          </w:tcPr>
          <w:p w14:paraId="44EC86FC" w14:textId="091B02CA" w:rsidR="0023462A" w:rsidRDefault="00A550FA">
            <w:pPr>
              <w:pStyle w:val="P68B1DB1-Normal32"/>
              <w:spacing w:after="120" w:line="240" w:lineRule="auto"/>
              <w:rPr>
                <w:rFonts w:eastAsiaTheme="minorHAnsi"/>
                <w:noProof/>
              </w:rPr>
            </w:pPr>
            <w:r>
              <w:rPr>
                <w:noProof/>
              </w:rPr>
              <w:t>T2</w:t>
            </w:r>
          </w:p>
        </w:tc>
        <w:tc>
          <w:tcPr>
            <w:tcW w:w="777" w:type="dxa"/>
            <w:tcBorders>
              <w:top w:val="single" w:sz="4" w:space="0" w:color="auto"/>
              <w:left w:val="nil"/>
              <w:bottom w:val="single" w:sz="4" w:space="0" w:color="auto"/>
              <w:right w:val="single" w:sz="4" w:space="0" w:color="auto"/>
            </w:tcBorders>
            <w:shd w:val="clear" w:color="auto" w:fill="C6EFCE"/>
            <w:vAlign w:val="center"/>
          </w:tcPr>
          <w:p w14:paraId="41035D39" w14:textId="6C46A96A" w:rsidR="0023462A" w:rsidRDefault="00A550FA">
            <w:pPr>
              <w:pStyle w:val="P68B1DB1-Normal32"/>
              <w:spacing w:after="120" w:line="240" w:lineRule="auto"/>
              <w:rPr>
                <w:rFonts w:eastAsiaTheme="minorHAnsi"/>
                <w:noProof/>
              </w:rPr>
            </w:pPr>
            <w:r>
              <w:rPr>
                <w:noProof/>
              </w:rPr>
              <w:t>2026</w:t>
            </w:r>
          </w:p>
        </w:tc>
        <w:tc>
          <w:tcPr>
            <w:tcW w:w="3687" w:type="dxa"/>
            <w:tcBorders>
              <w:top w:val="single" w:sz="4" w:space="0" w:color="auto"/>
              <w:left w:val="nil"/>
              <w:bottom w:val="single" w:sz="4" w:space="0" w:color="auto"/>
              <w:right w:val="single" w:sz="4" w:space="0" w:color="auto"/>
            </w:tcBorders>
            <w:shd w:val="clear" w:color="auto" w:fill="C6EFCE"/>
            <w:vAlign w:val="center"/>
          </w:tcPr>
          <w:p w14:paraId="391C1EDC" w14:textId="39CCEC66" w:rsidR="0023462A" w:rsidRDefault="00A550FA">
            <w:pPr>
              <w:pStyle w:val="P68B1DB1-Normal32"/>
              <w:spacing w:after="120" w:line="240" w:lineRule="auto"/>
              <w:rPr>
                <w:noProof/>
              </w:rPr>
            </w:pPr>
            <w:r>
              <w:rPr>
                <w:noProof/>
              </w:rPr>
              <w:t>Révision de 15 programmes d'enseignement supérieur afin d'introduire des éléments axés sur la pratique et de modifier les règlements connexes.</w:t>
            </w:r>
          </w:p>
        </w:tc>
      </w:tr>
      <w:tr w:rsidR="0023462A" w14:paraId="492E5D93" w14:textId="77777777">
        <w:trPr>
          <w:trHeight w:val="992"/>
        </w:trPr>
        <w:tc>
          <w:tcPr>
            <w:tcW w:w="1027" w:type="dxa"/>
            <w:tcBorders>
              <w:top w:val="nil"/>
              <w:left w:val="single" w:sz="4" w:space="0" w:color="auto"/>
              <w:bottom w:val="single" w:sz="4" w:space="0" w:color="auto"/>
              <w:right w:val="single" w:sz="4" w:space="0" w:color="auto"/>
            </w:tcBorders>
            <w:shd w:val="clear" w:color="auto" w:fill="C6EFCE"/>
            <w:vAlign w:val="center"/>
          </w:tcPr>
          <w:p w14:paraId="741FBD45" w14:textId="20F8B15C" w:rsidR="0023462A" w:rsidRDefault="00A550FA">
            <w:pPr>
              <w:pStyle w:val="P68B1DB1-Normal32"/>
              <w:spacing w:after="120" w:line="240" w:lineRule="auto"/>
              <w:rPr>
                <w:noProof/>
              </w:rPr>
            </w:pPr>
            <w:r>
              <w:rPr>
                <w:noProof/>
              </w:rPr>
              <w:t>8</w:t>
            </w:r>
          </w:p>
        </w:tc>
        <w:tc>
          <w:tcPr>
            <w:tcW w:w="1645" w:type="dxa"/>
            <w:tcBorders>
              <w:top w:val="nil"/>
              <w:left w:val="nil"/>
              <w:bottom w:val="single" w:sz="4" w:space="0" w:color="auto"/>
              <w:right w:val="single" w:sz="4" w:space="0" w:color="auto"/>
            </w:tcBorders>
            <w:shd w:val="clear" w:color="auto" w:fill="C6EFCE"/>
            <w:vAlign w:val="center"/>
          </w:tcPr>
          <w:p w14:paraId="00ACF303" w14:textId="730EA138" w:rsidR="0023462A" w:rsidRDefault="00A550FA">
            <w:pPr>
              <w:pStyle w:val="P68B1DB1-Normal32"/>
              <w:spacing w:after="120" w:line="240" w:lineRule="auto"/>
              <w:rPr>
                <w:rFonts w:eastAsiaTheme="minorHAnsi"/>
                <w:noProof/>
              </w:rPr>
            </w:pPr>
            <w:r>
              <w:rPr>
                <w:noProof/>
              </w:rPr>
              <w:t xml:space="preserve">C2.I1 Innovation institutionnelle dans l'enseignement supérieur </w:t>
            </w:r>
          </w:p>
        </w:tc>
        <w:tc>
          <w:tcPr>
            <w:tcW w:w="1030" w:type="dxa"/>
            <w:tcBorders>
              <w:top w:val="nil"/>
              <w:left w:val="nil"/>
              <w:bottom w:val="single" w:sz="4" w:space="0" w:color="auto"/>
              <w:right w:val="single" w:sz="4" w:space="0" w:color="auto"/>
            </w:tcBorders>
            <w:shd w:val="clear" w:color="auto" w:fill="C6EFCE"/>
            <w:vAlign w:val="center"/>
          </w:tcPr>
          <w:p w14:paraId="05F35FC8" w14:textId="654D1112" w:rsidR="0023462A" w:rsidRDefault="00A550FA">
            <w:pPr>
              <w:pStyle w:val="P68B1DB1-Normal32"/>
              <w:spacing w:after="120" w:line="240" w:lineRule="auto"/>
              <w:rPr>
                <w:rFonts w:eastAsiaTheme="minorHAnsi"/>
                <w:noProof/>
              </w:rPr>
            </w:pPr>
            <w:r>
              <w:rPr>
                <w:noProof/>
              </w:rPr>
              <w:t>Étape</w:t>
            </w:r>
          </w:p>
        </w:tc>
        <w:tc>
          <w:tcPr>
            <w:tcW w:w="1966" w:type="dxa"/>
            <w:tcBorders>
              <w:top w:val="nil"/>
              <w:left w:val="nil"/>
              <w:bottom w:val="single" w:sz="4" w:space="0" w:color="auto"/>
              <w:right w:val="single" w:sz="4" w:space="0" w:color="auto"/>
            </w:tcBorders>
            <w:shd w:val="clear" w:color="auto" w:fill="C6EFCE"/>
            <w:vAlign w:val="center"/>
          </w:tcPr>
          <w:p w14:paraId="64AE3D25" w14:textId="653F0885" w:rsidR="0023462A" w:rsidRDefault="00A550FA">
            <w:pPr>
              <w:pStyle w:val="P68B1DB1-CommentText38"/>
              <w:spacing w:after="120"/>
              <w:jc w:val="left"/>
              <w:rPr>
                <w:rFonts w:eastAsia="Times New Roman"/>
                <w:noProof/>
              </w:rPr>
            </w:pPr>
            <w:r>
              <w:rPr>
                <w:noProof/>
              </w:rPr>
              <w:t>Matériel d’apprentissage numérique accessible dans l’enseignement supérieur</w:t>
            </w:r>
          </w:p>
          <w:p w14:paraId="0B6C9057" w14:textId="77777777" w:rsidR="0023462A" w:rsidRDefault="0023462A">
            <w:pPr>
              <w:spacing w:after="120" w:line="240" w:lineRule="auto"/>
              <w:rPr>
                <w:rFonts w:ascii="Times New Roman" w:hAnsi="Times New Roman" w:cs="Times New Roman"/>
                <w:noProof/>
                <w:sz w:val="18"/>
                <w:szCs w:val="18"/>
              </w:rPr>
            </w:pPr>
          </w:p>
        </w:tc>
        <w:tc>
          <w:tcPr>
            <w:tcW w:w="1841" w:type="dxa"/>
            <w:tcBorders>
              <w:top w:val="nil"/>
              <w:left w:val="nil"/>
              <w:bottom w:val="single" w:sz="4" w:space="0" w:color="auto"/>
              <w:right w:val="single" w:sz="4" w:space="0" w:color="auto"/>
            </w:tcBorders>
            <w:shd w:val="clear" w:color="auto" w:fill="C6EFCE"/>
            <w:vAlign w:val="center"/>
          </w:tcPr>
          <w:p w14:paraId="5EEA104D" w14:textId="2DC8936E" w:rsidR="0023462A" w:rsidRDefault="00A550FA">
            <w:pPr>
              <w:pStyle w:val="P68B1DB1-Normal32"/>
              <w:spacing w:after="120" w:line="240" w:lineRule="auto"/>
              <w:rPr>
                <w:noProof/>
              </w:rPr>
            </w:pPr>
            <w:r>
              <w:rPr>
                <w:noProof/>
              </w:rPr>
              <w:t>Matériel d’apprentissage numérique accessible dans l’enseignement supérieur</w:t>
            </w:r>
          </w:p>
        </w:tc>
        <w:tc>
          <w:tcPr>
            <w:tcW w:w="1541" w:type="dxa"/>
            <w:tcBorders>
              <w:top w:val="nil"/>
              <w:left w:val="nil"/>
              <w:bottom w:val="single" w:sz="4" w:space="0" w:color="auto"/>
              <w:right w:val="single" w:sz="4" w:space="0" w:color="auto"/>
            </w:tcBorders>
            <w:shd w:val="clear" w:color="auto" w:fill="C6EFCE"/>
            <w:vAlign w:val="center"/>
          </w:tcPr>
          <w:p w14:paraId="54804ABD" w14:textId="7A0D9B4A" w:rsidR="0023462A" w:rsidRDefault="0023462A">
            <w:pPr>
              <w:spacing w:after="120" w:line="240" w:lineRule="auto"/>
              <w:rPr>
                <w:rFonts w:ascii="Times New Roman" w:hAnsi="Times New Roman" w:cs="Times New Roman"/>
                <w:noProof/>
                <w:sz w:val="18"/>
                <w:szCs w:val="18"/>
              </w:rPr>
            </w:pPr>
          </w:p>
        </w:tc>
        <w:tc>
          <w:tcPr>
            <w:tcW w:w="1126" w:type="dxa"/>
            <w:tcBorders>
              <w:top w:val="nil"/>
              <w:left w:val="nil"/>
              <w:bottom w:val="single" w:sz="4" w:space="0" w:color="auto"/>
              <w:right w:val="single" w:sz="4" w:space="0" w:color="auto"/>
            </w:tcBorders>
            <w:shd w:val="clear" w:color="auto" w:fill="C6EFCE"/>
            <w:vAlign w:val="center"/>
          </w:tcPr>
          <w:p w14:paraId="58C01CA9" w14:textId="770B55F9" w:rsidR="0023462A" w:rsidRDefault="0023462A">
            <w:pPr>
              <w:spacing w:after="120" w:line="240" w:lineRule="auto"/>
              <w:rPr>
                <w:rFonts w:ascii="Times New Roman" w:hAnsi="Times New Roman" w:cs="Times New Roman"/>
                <w:noProof/>
                <w:sz w:val="18"/>
                <w:szCs w:val="18"/>
              </w:rPr>
            </w:pPr>
          </w:p>
        </w:tc>
        <w:tc>
          <w:tcPr>
            <w:tcW w:w="705" w:type="dxa"/>
            <w:tcBorders>
              <w:top w:val="nil"/>
              <w:left w:val="nil"/>
              <w:bottom w:val="single" w:sz="4" w:space="0" w:color="auto"/>
              <w:right w:val="single" w:sz="4" w:space="0" w:color="auto"/>
            </w:tcBorders>
            <w:shd w:val="clear" w:color="auto" w:fill="C6EFCE"/>
            <w:vAlign w:val="center"/>
          </w:tcPr>
          <w:p w14:paraId="5D185DBA" w14:textId="08EE2779" w:rsidR="0023462A" w:rsidRDefault="0023462A">
            <w:pPr>
              <w:spacing w:after="120" w:line="240" w:lineRule="auto"/>
              <w:rPr>
                <w:rFonts w:ascii="Times New Roman" w:hAnsi="Times New Roman" w:cs="Times New Roman"/>
                <w:noProof/>
                <w:sz w:val="18"/>
                <w:szCs w:val="18"/>
              </w:rPr>
            </w:pPr>
          </w:p>
        </w:tc>
        <w:tc>
          <w:tcPr>
            <w:tcW w:w="846" w:type="dxa"/>
            <w:tcBorders>
              <w:top w:val="nil"/>
              <w:left w:val="nil"/>
              <w:bottom w:val="single" w:sz="4" w:space="0" w:color="auto"/>
              <w:right w:val="single" w:sz="4" w:space="0" w:color="auto"/>
            </w:tcBorders>
            <w:shd w:val="clear" w:color="auto" w:fill="C6EFCE"/>
            <w:vAlign w:val="center"/>
          </w:tcPr>
          <w:p w14:paraId="0AD09CB6" w14:textId="53251FD9" w:rsidR="0023462A" w:rsidRDefault="00A550FA">
            <w:pPr>
              <w:pStyle w:val="P68B1DB1-Normal32"/>
              <w:spacing w:after="120" w:line="240" w:lineRule="auto"/>
              <w:rPr>
                <w:rFonts w:eastAsiaTheme="minorHAnsi"/>
                <w:noProof/>
              </w:rPr>
            </w:pPr>
            <w:r>
              <w:rPr>
                <w:noProof/>
              </w:rPr>
              <w:t>T2</w:t>
            </w:r>
          </w:p>
        </w:tc>
        <w:tc>
          <w:tcPr>
            <w:tcW w:w="777" w:type="dxa"/>
            <w:tcBorders>
              <w:top w:val="nil"/>
              <w:left w:val="nil"/>
              <w:bottom w:val="single" w:sz="4" w:space="0" w:color="auto"/>
              <w:right w:val="single" w:sz="4" w:space="0" w:color="auto"/>
            </w:tcBorders>
            <w:shd w:val="clear" w:color="auto" w:fill="C6EFCE"/>
            <w:vAlign w:val="center"/>
          </w:tcPr>
          <w:p w14:paraId="0018BA6D" w14:textId="336D03BB" w:rsidR="0023462A" w:rsidRDefault="00A550FA">
            <w:pPr>
              <w:pStyle w:val="P68B1DB1-Normal32"/>
              <w:spacing w:after="120" w:line="240" w:lineRule="auto"/>
              <w:rPr>
                <w:noProof/>
              </w:rPr>
            </w:pPr>
            <w:r>
              <w:rPr>
                <w:noProof/>
              </w:rPr>
              <w:t>2026</w:t>
            </w:r>
          </w:p>
        </w:tc>
        <w:tc>
          <w:tcPr>
            <w:tcW w:w="3687" w:type="dxa"/>
            <w:tcBorders>
              <w:top w:val="nil"/>
              <w:left w:val="nil"/>
              <w:bottom w:val="single" w:sz="4" w:space="0" w:color="auto"/>
              <w:right w:val="single" w:sz="4" w:space="0" w:color="auto"/>
            </w:tcBorders>
            <w:shd w:val="clear" w:color="auto" w:fill="C6EFCE"/>
          </w:tcPr>
          <w:p w14:paraId="604EC6D2" w14:textId="6989E52D" w:rsidR="0023462A" w:rsidRDefault="00A550FA">
            <w:pPr>
              <w:pStyle w:val="P68B1DB1-CommentText38"/>
              <w:spacing w:after="120"/>
              <w:rPr>
                <w:noProof/>
              </w:rPr>
            </w:pPr>
            <w:r>
              <w:rPr>
                <w:noProof/>
              </w:rPr>
              <w:t xml:space="preserve">Au moins 1 000 supports d’apprentissage numériques (par exemple, manuels scolaires, études de recherche et autres ressources éducatives) sont élaborés dans les établissements d’enseignement supérieur. </w:t>
            </w:r>
          </w:p>
        </w:tc>
      </w:tr>
      <w:tr w:rsidR="0023462A" w14:paraId="35E5EAE5" w14:textId="77777777">
        <w:trPr>
          <w:trHeight w:val="1151"/>
        </w:trPr>
        <w:tc>
          <w:tcPr>
            <w:tcW w:w="1027" w:type="dxa"/>
            <w:tcBorders>
              <w:top w:val="nil"/>
              <w:left w:val="single" w:sz="4" w:space="0" w:color="auto"/>
              <w:bottom w:val="single" w:sz="4" w:space="0" w:color="auto"/>
              <w:right w:val="single" w:sz="4" w:space="0" w:color="auto"/>
            </w:tcBorders>
            <w:shd w:val="clear" w:color="auto" w:fill="C6EFCE"/>
            <w:vAlign w:val="center"/>
          </w:tcPr>
          <w:p w14:paraId="18BCF177" w14:textId="134BD290" w:rsidR="0023462A" w:rsidRDefault="00A550FA">
            <w:pPr>
              <w:pStyle w:val="P68B1DB1-Normal32"/>
              <w:spacing w:after="120" w:line="240" w:lineRule="auto"/>
              <w:rPr>
                <w:noProof/>
              </w:rPr>
            </w:pPr>
            <w:r>
              <w:rPr>
                <w:noProof/>
              </w:rPr>
              <w:t>9</w:t>
            </w:r>
          </w:p>
        </w:tc>
        <w:tc>
          <w:tcPr>
            <w:tcW w:w="1645" w:type="dxa"/>
            <w:tcBorders>
              <w:top w:val="single" w:sz="4" w:space="0" w:color="auto"/>
              <w:left w:val="nil"/>
              <w:bottom w:val="single" w:sz="4" w:space="0" w:color="auto"/>
              <w:right w:val="single" w:sz="4" w:space="0" w:color="auto"/>
            </w:tcBorders>
            <w:shd w:val="clear" w:color="auto" w:fill="C6EFCE"/>
            <w:vAlign w:val="center"/>
          </w:tcPr>
          <w:p w14:paraId="23882BE3" w14:textId="163D0BE9" w:rsidR="0023462A" w:rsidRDefault="00A550FA">
            <w:pPr>
              <w:pStyle w:val="P68B1DB1-Normal32"/>
              <w:spacing w:after="120" w:line="240" w:lineRule="auto"/>
              <w:rPr>
                <w:rFonts w:eastAsiaTheme="minorHAnsi"/>
                <w:noProof/>
              </w:rPr>
            </w:pPr>
            <w:r>
              <w:rPr>
                <w:noProof/>
              </w:rPr>
              <w:t>C2.I2 Numérisation et modernisation des infrastructures de l'enseignement supérieur</w:t>
            </w:r>
          </w:p>
        </w:tc>
        <w:tc>
          <w:tcPr>
            <w:tcW w:w="1030" w:type="dxa"/>
            <w:tcBorders>
              <w:top w:val="nil"/>
              <w:left w:val="nil"/>
              <w:bottom w:val="single" w:sz="4" w:space="0" w:color="auto"/>
              <w:right w:val="single" w:sz="4" w:space="0" w:color="auto"/>
            </w:tcBorders>
            <w:shd w:val="clear" w:color="auto" w:fill="C6EFCE"/>
            <w:vAlign w:val="center"/>
          </w:tcPr>
          <w:p w14:paraId="3A086C25" w14:textId="5ED9A378" w:rsidR="0023462A" w:rsidRDefault="00A550FA">
            <w:pPr>
              <w:pStyle w:val="P68B1DB1-Normal32"/>
              <w:spacing w:after="120" w:line="240" w:lineRule="auto"/>
              <w:rPr>
                <w:rFonts w:eastAsiaTheme="minorHAnsi"/>
                <w:noProof/>
              </w:rPr>
            </w:pPr>
            <w:r>
              <w:rPr>
                <w:noProof/>
              </w:rPr>
              <w:t>Étape</w:t>
            </w:r>
          </w:p>
        </w:tc>
        <w:tc>
          <w:tcPr>
            <w:tcW w:w="1966" w:type="dxa"/>
            <w:tcBorders>
              <w:top w:val="single" w:sz="4" w:space="0" w:color="auto"/>
              <w:left w:val="nil"/>
              <w:bottom w:val="single" w:sz="4" w:space="0" w:color="auto"/>
              <w:right w:val="single" w:sz="4" w:space="0" w:color="auto"/>
            </w:tcBorders>
            <w:shd w:val="clear" w:color="auto" w:fill="C6EFCE"/>
            <w:vAlign w:val="center"/>
          </w:tcPr>
          <w:p w14:paraId="7029A89F" w14:textId="7574D278" w:rsidR="0023462A" w:rsidRDefault="00A550FA">
            <w:pPr>
              <w:pStyle w:val="P68B1DB1-Normal32"/>
              <w:spacing w:after="120" w:line="240" w:lineRule="auto"/>
              <w:rPr>
                <w:noProof/>
              </w:rPr>
            </w:pPr>
            <w:r>
              <w:rPr>
                <w:noProof/>
              </w:rPr>
              <w:t>Rénovation de l'efficacité énergétique des infrastructures des bâtiments et construction de nouveaux bâtiments dans les établissements d'enseignement supérieur</w:t>
            </w:r>
          </w:p>
        </w:tc>
        <w:tc>
          <w:tcPr>
            <w:tcW w:w="1841" w:type="dxa"/>
            <w:tcBorders>
              <w:top w:val="nil"/>
              <w:left w:val="nil"/>
              <w:bottom w:val="single" w:sz="4" w:space="0" w:color="auto"/>
              <w:right w:val="single" w:sz="4" w:space="0" w:color="auto"/>
            </w:tcBorders>
            <w:shd w:val="clear" w:color="auto" w:fill="C6EFCE"/>
            <w:vAlign w:val="center"/>
          </w:tcPr>
          <w:p w14:paraId="0936CC28" w14:textId="5D227DD7" w:rsidR="0023462A" w:rsidRDefault="00A550FA">
            <w:pPr>
              <w:pStyle w:val="P68B1DB1-Normal32"/>
              <w:spacing w:after="120" w:line="240" w:lineRule="auto"/>
              <w:rPr>
                <w:noProof/>
              </w:rPr>
            </w:pPr>
            <w:r>
              <w:rPr>
                <w:noProof/>
              </w:rPr>
              <w:t>Établissements d'enseignement supérieur rénovés/construits</w:t>
            </w:r>
          </w:p>
        </w:tc>
        <w:tc>
          <w:tcPr>
            <w:tcW w:w="1541" w:type="dxa"/>
            <w:tcBorders>
              <w:top w:val="nil"/>
              <w:left w:val="nil"/>
              <w:bottom w:val="single" w:sz="4" w:space="0" w:color="auto"/>
              <w:right w:val="single" w:sz="4" w:space="0" w:color="auto"/>
            </w:tcBorders>
            <w:shd w:val="clear" w:color="auto" w:fill="C6EFCE"/>
            <w:vAlign w:val="center"/>
          </w:tcPr>
          <w:p w14:paraId="1642DFB1" w14:textId="5E612588" w:rsidR="0023462A" w:rsidRDefault="0023462A">
            <w:pPr>
              <w:spacing w:after="120" w:line="240" w:lineRule="auto"/>
              <w:rPr>
                <w:rFonts w:ascii="Times New Roman" w:eastAsiaTheme="minorHAnsi" w:hAnsi="Times New Roman" w:cs="Times New Roman"/>
                <w:noProof/>
                <w:sz w:val="18"/>
                <w:szCs w:val="18"/>
              </w:rPr>
            </w:pPr>
          </w:p>
        </w:tc>
        <w:tc>
          <w:tcPr>
            <w:tcW w:w="1126" w:type="dxa"/>
            <w:tcBorders>
              <w:top w:val="nil"/>
              <w:left w:val="nil"/>
              <w:bottom w:val="single" w:sz="4" w:space="0" w:color="auto"/>
              <w:right w:val="single" w:sz="4" w:space="0" w:color="auto"/>
            </w:tcBorders>
            <w:shd w:val="clear" w:color="auto" w:fill="C6EFCE"/>
            <w:vAlign w:val="center"/>
          </w:tcPr>
          <w:p w14:paraId="1E8C55E1" w14:textId="4FE9C4AC" w:rsidR="0023462A" w:rsidRDefault="0023462A">
            <w:pPr>
              <w:spacing w:after="120" w:line="240" w:lineRule="auto"/>
              <w:rPr>
                <w:rFonts w:ascii="Times New Roman" w:hAnsi="Times New Roman" w:cs="Times New Roman"/>
                <w:noProof/>
                <w:sz w:val="18"/>
                <w:szCs w:val="18"/>
              </w:rPr>
            </w:pPr>
          </w:p>
        </w:tc>
        <w:tc>
          <w:tcPr>
            <w:tcW w:w="705" w:type="dxa"/>
            <w:tcBorders>
              <w:top w:val="nil"/>
              <w:left w:val="nil"/>
              <w:bottom w:val="single" w:sz="4" w:space="0" w:color="auto"/>
              <w:right w:val="single" w:sz="4" w:space="0" w:color="auto"/>
            </w:tcBorders>
            <w:shd w:val="clear" w:color="auto" w:fill="C6EFCE"/>
            <w:vAlign w:val="center"/>
          </w:tcPr>
          <w:p w14:paraId="08C764A5" w14:textId="562AD466" w:rsidR="0023462A" w:rsidRDefault="0023462A">
            <w:pPr>
              <w:spacing w:after="120" w:line="240" w:lineRule="auto"/>
              <w:rPr>
                <w:rFonts w:ascii="Times New Roman" w:eastAsiaTheme="minorHAnsi" w:hAnsi="Times New Roman" w:cs="Times New Roman"/>
                <w:noProof/>
                <w:sz w:val="18"/>
                <w:szCs w:val="18"/>
              </w:rPr>
            </w:pPr>
          </w:p>
        </w:tc>
        <w:tc>
          <w:tcPr>
            <w:tcW w:w="846" w:type="dxa"/>
            <w:tcBorders>
              <w:top w:val="nil"/>
              <w:left w:val="nil"/>
              <w:bottom w:val="single" w:sz="4" w:space="0" w:color="auto"/>
              <w:right w:val="single" w:sz="4" w:space="0" w:color="auto"/>
            </w:tcBorders>
            <w:shd w:val="clear" w:color="auto" w:fill="C6EFCE"/>
            <w:vAlign w:val="center"/>
          </w:tcPr>
          <w:p w14:paraId="646CC17D" w14:textId="0D984F02" w:rsidR="0023462A" w:rsidRDefault="00A550FA">
            <w:pPr>
              <w:pStyle w:val="P68B1DB1-Normal32"/>
              <w:spacing w:after="120" w:line="240" w:lineRule="auto"/>
              <w:rPr>
                <w:noProof/>
              </w:rPr>
            </w:pPr>
            <w:r>
              <w:rPr>
                <w:noProof/>
              </w:rPr>
              <w:t>T2</w:t>
            </w:r>
          </w:p>
        </w:tc>
        <w:tc>
          <w:tcPr>
            <w:tcW w:w="777" w:type="dxa"/>
            <w:tcBorders>
              <w:top w:val="nil"/>
              <w:left w:val="nil"/>
              <w:bottom w:val="single" w:sz="4" w:space="0" w:color="auto"/>
              <w:right w:val="single" w:sz="4" w:space="0" w:color="auto"/>
            </w:tcBorders>
            <w:shd w:val="clear" w:color="auto" w:fill="C6EFCE"/>
            <w:vAlign w:val="center"/>
          </w:tcPr>
          <w:p w14:paraId="3B47D76A" w14:textId="271BA6C4" w:rsidR="0023462A" w:rsidRDefault="00A550FA">
            <w:pPr>
              <w:pStyle w:val="P68B1DB1-Normal32"/>
              <w:spacing w:after="120" w:line="240" w:lineRule="auto"/>
              <w:rPr>
                <w:noProof/>
              </w:rPr>
            </w:pPr>
            <w:r>
              <w:rPr>
                <w:noProof/>
              </w:rPr>
              <w:t>2026</w:t>
            </w:r>
          </w:p>
        </w:tc>
        <w:tc>
          <w:tcPr>
            <w:tcW w:w="3687" w:type="dxa"/>
            <w:tcBorders>
              <w:top w:val="nil"/>
              <w:left w:val="nil"/>
              <w:bottom w:val="single" w:sz="4" w:space="0" w:color="auto"/>
              <w:right w:val="single" w:sz="4" w:space="0" w:color="auto"/>
            </w:tcBorders>
            <w:shd w:val="clear" w:color="auto" w:fill="C6EFCE"/>
          </w:tcPr>
          <w:p w14:paraId="7305305E" w14:textId="77777777" w:rsidR="0023462A" w:rsidRDefault="00A550FA">
            <w:pPr>
              <w:pStyle w:val="P68B1DB1-Normal32"/>
              <w:spacing w:after="120" w:line="240" w:lineRule="auto"/>
              <w:rPr>
                <w:noProof/>
              </w:rPr>
            </w:pPr>
            <w:r>
              <w:rPr>
                <w:noProof/>
              </w:rPr>
              <w:t xml:space="preserve">Lancement d’un appel à projets concernant 1) la rénovation de l’efficacité énergétique, 2) la construction de nouveaux bâtiments, 3) l’achat et l’installation d’équipements numériques dans les établissements d’enseignement supérieur. </w:t>
            </w:r>
          </w:p>
          <w:p w14:paraId="3AB178A8" w14:textId="7F0B63EB" w:rsidR="0023462A" w:rsidRDefault="00A550FA">
            <w:pPr>
              <w:pStyle w:val="P68B1DB1-Normal32"/>
              <w:spacing w:after="120" w:line="240" w:lineRule="auto"/>
              <w:rPr>
                <w:noProof/>
              </w:rPr>
            </w:pPr>
            <w:r>
              <w:rPr>
                <w:noProof/>
              </w:rPr>
              <w:t xml:space="preserve">Les exigences figurant dans la documentation de l’appel garantissent la non-discrimination entre les établissements d’enseignement supérieur hongrois, y compris sur la base de leur structure de propriété. Les fonds fiduciaires publics ne sont pas éligibles en tant que bénéficiaires au titre de l’appel. </w:t>
            </w:r>
          </w:p>
          <w:p w14:paraId="712C73D5" w14:textId="23C87423" w:rsidR="0023462A" w:rsidRDefault="00A550FA">
            <w:pPr>
              <w:pStyle w:val="P68B1DB1-Normal32"/>
              <w:spacing w:after="120" w:line="240" w:lineRule="auto"/>
              <w:rPr>
                <w:noProof/>
              </w:rPr>
            </w:pPr>
            <w:r>
              <w:rPr>
                <w:noProof/>
              </w:rPr>
              <w:t xml:space="preserve">Rénovation et/ou construction de 25 145 mètres carrés de bâtiments dans les établissements d’enseignement supérieur et achat et livraison de 22 300 équipements TIC pour les établissements d’enseignement supérieur. </w:t>
            </w:r>
          </w:p>
          <w:p w14:paraId="4E1FD2C7" w14:textId="117F8082" w:rsidR="0023462A" w:rsidRDefault="00A550FA">
            <w:pPr>
              <w:pStyle w:val="P68B1DB1-Normal32"/>
              <w:spacing w:after="120" w:line="240" w:lineRule="auto"/>
              <w:rPr>
                <w:noProof/>
              </w:rPr>
            </w:pPr>
            <w:r>
              <w:rPr>
                <w:noProof/>
              </w:rPr>
              <w:t>Les bâtiments nouvellement construits ont une demande d’énergie primaire inférieure d’au moins 20 % à l’exigence d’un bâtiment dont la consommation d’énergie est quasi nulle. Les rénovations en matière d’efficacité énergétique permettent, en moyenne, de réduire d’au moins 30 % les émissions directes et indirectes de gaz à effet de serre par rapport aux émissions ex ante.</w:t>
            </w:r>
          </w:p>
        </w:tc>
      </w:tr>
      <w:tr w:rsidR="0023462A" w14:paraId="203D6FFA" w14:textId="77777777">
        <w:trPr>
          <w:trHeight w:val="1852"/>
        </w:trPr>
        <w:tc>
          <w:tcPr>
            <w:tcW w:w="1027" w:type="dxa"/>
            <w:tcBorders>
              <w:top w:val="nil"/>
              <w:left w:val="single" w:sz="4" w:space="0" w:color="auto"/>
              <w:bottom w:val="single" w:sz="4" w:space="0" w:color="auto"/>
              <w:right w:val="single" w:sz="4" w:space="0" w:color="auto"/>
            </w:tcBorders>
            <w:shd w:val="clear" w:color="auto" w:fill="C6EFCE"/>
            <w:vAlign w:val="center"/>
          </w:tcPr>
          <w:p w14:paraId="296464CC" w14:textId="442325B2" w:rsidR="0023462A" w:rsidRDefault="00A550FA">
            <w:pPr>
              <w:pStyle w:val="P68B1DB1-Normal32"/>
              <w:spacing w:after="120" w:line="240" w:lineRule="auto"/>
              <w:rPr>
                <w:noProof/>
              </w:rPr>
            </w:pPr>
            <w:r>
              <w:rPr>
                <w:noProof/>
              </w:rPr>
              <w:t>10</w:t>
            </w:r>
          </w:p>
        </w:tc>
        <w:tc>
          <w:tcPr>
            <w:tcW w:w="1645" w:type="dxa"/>
            <w:tcBorders>
              <w:top w:val="single" w:sz="4" w:space="0" w:color="auto"/>
              <w:left w:val="nil"/>
              <w:bottom w:val="single" w:sz="4" w:space="0" w:color="auto"/>
              <w:right w:val="single" w:sz="4" w:space="0" w:color="auto"/>
            </w:tcBorders>
            <w:shd w:val="clear" w:color="auto" w:fill="C6EFCE"/>
            <w:vAlign w:val="center"/>
          </w:tcPr>
          <w:p w14:paraId="0B7BA115" w14:textId="24B0003C" w:rsidR="0023462A" w:rsidRDefault="00A550FA">
            <w:pPr>
              <w:pStyle w:val="P68B1DB1-Normal32"/>
              <w:spacing w:after="120" w:line="240" w:lineRule="auto"/>
              <w:rPr>
                <w:rFonts w:eastAsiaTheme="minorHAnsi"/>
                <w:noProof/>
              </w:rPr>
            </w:pPr>
            <w:r>
              <w:rPr>
                <w:noProof/>
              </w:rPr>
              <w:t xml:space="preserve">C2.I3 Infrastructures d'enseignement et de formation professionnels pour le XXIe siècle </w:t>
            </w:r>
          </w:p>
        </w:tc>
        <w:tc>
          <w:tcPr>
            <w:tcW w:w="1030" w:type="dxa"/>
            <w:tcBorders>
              <w:top w:val="nil"/>
              <w:left w:val="nil"/>
              <w:bottom w:val="single" w:sz="4" w:space="0" w:color="auto"/>
              <w:right w:val="single" w:sz="4" w:space="0" w:color="auto"/>
            </w:tcBorders>
            <w:shd w:val="clear" w:color="auto" w:fill="C6EFCE"/>
            <w:vAlign w:val="center"/>
          </w:tcPr>
          <w:p w14:paraId="20DF543C" w14:textId="0F05C2A9" w:rsidR="0023462A" w:rsidRDefault="00A550FA">
            <w:pPr>
              <w:pStyle w:val="P68B1DB1-Normal32"/>
              <w:spacing w:after="120" w:line="240" w:lineRule="auto"/>
              <w:rPr>
                <w:rFonts w:eastAsiaTheme="minorHAnsi"/>
                <w:noProof/>
              </w:rPr>
            </w:pPr>
            <w:r>
              <w:rPr>
                <w:noProof/>
              </w:rPr>
              <w:t>Objectif</w:t>
            </w:r>
          </w:p>
        </w:tc>
        <w:tc>
          <w:tcPr>
            <w:tcW w:w="1966" w:type="dxa"/>
            <w:tcBorders>
              <w:top w:val="single" w:sz="4" w:space="0" w:color="auto"/>
              <w:left w:val="nil"/>
              <w:bottom w:val="single" w:sz="4" w:space="0" w:color="auto"/>
              <w:right w:val="single" w:sz="4" w:space="0" w:color="auto"/>
            </w:tcBorders>
            <w:shd w:val="clear" w:color="auto" w:fill="C6EFCE"/>
            <w:vAlign w:val="center"/>
          </w:tcPr>
          <w:p w14:paraId="32AF3EB7" w14:textId="66376177" w:rsidR="0023462A" w:rsidRDefault="00A550FA">
            <w:pPr>
              <w:pStyle w:val="P68B1DB1-Normal32"/>
              <w:spacing w:after="120" w:line="240" w:lineRule="auto"/>
              <w:rPr>
                <w:noProof/>
              </w:rPr>
            </w:pPr>
            <w:r>
              <w:rPr>
                <w:noProof/>
              </w:rPr>
              <w:t>Centres d'enseignement et de formation professionnels équipés et dotés d'infrastructures améliorées</w:t>
            </w:r>
          </w:p>
        </w:tc>
        <w:tc>
          <w:tcPr>
            <w:tcW w:w="1841" w:type="dxa"/>
            <w:tcBorders>
              <w:top w:val="nil"/>
              <w:left w:val="nil"/>
              <w:bottom w:val="single" w:sz="4" w:space="0" w:color="auto"/>
              <w:right w:val="single" w:sz="4" w:space="0" w:color="auto"/>
            </w:tcBorders>
            <w:shd w:val="clear" w:color="auto" w:fill="C6EFCE"/>
            <w:vAlign w:val="center"/>
          </w:tcPr>
          <w:p w14:paraId="0805BFCF" w14:textId="32E2AC1F" w:rsidR="0023462A" w:rsidRDefault="00A550FA">
            <w:pPr>
              <w:pStyle w:val="P68B1DB1-Normal32"/>
              <w:spacing w:after="120" w:line="240" w:lineRule="auto"/>
              <w:rPr>
                <w:noProof/>
              </w:rPr>
            </w:pPr>
            <w:r>
              <w:rPr>
                <w:noProof/>
              </w:rPr>
              <w:t xml:space="preserve"> </w:t>
            </w:r>
          </w:p>
        </w:tc>
        <w:tc>
          <w:tcPr>
            <w:tcW w:w="1541" w:type="dxa"/>
            <w:tcBorders>
              <w:top w:val="nil"/>
              <w:left w:val="nil"/>
              <w:bottom w:val="single" w:sz="4" w:space="0" w:color="auto"/>
              <w:right w:val="single" w:sz="4" w:space="0" w:color="auto"/>
            </w:tcBorders>
            <w:shd w:val="clear" w:color="auto" w:fill="C6EFCE"/>
            <w:vAlign w:val="center"/>
          </w:tcPr>
          <w:p w14:paraId="5F9C2D0F" w14:textId="77777777" w:rsidR="0023462A" w:rsidRDefault="00A550FA">
            <w:pPr>
              <w:pStyle w:val="P68B1DB1-Normal32"/>
              <w:spacing w:after="120" w:line="240" w:lineRule="auto"/>
              <w:rPr>
                <w:rFonts w:eastAsiaTheme="minorHAnsi"/>
                <w:noProof/>
              </w:rPr>
            </w:pPr>
            <w:r>
              <w:rPr>
                <w:noProof/>
              </w:rPr>
              <w:t>Numéro</w:t>
            </w:r>
          </w:p>
        </w:tc>
        <w:tc>
          <w:tcPr>
            <w:tcW w:w="1126" w:type="dxa"/>
            <w:tcBorders>
              <w:top w:val="nil"/>
              <w:left w:val="nil"/>
              <w:bottom w:val="single" w:sz="4" w:space="0" w:color="auto"/>
              <w:right w:val="single" w:sz="4" w:space="0" w:color="auto"/>
            </w:tcBorders>
            <w:shd w:val="clear" w:color="auto" w:fill="C6EFCE"/>
            <w:vAlign w:val="center"/>
          </w:tcPr>
          <w:p w14:paraId="05796F85" w14:textId="77777777" w:rsidR="0023462A" w:rsidRDefault="00A550FA">
            <w:pPr>
              <w:pStyle w:val="P68B1DB1-Normal32"/>
              <w:spacing w:after="120" w:line="240" w:lineRule="auto"/>
              <w:rPr>
                <w:noProof/>
              </w:rPr>
            </w:pPr>
            <w:r>
              <w:rPr>
                <w:noProof/>
              </w:rPr>
              <w:t>0</w:t>
            </w:r>
          </w:p>
        </w:tc>
        <w:tc>
          <w:tcPr>
            <w:tcW w:w="705" w:type="dxa"/>
            <w:tcBorders>
              <w:top w:val="nil"/>
              <w:left w:val="nil"/>
              <w:bottom w:val="single" w:sz="4" w:space="0" w:color="auto"/>
              <w:right w:val="single" w:sz="4" w:space="0" w:color="auto"/>
            </w:tcBorders>
            <w:shd w:val="clear" w:color="auto" w:fill="C6EFCE"/>
            <w:vAlign w:val="center"/>
          </w:tcPr>
          <w:p w14:paraId="1EB7F758" w14:textId="21041FDE" w:rsidR="0023462A" w:rsidRDefault="00A550FA">
            <w:pPr>
              <w:pStyle w:val="P68B1DB1-Normal27"/>
              <w:spacing w:after="120" w:line="240" w:lineRule="auto"/>
              <w:rPr>
                <w:noProof/>
              </w:rPr>
            </w:pPr>
            <w:r>
              <w:rPr>
                <w:noProof/>
              </w:rPr>
              <w:t>18</w:t>
            </w:r>
          </w:p>
        </w:tc>
        <w:tc>
          <w:tcPr>
            <w:tcW w:w="846" w:type="dxa"/>
            <w:tcBorders>
              <w:top w:val="nil"/>
              <w:left w:val="nil"/>
              <w:bottom w:val="single" w:sz="4" w:space="0" w:color="auto"/>
              <w:right w:val="single" w:sz="4" w:space="0" w:color="auto"/>
            </w:tcBorders>
            <w:shd w:val="clear" w:color="auto" w:fill="C6EFCE"/>
            <w:vAlign w:val="center"/>
          </w:tcPr>
          <w:p w14:paraId="12989D06" w14:textId="07EF824F" w:rsidR="0023462A" w:rsidRDefault="00A550FA">
            <w:pPr>
              <w:pStyle w:val="P68B1DB1-Normal32"/>
              <w:spacing w:after="120" w:line="240" w:lineRule="auto"/>
              <w:rPr>
                <w:noProof/>
              </w:rPr>
            </w:pPr>
            <w:r>
              <w:rPr>
                <w:noProof/>
              </w:rPr>
              <w:t>T2</w:t>
            </w:r>
          </w:p>
        </w:tc>
        <w:tc>
          <w:tcPr>
            <w:tcW w:w="777" w:type="dxa"/>
            <w:tcBorders>
              <w:top w:val="nil"/>
              <w:left w:val="nil"/>
              <w:bottom w:val="single" w:sz="4" w:space="0" w:color="auto"/>
              <w:right w:val="single" w:sz="4" w:space="0" w:color="auto"/>
            </w:tcBorders>
            <w:shd w:val="clear" w:color="auto" w:fill="C6EFCE"/>
            <w:vAlign w:val="center"/>
          </w:tcPr>
          <w:p w14:paraId="03CCAF8C" w14:textId="0A66C8E6" w:rsidR="0023462A" w:rsidRDefault="00A550FA">
            <w:pPr>
              <w:pStyle w:val="P68B1DB1-Normal32"/>
              <w:spacing w:after="120" w:line="240" w:lineRule="auto"/>
              <w:rPr>
                <w:noProof/>
              </w:rPr>
            </w:pPr>
            <w:r>
              <w:rPr>
                <w:noProof/>
              </w:rPr>
              <w:t>2026</w:t>
            </w:r>
          </w:p>
        </w:tc>
        <w:tc>
          <w:tcPr>
            <w:tcW w:w="3687" w:type="dxa"/>
            <w:tcBorders>
              <w:top w:val="nil"/>
              <w:left w:val="nil"/>
              <w:bottom w:val="single" w:sz="4" w:space="0" w:color="auto"/>
              <w:right w:val="single" w:sz="4" w:space="0" w:color="auto"/>
            </w:tcBorders>
            <w:shd w:val="clear" w:color="auto" w:fill="C6EFCE"/>
            <w:vAlign w:val="center"/>
          </w:tcPr>
          <w:p w14:paraId="28E5947D" w14:textId="763D2A82" w:rsidR="0023462A" w:rsidRDefault="00A550FA">
            <w:pPr>
              <w:pStyle w:val="P68B1DB1-Normal32"/>
              <w:spacing w:after="120" w:line="240" w:lineRule="auto"/>
              <w:rPr>
                <w:noProof/>
              </w:rPr>
            </w:pPr>
            <w:r>
              <w:rPr>
                <w:noProof/>
              </w:rPr>
              <w:t xml:space="preserve">Rénovation et/ou construction de 57 000 mètres carrés et achat et livraison de 1 150 équipements TIC. </w:t>
            </w:r>
          </w:p>
          <w:p w14:paraId="5E774275" w14:textId="7F1222C9" w:rsidR="0023462A" w:rsidRDefault="00A550FA">
            <w:pPr>
              <w:pStyle w:val="P68B1DB1-Normal32"/>
              <w:spacing w:after="120" w:line="240" w:lineRule="auto"/>
              <w:rPr>
                <w:rFonts w:eastAsiaTheme="minorHAnsi"/>
                <w:noProof/>
              </w:rPr>
            </w:pPr>
            <w:r>
              <w:rPr>
                <w:noProof/>
              </w:rPr>
              <w:t xml:space="preserve">Ces centres réalisent en moyenne une réduction d'au moins 30 % des émissions directes et indirectes de gaz à effet de serre ou des économies d'énergie primaire d'au moins 30 %. </w:t>
            </w:r>
          </w:p>
        </w:tc>
      </w:tr>
      <w:tr w:rsidR="0023462A" w14:paraId="6C409547" w14:textId="77777777">
        <w:trPr>
          <w:trHeight w:val="271"/>
        </w:trPr>
        <w:tc>
          <w:tcPr>
            <w:tcW w:w="1027" w:type="dxa"/>
            <w:tcBorders>
              <w:top w:val="nil"/>
              <w:left w:val="single" w:sz="4" w:space="0" w:color="auto"/>
              <w:bottom w:val="single" w:sz="4" w:space="0" w:color="auto"/>
              <w:right w:val="single" w:sz="4" w:space="0" w:color="auto"/>
            </w:tcBorders>
            <w:shd w:val="clear" w:color="auto" w:fill="C6EFCE"/>
            <w:vAlign w:val="center"/>
          </w:tcPr>
          <w:p w14:paraId="23F1654F" w14:textId="3739E2D4" w:rsidR="0023462A" w:rsidRDefault="00A550FA">
            <w:pPr>
              <w:pStyle w:val="P68B1DB1-Normal32"/>
              <w:spacing w:after="120" w:line="240" w:lineRule="auto"/>
              <w:rPr>
                <w:noProof/>
              </w:rPr>
            </w:pPr>
            <w:r>
              <w:rPr>
                <w:noProof/>
              </w:rPr>
              <w:t>11</w:t>
            </w:r>
          </w:p>
        </w:tc>
        <w:tc>
          <w:tcPr>
            <w:tcW w:w="1645" w:type="dxa"/>
            <w:tcBorders>
              <w:top w:val="single" w:sz="4" w:space="0" w:color="auto"/>
              <w:left w:val="nil"/>
              <w:bottom w:val="single" w:sz="4" w:space="0" w:color="auto"/>
              <w:right w:val="single" w:sz="4" w:space="0" w:color="auto"/>
            </w:tcBorders>
            <w:shd w:val="clear" w:color="auto" w:fill="C6EFCE"/>
            <w:vAlign w:val="center"/>
          </w:tcPr>
          <w:p w14:paraId="7EC83B06" w14:textId="15EE0E6F" w:rsidR="0023462A" w:rsidRDefault="00A550FA">
            <w:pPr>
              <w:pStyle w:val="P68B1DB1-Normal32"/>
              <w:spacing w:after="120" w:line="240" w:lineRule="auto"/>
              <w:rPr>
                <w:rFonts w:eastAsiaTheme="minorHAnsi"/>
                <w:noProof/>
              </w:rPr>
            </w:pPr>
            <w:r>
              <w:rPr>
                <w:noProof/>
              </w:rPr>
              <w:t xml:space="preserve">C2.I4 Développement du Centre central d'examen </w:t>
            </w:r>
          </w:p>
        </w:tc>
        <w:tc>
          <w:tcPr>
            <w:tcW w:w="1030" w:type="dxa"/>
            <w:tcBorders>
              <w:top w:val="nil"/>
              <w:left w:val="nil"/>
              <w:bottom w:val="single" w:sz="4" w:space="0" w:color="auto"/>
              <w:right w:val="single" w:sz="4" w:space="0" w:color="auto"/>
            </w:tcBorders>
            <w:shd w:val="clear" w:color="auto" w:fill="C6EFCE"/>
            <w:vAlign w:val="center"/>
          </w:tcPr>
          <w:p w14:paraId="628D3F47" w14:textId="77777777" w:rsidR="0023462A" w:rsidRDefault="00A550FA">
            <w:pPr>
              <w:pStyle w:val="P68B1DB1-Normal32"/>
              <w:spacing w:after="120" w:line="240" w:lineRule="auto"/>
              <w:rPr>
                <w:rFonts w:eastAsiaTheme="minorHAnsi"/>
                <w:noProof/>
              </w:rPr>
            </w:pPr>
            <w:r>
              <w:rPr>
                <w:noProof/>
              </w:rPr>
              <w:t>Étape</w:t>
            </w:r>
          </w:p>
        </w:tc>
        <w:tc>
          <w:tcPr>
            <w:tcW w:w="1966" w:type="dxa"/>
            <w:tcBorders>
              <w:top w:val="nil"/>
              <w:left w:val="nil"/>
              <w:bottom w:val="single" w:sz="4" w:space="0" w:color="auto"/>
              <w:right w:val="single" w:sz="4" w:space="0" w:color="auto"/>
            </w:tcBorders>
            <w:shd w:val="clear" w:color="auto" w:fill="C6EFCE"/>
            <w:vAlign w:val="center"/>
          </w:tcPr>
          <w:p w14:paraId="5FC1686C" w14:textId="396B6C40" w:rsidR="0023462A" w:rsidRDefault="00A550FA">
            <w:pPr>
              <w:pStyle w:val="P68B1DB1-Normal32"/>
              <w:spacing w:after="120" w:line="240" w:lineRule="auto"/>
              <w:rPr>
                <w:rFonts w:eastAsiaTheme="minorHAnsi"/>
                <w:noProof/>
              </w:rPr>
            </w:pPr>
            <w:r>
              <w:rPr>
                <w:noProof/>
              </w:rPr>
              <w:t xml:space="preserve">Rénovation du Centre central d'examen </w:t>
            </w:r>
          </w:p>
        </w:tc>
        <w:tc>
          <w:tcPr>
            <w:tcW w:w="1841" w:type="dxa"/>
            <w:tcBorders>
              <w:top w:val="nil"/>
              <w:left w:val="nil"/>
              <w:bottom w:val="single" w:sz="4" w:space="0" w:color="auto"/>
              <w:right w:val="single" w:sz="4" w:space="0" w:color="auto"/>
            </w:tcBorders>
            <w:shd w:val="clear" w:color="auto" w:fill="C6EFCE"/>
            <w:vAlign w:val="center"/>
          </w:tcPr>
          <w:p w14:paraId="19CFEB13" w14:textId="69249C74" w:rsidR="0023462A" w:rsidRDefault="00A550FA">
            <w:pPr>
              <w:pStyle w:val="P68B1DB1-Normal32"/>
              <w:spacing w:after="120" w:line="240" w:lineRule="auto"/>
              <w:rPr>
                <w:noProof/>
              </w:rPr>
            </w:pPr>
            <w:r>
              <w:rPr>
                <w:noProof/>
              </w:rPr>
              <w:t>Rénovation du Centre central d'examen</w:t>
            </w:r>
          </w:p>
        </w:tc>
        <w:tc>
          <w:tcPr>
            <w:tcW w:w="1541" w:type="dxa"/>
            <w:tcBorders>
              <w:top w:val="nil"/>
              <w:left w:val="nil"/>
              <w:bottom w:val="single" w:sz="4" w:space="0" w:color="auto"/>
              <w:right w:val="single" w:sz="4" w:space="0" w:color="auto"/>
            </w:tcBorders>
            <w:shd w:val="clear" w:color="auto" w:fill="C6EFCE"/>
            <w:vAlign w:val="center"/>
          </w:tcPr>
          <w:p w14:paraId="587A0AB2" w14:textId="3C92F9BD" w:rsidR="0023462A" w:rsidRDefault="0023462A">
            <w:pPr>
              <w:spacing w:after="120" w:line="240" w:lineRule="auto"/>
              <w:rPr>
                <w:rFonts w:ascii="Times New Roman" w:hAnsi="Times New Roman" w:cs="Times New Roman"/>
                <w:noProof/>
                <w:sz w:val="18"/>
                <w:szCs w:val="18"/>
              </w:rPr>
            </w:pPr>
          </w:p>
        </w:tc>
        <w:tc>
          <w:tcPr>
            <w:tcW w:w="1126" w:type="dxa"/>
            <w:tcBorders>
              <w:top w:val="nil"/>
              <w:left w:val="nil"/>
              <w:bottom w:val="single" w:sz="4" w:space="0" w:color="auto"/>
              <w:right w:val="single" w:sz="4" w:space="0" w:color="auto"/>
            </w:tcBorders>
            <w:shd w:val="clear" w:color="auto" w:fill="C6EFCE"/>
            <w:vAlign w:val="center"/>
          </w:tcPr>
          <w:p w14:paraId="5CF943DA" w14:textId="6D839B34" w:rsidR="0023462A" w:rsidRDefault="0023462A">
            <w:pPr>
              <w:spacing w:after="120" w:line="240" w:lineRule="auto"/>
              <w:rPr>
                <w:rFonts w:ascii="Times New Roman" w:hAnsi="Times New Roman" w:cs="Times New Roman"/>
                <w:noProof/>
                <w:sz w:val="18"/>
                <w:szCs w:val="18"/>
              </w:rPr>
            </w:pPr>
          </w:p>
        </w:tc>
        <w:tc>
          <w:tcPr>
            <w:tcW w:w="705" w:type="dxa"/>
            <w:tcBorders>
              <w:top w:val="nil"/>
              <w:left w:val="nil"/>
              <w:bottom w:val="single" w:sz="4" w:space="0" w:color="auto"/>
              <w:right w:val="single" w:sz="4" w:space="0" w:color="auto"/>
            </w:tcBorders>
            <w:shd w:val="clear" w:color="auto" w:fill="C6EFCE"/>
            <w:vAlign w:val="center"/>
          </w:tcPr>
          <w:p w14:paraId="61ACDF54" w14:textId="6CE60808" w:rsidR="0023462A" w:rsidRDefault="0023462A">
            <w:pPr>
              <w:spacing w:after="120" w:line="240" w:lineRule="auto"/>
              <w:rPr>
                <w:rFonts w:ascii="Times New Roman" w:hAnsi="Times New Roman" w:cs="Times New Roman"/>
                <w:noProof/>
                <w:sz w:val="18"/>
                <w:szCs w:val="18"/>
              </w:rPr>
            </w:pPr>
          </w:p>
        </w:tc>
        <w:tc>
          <w:tcPr>
            <w:tcW w:w="846" w:type="dxa"/>
            <w:tcBorders>
              <w:top w:val="nil"/>
              <w:left w:val="nil"/>
              <w:bottom w:val="single" w:sz="4" w:space="0" w:color="auto"/>
              <w:right w:val="single" w:sz="4" w:space="0" w:color="auto"/>
            </w:tcBorders>
            <w:shd w:val="clear" w:color="auto" w:fill="C6EFCE"/>
            <w:vAlign w:val="center"/>
          </w:tcPr>
          <w:p w14:paraId="40009140" w14:textId="61ADF9B2" w:rsidR="0023462A" w:rsidRDefault="00A550FA">
            <w:pPr>
              <w:pStyle w:val="P68B1DB1-Normal32"/>
              <w:spacing w:after="120" w:line="240" w:lineRule="auto"/>
              <w:rPr>
                <w:noProof/>
              </w:rPr>
            </w:pPr>
            <w:r>
              <w:rPr>
                <w:noProof/>
              </w:rPr>
              <w:t>T2</w:t>
            </w:r>
          </w:p>
        </w:tc>
        <w:tc>
          <w:tcPr>
            <w:tcW w:w="777" w:type="dxa"/>
            <w:tcBorders>
              <w:top w:val="nil"/>
              <w:left w:val="nil"/>
              <w:bottom w:val="single" w:sz="4" w:space="0" w:color="auto"/>
              <w:right w:val="single" w:sz="4" w:space="0" w:color="auto"/>
            </w:tcBorders>
            <w:shd w:val="clear" w:color="auto" w:fill="C6EFCE"/>
            <w:vAlign w:val="center"/>
          </w:tcPr>
          <w:p w14:paraId="70D12820" w14:textId="5766D1E2" w:rsidR="0023462A" w:rsidRDefault="00A550FA">
            <w:pPr>
              <w:pStyle w:val="P68B1DB1-Normal32"/>
              <w:spacing w:after="120" w:line="240" w:lineRule="auto"/>
              <w:rPr>
                <w:noProof/>
              </w:rPr>
            </w:pPr>
            <w:r>
              <w:rPr>
                <w:noProof/>
              </w:rPr>
              <w:t>2026</w:t>
            </w:r>
          </w:p>
        </w:tc>
        <w:tc>
          <w:tcPr>
            <w:tcW w:w="3687" w:type="dxa"/>
            <w:tcBorders>
              <w:top w:val="nil"/>
              <w:left w:val="nil"/>
              <w:bottom w:val="single" w:sz="4" w:space="0" w:color="auto"/>
              <w:right w:val="single" w:sz="4" w:space="0" w:color="auto"/>
            </w:tcBorders>
            <w:shd w:val="clear" w:color="auto" w:fill="C6EFCE"/>
            <w:vAlign w:val="center"/>
          </w:tcPr>
          <w:p w14:paraId="360139BA" w14:textId="46D34451" w:rsidR="0023462A" w:rsidRDefault="00A550FA">
            <w:pPr>
              <w:pStyle w:val="P68B1DB1-Normal32"/>
              <w:spacing w:after="120" w:line="240" w:lineRule="auto"/>
              <w:rPr>
                <w:noProof/>
              </w:rPr>
            </w:pPr>
            <w:r>
              <w:rPr>
                <w:noProof/>
              </w:rPr>
              <w:t xml:space="preserve">Rénovation du bâtiment du centre central d’examen et achat et livraison d’équipements de simulation des TIC et de la production. </w:t>
            </w:r>
          </w:p>
          <w:p w14:paraId="22FD58B3" w14:textId="755416F2" w:rsidR="0023462A" w:rsidRDefault="00A550FA">
            <w:pPr>
              <w:pStyle w:val="P68B1DB1-Normal32"/>
              <w:spacing w:after="120" w:line="240" w:lineRule="auto"/>
              <w:rPr>
                <w:rFonts w:eastAsiaTheme="minorHAnsi"/>
                <w:noProof/>
              </w:rPr>
            </w:pPr>
            <w:r>
              <w:rPr>
                <w:noProof/>
              </w:rPr>
              <w:t xml:space="preserve">La rénovation en matière d’efficacité énergétique permet d’économiser au moins 30 % d’énergie primaire ou de réduire d’au moins 30 % les émissions de gaz à effet de serre. </w:t>
            </w:r>
          </w:p>
        </w:tc>
      </w:tr>
      <w:tr w:rsidR="0023462A" w14:paraId="27EAAF2C" w14:textId="77777777">
        <w:trPr>
          <w:trHeight w:val="804"/>
        </w:trPr>
        <w:tc>
          <w:tcPr>
            <w:tcW w:w="1027" w:type="dxa"/>
            <w:tcBorders>
              <w:top w:val="nil"/>
              <w:left w:val="single" w:sz="4" w:space="0" w:color="auto"/>
              <w:bottom w:val="single" w:sz="4" w:space="0" w:color="auto"/>
              <w:right w:val="single" w:sz="4" w:space="0" w:color="auto"/>
            </w:tcBorders>
            <w:shd w:val="clear" w:color="auto" w:fill="C6EFCE"/>
            <w:vAlign w:val="center"/>
          </w:tcPr>
          <w:p w14:paraId="04ABC539" w14:textId="42BFBCC0" w:rsidR="0023462A" w:rsidRDefault="00A550FA">
            <w:pPr>
              <w:pStyle w:val="P68B1DB1-Normal32"/>
              <w:spacing w:after="120" w:line="240" w:lineRule="auto"/>
              <w:rPr>
                <w:noProof/>
              </w:rPr>
            </w:pPr>
            <w:r>
              <w:rPr>
                <w:noProof/>
              </w:rPr>
              <w:t xml:space="preserve"> 12</w:t>
            </w:r>
          </w:p>
        </w:tc>
        <w:tc>
          <w:tcPr>
            <w:tcW w:w="1645" w:type="dxa"/>
            <w:tcBorders>
              <w:top w:val="single" w:sz="4" w:space="0" w:color="auto"/>
              <w:left w:val="nil"/>
              <w:bottom w:val="single" w:sz="4" w:space="0" w:color="auto"/>
              <w:right w:val="single" w:sz="4" w:space="0" w:color="auto"/>
            </w:tcBorders>
            <w:shd w:val="clear" w:color="auto" w:fill="C6EFCE"/>
            <w:vAlign w:val="center"/>
          </w:tcPr>
          <w:p w14:paraId="4CB9DC12" w14:textId="3D949617" w:rsidR="0023462A" w:rsidRDefault="00A550FA">
            <w:pPr>
              <w:pStyle w:val="P68B1DB1-Normal32"/>
              <w:spacing w:after="120" w:line="240" w:lineRule="auto"/>
              <w:rPr>
                <w:rFonts w:eastAsiaTheme="minorHAnsi"/>
                <w:noProof/>
              </w:rPr>
            </w:pPr>
            <w:r>
              <w:rPr>
                <w:noProof/>
              </w:rPr>
              <w:t>C2.I5 Soutien à la recherche et au développement</w:t>
            </w:r>
          </w:p>
        </w:tc>
        <w:tc>
          <w:tcPr>
            <w:tcW w:w="1030" w:type="dxa"/>
            <w:tcBorders>
              <w:top w:val="nil"/>
              <w:left w:val="nil"/>
              <w:bottom w:val="single" w:sz="4" w:space="0" w:color="auto"/>
              <w:right w:val="single" w:sz="4" w:space="0" w:color="auto"/>
            </w:tcBorders>
            <w:shd w:val="clear" w:color="auto" w:fill="C6EFCE"/>
            <w:vAlign w:val="center"/>
          </w:tcPr>
          <w:p w14:paraId="113C7981" w14:textId="77777777" w:rsidR="0023462A" w:rsidRDefault="00A550FA">
            <w:pPr>
              <w:pStyle w:val="P68B1DB1-Normal32"/>
              <w:spacing w:after="120" w:line="240" w:lineRule="auto"/>
              <w:rPr>
                <w:rFonts w:eastAsiaTheme="minorHAnsi"/>
                <w:noProof/>
              </w:rPr>
            </w:pPr>
            <w:r>
              <w:rPr>
                <w:noProof/>
              </w:rPr>
              <w:t>Objectif</w:t>
            </w:r>
          </w:p>
        </w:tc>
        <w:tc>
          <w:tcPr>
            <w:tcW w:w="1966" w:type="dxa"/>
            <w:tcBorders>
              <w:top w:val="single" w:sz="4" w:space="0" w:color="auto"/>
              <w:left w:val="nil"/>
              <w:bottom w:val="single" w:sz="4" w:space="0" w:color="auto"/>
              <w:right w:val="single" w:sz="4" w:space="0" w:color="auto"/>
            </w:tcBorders>
            <w:shd w:val="clear" w:color="auto" w:fill="C6EFCE"/>
            <w:vAlign w:val="center"/>
          </w:tcPr>
          <w:p w14:paraId="580E10F8" w14:textId="3EFEA284" w:rsidR="0023462A" w:rsidRDefault="00A550FA">
            <w:pPr>
              <w:pStyle w:val="P68B1DB1-Normal32"/>
              <w:spacing w:after="120" w:line="240" w:lineRule="auto"/>
              <w:rPr>
                <w:rFonts w:eastAsiaTheme="minorHAnsi"/>
                <w:noProof/>
              </w:rPr>
            </w:pPr>
            <w:r>
              <w:rPr>
                <w:noProof/>
              </w:rPr>
              <w:t>Soutenir les entités de recherche</w:t>
            </w:r>
          </w:p>
        </w:tc>
        <w:tc>
          <w:tcPr>
            <w:tcW w:w="1841" w:type="dxa"/>
            <w:tcBorders>
              <w:top w:val="nil"/>
              <w:left w:val="nil"/>
              <w:bottom w:val="single" w:sz="4" w:space="0" w:color="auto"/>
              <w:right w:val="single" w:sz="4" w:space="0" w:color="auto"/>
            </w:tcBorders>
            <w:shd w:val="clear" w:color="auto" w:fill="C6EFCE"/>
            <w:vAlign w:val="center"/>
          </w:tcPr>
          <w:p w14:paraId="2EADE265" w14:textId="77777777" w:rsidR="0023462A" w:rsidRDefault="0023462A">
            <w:pPr>
              <w:spacing w:after="120" w:line="240" w:lineRule="auto"/>
              <w:rPr>
                <w:rFonts w:ascii="Times New Roman" w:hAnsi="Times New Roman" w:cs="Times New Roman"/>
                <w:noProof/>
                <w:sz w:val="18"/>
                <w:szCs w:val="18"/>
              </w:rPr>
            </w:pPr>
          </w:p>
        </w:tc>
        <w:tc>
          <w:tcPr>
            <w:tcW w:w="1541" w:type="dxa"/>
            <w:tcBorders>
              <w:top w:val="nil"/>
              <w:left w:val="nil"/>
              <w:bottom w:val="single" w:sz="4" w:space="0" w:color="auto"/>
              <w:right w:val="single" w:sz="4" w:space="0" w:color="auto"/>
            </w:tcBorders>
            <w:shd w:val="clear" w:color="auto" w:fill="C6EFCE"/>
            <w:vAlign w:val="center"/>
          </w:tcPr>
          <w:p w14:paraId="5FD31089" w14:textId="77777777" w:rsidR="0023462A" w:rsidRDefault="00A550FA">
            <w:pPr>
              <w:pStyle w:val="P68B1DB1-Normal32"/>
              <w:spacing w:after="120" w:line="240" w:lineRule="auto"/>
              <w:rPr>
                <w:noProof/>
              </w:rPr>
            </w:pPr>
            <w:r>
              <w:rPr>
                <w:noProof/>
              </w:rPr>
              <w:t> Numéro</w:t>
            </w:r>
          </w:p>
        </w:tc>
        <w:tc>
          <w:tcPr>
            <w:tcW w:w="1126" w:type="dxa"/>
            <w:tcBorders>
              <w:top w:val="nil"/>
              <w:left w:val="nil"/>
              <w:bottom w:val="single" w:sz="4" w:space="0" w:color="auto"/>
              <w:right w:val="single" w:sz="4" w:space="0" w:color="auto"/>
            </w:tcBorders>
            <w:shd w:val="clear" w:color="auto" w:fill="C6EFCE"/>
            <w:vAlign w:val="center"/>
          </w:tcPr>
          <w:p w14:paraId="3F2E3B6D" w14:textId="68F915D3" w:rsidR="0023462A" w:rsidRDefault="00A550FA">
            <w:pPr>
              <w:pStyle w:val="P68B1DB1-Normal32"/>
              <w:spacing w:after="120" w:line="240" w:lineRule="auto"/>
              <w:rPr>
                <w:rFonts w:eastAsiaTheme="minorHAnsi"/>
                <w:noProof/>
              </w:rPr>
            </w:pPr>
            <w:r>
              <w:rPr>
                <w:noProof/>
              </w:rPr>
              <w:t>0</w:t>
            </w:r>
          </w:p>
        </w:tc>
        <w:tc>
          <w:tcPr>
            <w:tcW w:w="705" w:type="dxa"/>
            <w:tcBorders>
              <w:top w:val="nil"/>
              <w:left w:val="nil"/>
              <w:bottom w:val="single" w:sz="4" w:space="0" w:color="auto"/>
              <w:right w:val="single" w:sz="4" w:space="0" w:color="auto"/>
            </w:tcBorders>
            <w:shd w:val="clear" w:color="auto" w:fill="C6EFCE"/>
            <w:vAlign w:val="center"/>
          </w:tcPr>
          <w:p w14:paraId="6BAA8E66" w14:textId="36C7404E" w:rsidR="0023462A" w:rsidRDefault="00A550FA">
            <w:pPr>
              <w:pStyle w:val="P68B1DB1-Normal32"/>
              <w:spacing w:after="120" w:line="240" w:lineRule="auto"/>
              <w:rPr>
                <w:rFonts w:eastAsiaTheme="minorHAnsi"/>
                <w:noProof/>
              </w:rPr>
            </w:pPr>
            <w:r>
              <w:rPr>
                <w:noProof/>
              </w:rPr>
              <w:t>14</w:t>
            </w:r>
          </w:p>
        </w:tc>
        <w:tc>
          <w:tcPr>
            <w:tcW w:w="846" w:type="dxa"/>
            <w:tcBorders>
              <w:top w:val="nil"/>
              <w:left w:val="nil"/>
              <w:bottom w:val="single" w:sz="4" w:space="0" w:color="auto"/>
              <w:right w:val="single" w:sz="4" w:space="0" w:color="auto"/>
            </w:tcBorders>
            <w:shd w:val="clear" w:color="auto" w:fill="C6EFCE"/>
            <w:vAlign w:val="center"/>
          </w:tcPr>
          <w:p w14:paraId="0925DC0A" w14:textId="6A510757" w:rsidR="0023462A" w:rsidRDefault="00A550FA">
            <w:pPr>
              <w:pStyle w:val="P68B1DB1-Normal32"/>
              <w:spacing w:after="120" w:line="240" w:lineRule="auto"/>
              <w:rPr>
                <w:rFonts w:eastAsiaTheme="minorHAnsi"/>
                <w:noProof/>
              </w:rPr>
            </w:pPr>
            <w:r>
              <w:rPr>
                <w:noProof/>
              </w:rPr>
              <w:t>T2</w:t>
            </w:r>
          </w:p>
        </w:tc>
        <w:tc>
          <w:tcPr>
            <w:tcW w:w="777" w:type="dxa"/>
            <w:tcBorders>
              <w:top w:val="nil"/>
              <w:left w:val="nil"/>
              <w:bottom w:val="single" w:sz="4" w:space="0" w:color="auto"/>
              <w:right w:val="single" w:sz="4" w:space="0" w:color="auto"/>
            </w:tcBorders>
            <w:shd w:val="clear" w:color="auto" w:fill="C6EFCE"/>
            <w:vAlign w:val="center"/>
          </w:tcPr>
          <w:p w14:paraId="0C771E36" w14:textId="4193811A" w:rsidR="0023462A" w:rsidRDefault="00A550FA">
            <w:pPr>
              <w:pStyle w:val="P68B1DB1-Normal32"/>
              <w:spacing w:after="120" w:line="240" w:lineRule="auto"/>
              <w:rPr>
                <w:rFonts w:eastAsiaTheme="minorHAnsi"/>
                <w:noProof/>
              </w:rPr>
            </w:pPr>
            <w:r>
              <w:rPr>
                <w:noProof/>
              </w:rPr>
              <w:t>2026</w:t>
            </w:r>
          </w:p>
        </w:tc>
        <w:tc>
          <w:tcPr>
            <w:tcW w:w="3687" w:type="dxa"/>
            <w:tcBorders>
              <w:top w:val="nil"/>
              <w:left w:val="nil"/>
              <w:bottom w:val="single" w:sz="4" w:space="0" w:color="auto"/>
              <w:right w:val="single" w:sz="4" w:space="0" w:color="auto"/>
            </w:tcBorders>
            <w:shd w:val="clear" w:color="auto" w:fill="C6EFCE"/>
            <w:vAlign w:val="center"/>
          </w:tcPr>
          <w:p w14:paraId="7E032E3F" w14:textId="49AD769F" w:rsidR="0023462A" w:rsidRDefault="00A550FA">
            <w:pPr>
              <w:pStyle w:val="P68B1DB1-Normal32"/>
              <w:spacing w:after="120" w:line="240" w:lineRule="auto"/>
              <w:rPr>
                <w:noProof/>
              </w:rPr>
            </w:pPr>
            <w:r>
              <w:rPr>
                <w:noProof/>
              </w:rPr>
              <w:t xml:space="preserve">Signature de 14 conventions de subvention avec des entités de recherche. </w:t>
            </w:r>
          </w:p>
        </w:tc>
      </w:tr>
    </w:tbl>
    <w:p w14:paraId="35D4E2CF" w14:textId="77777777" w:rsidR="0023462A" w:rsidRDefault="0023462A">
      <w:pPr>
        <w:tabs>
          <w:tab w:val="left" w:pos="850"/>
        </w:tabs>
        <w:spacing w:after="120" w:line="240" w:lineRule="auto"/>
        <w:jc w:val="both"/>
        <w:outlineLvl w:val="0"/>
        <w:rPr>
          <w:rFonts w:ascii="Times New Roman" w:hAnsi="Times New Roman" w:cs="Times New Roman"/>
          <w:b/>
          <w:smallCaps/>
          <w:noProof/>
          <w:sz w:val="24"/>
          <w:szCs w:val="24"/>
        </w:rPr>
        <w:sectPr w:rsidR="0023462A" w:rsidSect="009030B8">
          <w:headerReference w:type="even" r:id="rId36"/>
          <w:headerReference w:type="default" r:id="rId37"/>
          <w:footerReference w:type="even" r:id="rId38"/>
          <w:footerReference w:type="default" r:id="rId39"/>
          <w:headerReference w:type="first" r:id="rId40"/>
          <w:footerReference w:type="first" r:id="rId41"/>
          <w:pgSz w:w="16839" w:h="11907" w:orient="landscape"/>
          <w:pgMar w:top="1134" w:right="1134" w:bottom="1134" w:left="1134" w:header="567" w:footer="567" w:gutter="0"/>
          <w:cols w:space="720"/>
          <w:docGrid w:linePitch="360"/>
        </w:sectPr>
      </w:pPr>
    </w:p>
    <w:p w14:paraId="0920916E" w14:textId="0318A98F" w:rsidR="0023462A" w:rsidRDefault="00A550FA">
      <w:pPr>
        <w:pStyle w:val="P68B1DB1-Heading25"/>
        <w:keepLines w:val="0"/>
        <w:spacing w:before="0" w:after="120"/>
        <w:jc w:val="both"/>
        <w:rPr>
          <w:rFonts w:cs="Times New Roman"/>
          <w:noProof/>
          <w:szCs w:val="24"/>
        </w:rPr>
      </w:pPr>
      <w:r>
        <w:rPr>
          <w:noProof/>
        </w:rPr>
        <w:t>C. Élément 3: CATCHING UP SETTLEMENTS</w:t>
      </w:r>
    </w:p>
    <w:p w14:paraId="4177E521" w14:textId="77777777" w:rsidR="0023462A" w:rsidRDefault="00A550FA">
      <w:pPr>
        <w:pStyle w:val="P68B1DB1-Normal39"/>
        <w:spacing w:after="120" w:line="240" w:lineRule="auto"/>
        <w:jc w:val="both"/>
        <w:rPr>
          <w:rFonts w:eastAsiaTheme="minorHAnsi"/>
          <w:noProof/>
        </w:rPr>
      </w:pPr>
      <w:r>
        <w:rPr>
          <w:noProof/>
        </w:rPr>
        <w:t xml:space="preserve">Ce volet du plan hongrois pour la reprise et la résilience répond aux défis socio-économiques et territoriaux amplifiés par la pandémie de COVID-19, en particulier dans les établissements les plus pauvres, et aborde des questions telles que le manque d’accès au marché du travail et aux services publics, la pénurie de professionnels des soins de santé primaires et, plus généralement, la pauvreté. </w:t>
      </w:r>
    </w:p>
    <w:p w14:paraId="2F9DF75C" w14:textId="512DC108" w:rsidR="0023462A" w:rsidRDefault="00A550FA">
      <w:pPr>
        <w:pStyle w:val="P68B1DB1-Normal39"/>
        <w:spacing w:after="120" w:line="240" w:lineRule="auto"/>
        <w:jc w:val="both"/>
        <w:rPr>
          <w:rFonts w:eastAsiaTheme="minorHAnsi"/>
          <w:noProof/>
        </w:rPr>
      </w:pPr>
      <w:r>
        <w:rPr>
          <w:noProof/>
        </w:rPr>
        <w:t xml:space="preserve">L’objectif principal de ce volet est de fournir des services de base aux habitants des 300 établissements les plus défavorisés de Hongrie [tels que définis par la décision gouvernementale 1404/2019 (VII.05.) et la décision gouvernementale 1057/2021]. (II.19.)) par le biais d'une intervention intégrée en matière de politique sociale. Le champ d'application des mesures relevant de ce volet fait partie intégrante du programme plus large de rattrapage des établissements. Ce volet contribue au principe 20 relatif à l’accès aux services essentiels du socle européen des droits sociaux. </w:t>
      </w:r>
    </w:p>
    <w:p w14:paraId="5A274C21" w14:textId="1ECC482A" w:rsidR="0023462A" w:rsidRDefault="00A550FA">
      <w:pPr>
        <w:pStyle w:val="P68B1DB1-Normal39"/>
        <w:spacing w:after="120" w:line="240" w:lineRule="auto"/>
        <w:jc w:val="both"/>
        <w:rPr>
          <w:rFonts w:eastAsiaTheme="minorHAnsi"/>
          <w:noProof/>
        </w:rPr>
      </w:pPr>
      <w:r>
        <w:rPr>
          <w:noProof/>
        </w:rPr>
        <w:t>À cette fin, le volet vise i) à mettre en place des centrales solaires à caractère social; ii) promouvoir l’emploi et le développement des compétences sur la base des spécificités locales et le renforcement de la culture économique locale; et iii) obtenir de meilleurs résultats d’apprentissage grâce à une pédagogie axée sur la communauté.</w:t>
      </w:r>
    </w:p>
    <w:p w14:paraId="30A0614F" w14:textId="50B8F481" w:rsidR="0023462A" w:rsidRDefault="00A550FA">
      <w:pPr>
        <w:pStyle w:val="P68B1DB1-Normal39"/>
        <w:spacing w:after="120" w:line="240" w:lineRule="auto"/>
        <w:jc w:val="both"/>
        <w:rPr>
          <w:rFonts w:eastAsiaTheme="minorHAnsi"/>
          <w:noProof/>
        </w:rPr>
      </w:pPr>
      <w:r>
        <w:rPr>
          <w:noProof/>
        </w:rPr>
        <w:t>Ce volet contribue à donner suite aux recommandations par pays relatives à l’amélioration de l’adéquation de l’aide sociale et à l’accès aux services essentiels, à une éducation de qualité (recommandations par pays no 2 en 2020 et no 3 en 2022), à l’intégration des groupes les plus vulnérables sur le marché du travail (recommandations par pays no 2 en 2019 et no 3 en 2022) et à la réalisation d’investissements axés sur les transitions écologique et numérique (recommandations par pays no 3 en 2020 et no 6 en 2022).</w:t>
      </w:r>
    </w:p>
    <w:p w14:paraId="13C1ECF1" w14:textId="12294718" w:rsidR="0023462A" w:rsidRDefault="00A550FA">
      <w:pPr>
        <w:pStyle w:val="P68B1DB1-Normal39"/>
        <w:spacing w:after="120" w:line="240" w:lineRule="auto"/>
        <w:jc w:val="both"/>
        <w:rPr>
          <w:rFonts w:eastAsiaTheme="minorHAnsi"/>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4E7C1447" w14:textId="1C21A35A" w:rsidR="0023462A" w:rsidRDefault="00A550FA">
      <w:pPr>
        <w:pStyle w:val="P68B1DB1-Heading310"/>
        <w:spacing w:before="0" w:after="120"/>
        <w:rPr>
          <w:noProof/>
          <w:shd w:val="clear" w:color="auto" w:fill="FFFFFF"/>
        </w:rPr>
      </w:pPr>
      <w:r>
        <w:rPr>
          <w:noProof/>
        </w:rPr>
        <w:t>C.1. Description des réformes et des investissements pour le soutien financier non remboursable</w:t>
      </w:r>
    </w:p>
    <w:p w14:paraId="2B7E8F93" w14:textId="1F59DA90" w:rsidR="0023462A" w:rsidRDefault="00A550FA">
      <w:pPr>
        <w:pStyle w:val="P68B1DB1-Heading440"/>
        <w:spacing w:before="0" w:after="120" w:line="240" w:lineRule="auto"/>
        <w:rPr>
          <w:noProof/>
        </w:rPr>
      </w:pPr>
      <w:r>
        <w:rPr>
          <w:noProof/>
        </w:rPr>
        <w:t>C3.I1 : Production et utilisation des énergies renouvelables dans les municipalités défavorisées</w:t>
      </w:r>
    </w:p>
    <w:p w14:paraId="4D10199E" w14:textId="2EB825E9" w:rsidR="0023462A" w:rsidRDefault="00A550FA">
      <w:pPr>
        <w:pStyle w:val="P68B1DB1-Normal12"/>
        <w:spacing w:after="120" w:line="240" w:lineRule="auto"/>
        <w:jc w:val="both"/>
        <w:rPr>
          <w:rFonts w:ascii="Times New Roman" w:eastAsiaTheme="minorHAnsi" w:hAnsi="Times New Roman" w:cs="Times New Roman"/>
          <w:noProof/>
          <w:szCs w:val="24"/>
        </w:rPr>
      </w:pPr>
      <w:r>
        <w:rPr>
          <w:rFonts w:ascii="Times New Roman" w:hAnsi="Times New Roman"/>
          <w:noProof/>
        </w:rPr>
        <w:t xml:space="preserve">L’objectif de </w:t>
      </w:r>
      <w:r>
        <w:rPr>
          <w:rFonts w:ascii="Times New Roman" w:hAnsi="Times New Roman" w:cs="Times New Roman"/>
          <w:noProof/>
          <w:szCs w:val="24"/>
        </w:rPr>
        <w:t>cette mesure</w:t>
      </w:r>
      <w:r>
        <w:rPr>
          <w:rFonts w:ascii="Times New Roman" w:hAnsi="Times New Roman"/>
          <w:noProof/>
        </w:rPr>
        <w:t xml:space="preserve"> est de </w:t>
      </w:r>
      <w:r>
        <w:rPr>
          <w:rFonts w:ascii="Times New Roman" w:hAnsi="Times New Roman" w:cs="Times New Roman"/>
          <w:noProof/>
          <w:szCs w:val="24"/>
        </w:rPr>
        <w:t>réduire la précarité énergétique</w:t>
      </w:r>
      <w:r>
        <w:rPr>
          <w:rFonts w:ascii="Times New Roman" w:hAnsi="Times New Roman"/>
          <w:noProof/>
        </w:rPr>
        <w:t xml:space="preserve"> dans les municipalités sélectionnées dans le cadre du programme de rattrapage des établissements par</w:t>
      </w:r>
      <w:r>
        <w:rPr>
          <w:rFonts w:ascii="Times New Roman" w:hAnsi="Times New Roman" w:cs="Times New Roman"/>
          <w:noProof/>
          <w:szCs w:val="24"/>
        </w:rPr>
        <w:t xml:space="preserve"> la production d’énergie renouvelable.</w:t>
      </w:r>
    </w:p>
    <w:p w14:paraId="37F931D1" w14:textId="693A82E2" w:rsidR="0023462A" w:rsidRDefault="00A550FA">
      <w:pPr>
        <w:pStyle w:val="P68B1DB1-Normal12"/>
        <w:spacing w:after="120" w:line="240" w:lineRule="auto"/>
        <w:jc w:val="both"/>
        <w:rPr>
          <w:rFonts w:ascii="Times New Roman" w:hAnsi="Times New Roman"/>
          <w:noProof/>
        </w:rPr>
      </w:pPr>
      <w:r>
        <w:rPr>
          <w:rFonts w:ascii="Times New Roman" w:hAnsi="Times New Roman" w:cs="Times New Roman"/>
          <w:noProof/>
          <w:szCs w:val="24"/>
        </w:rPr>
        <w:t xml:space="preserve">Cette mesure consiste en l’installation de capacités photovoltaïques </w:t>
      </w:r>
      <w:r>
        <w:rPr>
          <w:rFonts w:ascii="Times New Roman" w:hAnsi="Times New Roman"/>
          <w:noProof/>
        </w:rPr>
        <w:t xml:space="preserve">pour subventionner les besoins en électricité des </w:t>
      </w:r>
      <w:r>
        <w:rPr>
          <w:rFonts w:ascii="Times New Roman" w:hAnsi="Times New Roman" w:cs="Times New Roman"/>
          <w:noProof/>
          <w:szCs w:val="24"/>
        </w:rPr>
        <w:t>ménages vivant dans des municipalités sélectionnées dans le cadre du programme de rattrapage des établissements.</w:t>
      </w:r>
    </w:p>
    <w:p w14:paraId="6DF90068" w14:textId="3D1465C9" w:rsidR="0023462A" w:rsidRDefault="00A550FA">
      <w:pPr>
        <w:pStyle w:val="P68B1DB1-Heading440"/>
        <w:spacing w:before="0" w:after="120" w:line="240" w:lineRule="auto"/>
        <w:rPr>
          <w:noProof/>
        </w:rPr>
      </w:pPr>
      <w:r>
        <w:rPr>
          <w:noProof/>
        </w:rPr>
        <w:t>C3.I2 : Promouvoir l'emploi et le développement des compétences en fonction des spécificités locales</w:t>
      </w:r>
    </w:p>
    <w:p w14:paraId="5D6B6824" w14:textId="42F00CE6" w:rsidR="0023462A" w:rsidRDefault="00A550FA">
      <w:pPr>
        <w:pStyle w:val="P68B1DB1-Normal12"/>
        <w:spacing w:after="120" w:line="240" w:lineRule="auto"/>
        <w:jc w:val="both"/>
        <w:rPr>
          <w:rFonts w:ascii="Times New Roman" w:eastAsiaTheme="minorHAnsi" w:hAnsi="Times New Roman"/>
          <w:noProof/>
        </w:rPr>
      </w:pPr>
      <w:r>
        <w:rPr>
          <w:rFonts w:ascii="Times New Roman" w:hAnsi="Times New Roman"/>
          <w:noProof/>
        </w:rPr>
        <w:t xml:space="preserve">L’objectif de </w:t>
      </w:r>
      <w:r>
        <w:rPr>
          <w:rFonts w:ascii="Times New Roman" w:hAnsi="Times New Roman" w:cs="Times New Roman"/>
          <w:noProof/>
          <w:szCs w:val="24"/>
        </w:rPr>
        <w:t>cette</w:t>
      </w:r>
      <w:r>
        <w:rPr>
          <w:rFonts w:ascii="Times New Roman" w:hAnsi="Times New Roman"/>
          <w:noProof/>
        </w:rPr>
        <w:t xml:space="preserve"> mesure est de </w:t>
      </w:r>
      <w:r>
        <w:rPr>
          <w:rFonts w:ascii="Times New Roman" w:hAnsi="Times New Roman" w:cs="Times New Roman"/>
          <w:noProof/>
          <w:szCs w:val="24"/>
        </w:rPr>
        <w:t xml:space="preserve">développer l’employabilité des </w:t>
      </w:r>
      <w:r>
        <w:rPr>
          <w:rFonts w:ascii="Times New Roman" w:hAnsi="Times New Roman"/>
          <w:noProof/>
        </w:rPr>
        <w:t xml:space="preserve">personnes vivant dans les municipalités sélectionnées dans le cadre du programme d’établissements de rattrapage. </w:t>
      </w:r>
    </w:p>
    <w:p w14:paraId="1344125B" w14:textId="6C00E397" w:rsidR="0023462A" w:rsidRDefault="00A550FA">
      <w:pPr>
        <w:pStyle w:val="P68B1DB1-Normal12"/>
        <w:spacing w:after="120" w:line="240" w:lineRule="auto"/>
        <w:jc w:val="both"/>
        <w:rPr>
          <w:rFonts w:ascii="Times New Roman" w:eastAsiaTheme="minorHAnsi" w:hAnsi="Times New Roman"/>
          <w:noProof/>
        </w:rPr>
      </w:pPr>
      <w:r>
        <w:rPr>
          <w:rFonts w:ascii="Times New Roman" w:hAnsi="Times New Roman"/>
          <w:noProof/>
        </w:rPr>
        <w:t xml:space="preserve">Cette mesure </w:t>
      </w:r>
      <w:r>
        <w:rPr>
          <w:rFonts w:ascii="Times New Roman" w:hAnsi="Times New Roman" w:cs="Times New Roman"/>
          <w:noProof/>
          <w:szCs w:val="24"/>
        </w:rPr>
        <w:t xml:space="preserve">consiste à soutenir la </w:t>
      </w:r>
      <w:r>
        <w:rPr>
          <w:rFonts w:ascii="Times New Roman" w:hAnsi="Times New Roman"/>
          <w:noProof/>
        </w:rPr>
        <w:t>participation à des programmes de socialisation du travail.</w:t>
      </w:r>
    </w:p>
    <w:p w14:paraId="3580DAEA" w14:textId="62A30740" w:rsidR="0023462A" w:rsidRDefault="00A550FA">
      <w:pPr>
        <w:pStyle w:val="P68B1DB1-Heading440"/>
        <w:spacing w:before="0" w:after="120" w:line="240" w:lineRule="auto"/>
        <w:rPr>
          <w:noProof/>
        </w:rPr>
      </w:pPr>
      <w:r>
        <w:rPr>
          <w:noProof/>
        </w:rPr>
        <w:t>C3.I3 : Pédagogie axée sur la communauté</w:t>
      </w:r>
    </w:p>
    <w:p w14:paraId="4E399396" w14:textId="6B863838" w:rsidR="0023462A" w:rsidRDefault="00A550FA">
      <w:pPr>
        <w:pStyle w:val="P68B1DB1-Normal12"/>
        <w:spacing w:after="120" w:line="240" w:lineRule="auto"/>
        <w:rPr>
          <w:rFonts w:ascii="Times New Roman" w:hAnsi="Times New Roman" w:cs="Times New Roman"/>
          <w:noProof/>
          <w:szCs w:val="24"/>
        </w:rPr>
      </w:pPr>
      <w:r>
        <w:rPr>
          <w:rFonts w:ascii="Times New Roman" w:hAnsi="Times New Roman"/>
          <w:noProof/>
        </w:rPr>
        <w:t xml:space="preserve">L’objectif de la mesure est de </w:t>
      </w:r>
      <w:r>
        <w:rPr>
          <w:rFonts w:ascii="Times New Roman" w:hAnsi="Times New Roman" w:cs="Times New Roman"/>
          <w:noProof/>
          <w:szCs w:val="24"/>
        </w:rPr>
        <w:t xml:space="preserve">fournir un </w:t>
      </w:r>
      <w:r>
        <w:rPr>
          <w:rFonts w:ascii="Times New Roman" w:hAnsi="Times New Roman"/>
          <w:noProof/>
        </w:rPr>
        <w:t>soutien ciblé aux élèves dans les municipalités sélectionnées dans le cadre du programme de rattrapage des établissements.</w:t>
      </w:r>
      <w:r>
        <w:rPr>
          <w:rFonts w:ascii="Times New Roman" w:hAnsi="Times New Roman" w:cs="Times New Roman"/>
          <w:noProof/>
          <w:szCs w:val="24"/>
        </w:rPr>
        <w:t xml:space="preserve"> </w:t>
      </w:r>
    </w:p>
    <w:p w14:paraId="24BDDA83" w14:textId="1727B4D5" w:rsidR="0023462A" w:rsidRDefault="00A550FA">
      <w:pPr>
        <w:pStyle w:val="P68B1DB1-Normal34"/>
        <w:spacing w:after="120" w:line="240" w:lineRule="auto"/>
        <w:rPr>
          <w:noProof/>
        </w:rPr>
      </w:pPr>
      <w:r>
        <w:rPr>
          <w:noProof/>
        </w:rPr>
        <w:t>La mesure consiste en la participation des établissements d'enseignement public au développement pédagogique inclusif.</w:t>
      </w:r>
    </w:p>
    <w:p w14:paraId="317F5462" w14:textId="798A6B0C" w:rsidR="0023462A" w:rsidRDefault="0023462A">
      <w:pPr>
        <w:spacing w:after="120" w:line="240" w:lineRule="auto"/>
        <w:rPr>
          <w:rFonts w:ascii="Times New Roman" w:hAnsi="Times New Roman" w:cs="Times New Roman"/>
          <w:noProof/>
          <w:sz w:val="24"/>
          <w:szCs w:val="24"/>
        </w:rPr>
        <w:sectPr w:rsidR="0023462A" w:rsidSect="003B5873">
          <w:headerReference w:type="even" r:id="rId42"/>
          <w:headerReference w:type="default" r:id="rId43"/>
          <w:footerReference w:type="even" r:id="rId44"/>
          <w:footerReference w:type="default" r:id="rId45"/>
          <w:headerReference w:type="first" r:id="rId46"/>
          <w:footerReference w:type="first" r:id="rId47"/>
          <w:pgSz w:w="11907" w:h="16839"/>
          <w:pgMar w:top="1134" w:right="1134" w:bottom="1134" w:left="1134" w:header="567" w:footer="567" w:gutter="0"/>
          <w:cols w:space="720"/>
          <w:docGrid w:linePitch="360"/>
        </w:sectPr>
      </w:pPr>
    </w:p>
    <w:p w14:paraId="3AB8D5DB" w14:textId="77777777" w:rsidR="0023462A" w:rsidRDefault="00A550FA">
      <w:pPr>
        <w:pStyle w:val="P68B1DB1-Heading310"/>
        <w:spacing w:before="0" w:after="120"/>
        <w:rPr>
          <w:noProof/>
        </w:rPr>
      </w:pPr>
      <w:r>
        <w:rPr>
          <w:noProof/>
        </w:rPr>
        <w:t xml:space="preserve">C.2. </w:t>
      </w:r>
      <w:r>
        <w:rPr>
          <w:noProof/>
        </w:rPr>
        <w:tab/>
        <w:t>Étapes, cibles, indicateurs et calendrier pour le suivi et la mise en œuvre du soutien financier non remboursable</w:t>
      </w:r>
    </w:p>
    <w:tbl>
      <w:tblPr>
        <w:tblW w:w="15735" w:type="dxa"/>
        <w:tblInd w:w="-743" w:type="dxa"/>
        <w:tblLayout w:type="fixed"/>
        <w:tblLook w:val="04A0" w:firstRow="1" w:lastRow="0" w:firstColumn="1" w:lastColumn="0" w:noHBand="0" w:noVBand="1"/>
      </w:tblPr>
      <w:tblGrid>
        <w:gridCol w:w="1022"/>
        <w:gridCol w:w="1417"/>
        <w:gridCol w:w="709"/>
        <w:gridCol w:w="1418"/>
        <w:gridCol w:w="1559"/>
        <w:gridCol w:w="1417"/>
        <w:gridCol w:w="1134"/>
        <w:gridCol w:w="993"/>
        <w:gridCol w:w="992"/>
        <w:gridCol w:w="709"/>
        <w:gridCol w:w="4365"/>
      </w:tblGrid>
      <w:tr w:rsidR="0023462A" w14:paraId="7FA7B41A" w14:textId="77777777" w:rsidTr="009C289F">
        <w:trPr>
          <w:trHeight w:val="300"/>
          <w:tblHeader/>
        </w:trPr>
        <w:tc>
          <w:tcPr>
            <w:tcW w:w="1022" w:type="dxa"/>
            <w:vMerge w:val="restart"/>
            <w:tcBorders>
              <w:top w:val="single" w:sz="4" w:space="0" w:color="auto"/>
              <w:left w:val="single" w:sz="4" w:space="0" w:color="auto"/>
              <w:right w:val="single" w:sz="4" w:space="0" w:color="auto"/>
            </w:tcBorders>
            <w:shd w:val="clear" w:color="auto" w:fill="BDD7EE"/>
            <w:vAlign w:val="center"/>
            <w:hideMark/>
          </w:tcPr>
          <w:p w14:paraId="01D66ACA" w14:textId="77777777" w:rsidR="0023462A" w:rsidRDefault="00A550FA">
            <w:pPr>
              <w:pStyle w:val="P68B1DB1-Normal37"/>
              <w:spacing w:after="120" w:line="240" w:lineRule="auto"/>
              <w:jc w:val="center"/>
              <w:rPr>
                <w:noProof/>
              </w:rPr>
            </w:pPr>
            <w:r>
              <w:rPr>
                <w:noProof/>
              </w:rPr>
              <w:t>Numéro séquentiel</w:t>
            </w:r>
          </w:p>
        </w:tc>
        <w:tc>
          <w:tcPr>
            <w:tcW w:w="1417" w:type="dxa"/>
            <w:vMerge w:val="restart"/>
            <w:tcBorders>
              <w:top w:val="single" w:sz="4" w:space="0" w:color="auto"/>
              <w:left w:val="single" w:sz="4" w:space="0" w:color="auto"/>
              <w:right w:val="single" w:sz="4" w:space="0" w:color="auto"/>
            </w:tcBorders>
            <w:shd w:val="clear" w:color="auto" w:fill="BDD7EE"/>
            <w:vAlign w:val="center"/>
          </w:tcPr>
          <w:p w14:paraId="7F9706E0" w14:textId="3A76FD0B" w:rsidR="0023462A" w:rsidRDefault="00A550FA">
            <w:pPr>
              <w:pStyle w:val="P68B1DB1-Normal37"/>
              <w:spacing w:after="120" w:line="240" w:lineRule="auto"/>
              <w:jc w:val="center"/>
              <w:rPr>
                <w:rFonts w:eastAsiaTheme="minorHAnsi"/>
                <w:noProof/>
              </w:rPr>
            </w:pPr>
            <w:r>
              <w:rPr>
                <w:noProof/>
              </w:rPr>
              <w:t>Mesure connexe (réforme ou investissement)</w:t>
            </w:r>
          </w:p>
        </w:tc>
        <w:tc>
          <w:tcPr>
            <w:tcW w:w="709" w:type="dxa"/>
            <w:vMerge w:val="restart"/>
            <w:tcBorders>
              <w:top w:val="single" w:sz="4" w:space="0" w:color="auto"/>
              <w:left w:val="single" w:sz="4" w:space="0" w:color="auto"/>
              <w:right w:val="single" w:sz="4" w:space="0" w:color="auto"/>
            </w:tcBorders>
            <w:shd w:val="clear" w:color="auto" w:fill="BDD7EE"/>
            <w:vAlign w:val="center"/>
          </w:tcPr>
          <w:p w14:paraId="6B4B73B8" w14:textId="19F8F9E2" w:rsidR="0023462A" w:rsidRDefault="00A550FA">
            <w:pPr>
              <w:pStyle w:val="P68B1DB1-Normal37"/>
              <w:spacing w:after="120" w:line="240" w:lineRule="auto"/>
              <w:jc w:val="center"/>
              <w:rPr>
                <w:rFonts w:eastAsiaTheme="minorHAnsi"/>
                <w:noProof/>
              </w:rPr>
            </w:pPr>
            <w:r>
              <w:rPr>
                <w:noProof/>
              </w:rPr>
              <w:t>Étape</w:t>
            </w:r>
            <w:r>
              <w:rPr>
                <w:noProof/>
              </w:rPr>
              <w:br/>
              <w:t>/Cible</w:t>
            </w:r>
          </w:p>
        </w:tc>
        <w:tc>
          <w:tcPr>
            <w:tcW w:w="1418" w:type="dxa"/>
            <w:vMerge w:val="restart"/>
            <w:tcBorders>
              <w:top w:val="single" w:sz="4" w:space="0" w:color="auto"/>
              <w:left w:val="single" w:sz="4" w:space="0" w:color="auto"/>
              <w:right w:val="single" w:sz="4" w:space="0" w:color="auto"/>
            </w:tcBorders>
            <w:shd w:val="clear" w:color="auto" w:fill="BDD7EE"/>
            <w:vAlign w:val="center"/>
          </w:tcPr>
          <w:p w14:paraId="5633FFC0" w14:textId="718A8CE0" w:rsidR="0023462A" w:rsidRDefault="00A550FA">
            <w:pPr>
              <w:pStyle w:val="P68B1DB1-Normal37"/>
              <w:spacing w:after="120" w:line="240" w:lineRule="auto"/>
              <w:jc w:val="center"/>
              <w:rPr>
                <w:rFonts w:eastAsiaTheme="minorHAnsi"/>
                <w:noProof/>
              </w:rPr>
            </w:pPr>
            <w:r>
              <w:rPr>
                <w:noProof/>
              </w:rPr>
              <w:t>Nom</w:t>
            </w:r>
          </w:p>
        </w:tc>
        <w:tc>
          <w:tcPr>
            <w:tcW w:w="1559" w:type="dxa"/>
            <w:vMerge w:val="restart"/>
            <w:tcBorders>
              <w:top w:val="single" w:sz="4" w:space="0" w:color="auto"/>
              <w:left w:val="single" w:sz="4" w:space="0" w:color="auto"/>
              <w:right w:val="single" w:sz="4" w:space="0" w:color="auto"/>
            </w:tcBorders>
            <w:shd w:val="clear" w:color="auto" w:fill="BDD7EE"/>
            <w:vAlign w:val="center"/>
          </w:tcPr>
          <w:p w14:paraId="67EE5A91" w14:textId="0474701A" w:rsidR="0023462A" w:rsidRDefault="00A550FA">
            <w:pPr>
              <w:pStyle w:val="P68B1DB1-Normal32"/>
              <w:spacing w:after="120" w:line="240" w:lineRule="auto"/>
              <w:jc w:val="center"/>
              <w:rPr>
                <w:rFonts w:eastAsiaTheme="minorHAnsi"/>
                <w:b/>
                <w:noProof/>
              </w:rPr>
            </w:pPr>
            <w:r>
              <w:rPr>
                <w:b/>
                <w:noProof/>
              </w:rPr>
              <w:t>Indicateurs qualitatifs</w:t>
            </w:r>
            <w:r>
              <w:rPr>
                <w:noProof/>
              </w:rPr>
              <w:br/>
            </w:r>
            <w:r>
              <w:rPr>
                <w:b/>
                <w:noProof/>
              </w:rPr>
              <w:t>(pour les jalons)</w:t>
            </w:r>
          </w:p>
        </w:tc>
        <w:tc>
          <w:tcPr>
            <w:tcW w:w="3544"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3E154F5B" w14:textId="6B148C3A" w:rsidR="0023462A" w:rsidRDefault="00A550FA">
            <w:pPr>
              <w:pStyle w:val="P68B1DB1-Normal32"/>
              <w:spacing w:after="120" w:line="240" w:lineRule="auto"/>
              <w:jc w:val="center"/>
              <w:rPr>
                <w:rFonts w:eastAsiaTheme="minorHAnsi"/>
                <w:b/>
                <w:noProof/>
              </w:rPr>
            </w:pPr>
            <w:r>
              <w:rPr>
                <w:b/>
                <w:noProof/>
              </w:rPr>
              <w:t>Indicateurs quantitatifs</w:t>
            </w:r>
            <w:r>
              <w:rPr>
                <w:noProof/>
              </w:rPr>
              <w:br/>
            </w:r>
            <w:r>
              <w:rPr>
                <w:b/>
                <w:noProof/>
              </w:rPr>
              <w:t>(pour les objectifs)</w:t>
            </w:r>
          </w:p>
        </w:tc>
        <w:tc>
          <w:tcPr>
            <w:tcW w:w="1701" w:type="dxa"/>
            <w:gridSpan w:val="2"/>
            <w:tcBorders>
              <w:top w:val="single" w:sz="4" w:space="0" w:color="auto"/>
              <w:left w:val="nil"/>
              <w:bottom w:val="single" w:sz="4" w:space="0" w:color="auto"/>
              <w:right w:val="single" w:sz="4" w:space="0" w:color="auto"/>
            </w:tcBorders>
            <w:shd w:val="clear" w:color="auto" w:fill="BDD7EE"/>
            <w:vAlign w:val="center"/>
            <w:hideMark/>
          </w:tcPr>
          <w:p w14:paraId="5292385D" w14:textId="589DAEA4" w:rsidR="0023462A" w:rsidRDefault="00A550FA">
            <w:pPr>
              <w:pStyle w:val="P68B1DB1-Normal32"/>
              <w:spacing w:after="120" w:line="240" w:lineRule="auto"/>
              <w:jc w:val="center"/>
              <w:rPr>
                <w:rFonts w:eastAsiaTheme="minorHAnsi"/>
                <w:b/>
                <w:noProof/>
              </w:rPr>
            </w:pPr>
            <w:r>
              <w:rPr>
                <w:b/>
                <w:noProof/>
              </w:rPr>
              <w:t>Calendrier indicatif d'achèvement</w:t>
            </w:r>
            <w:r>
              <w:rPr>
                <w:noProof/>
              </w:rPr>
              <w:br/>
            </w:r>
          </w:p>
        </w:tc>
        <w:tc>
          <w:tcPr>
            <w:tcW w:w="4365" w:type="dxa"/>
            <w:vMerge w:val="restart"/>
            <w:tcBorders>
              <w:top w:val="single" w:sz="4" w:space="0" w:color="auto"/>
              <w:left w:val="single" w:sz="4" w:space="0" w:color="auto"/>
              <w:right w:val="single" w:sz="4" w:space="0" w:color="auto"/>
            </w:tcBorders>
            <w:shd w:val="clear" w:color="auto" w:fill="BDD7EE"/>
            <w:vAlign w:val="center"/>
            <w:hideMark/>
          </w:tcPr>
          <w:p w14:paraId="4E892D9D" w14:textId="77777777" w:rsidR="0023462A" w:rsidRDefault="00A550FA">
            <w:pPr>
              <w:pStyle w:val="P68B1DB1-Normal37"/>
              <w:spacing w:after="120" w:line="240" w:lineRule="auto"/>
              <w:jc w:val="center"/>
              <w:rPr>
                <w:rFonts w:eastAsiaTheme="minorHAnsi"/>
                <w:noProof/>
              </w:rPr>
            </w:pPr>
            <w:r>
              <w:rPr>
                <w:noProof/>
              </w:rPr>
              <w:t>Description de chaque jalon et cible</w:t>
            </w:r>
          </w:p>
        </w:tc>
      </w:tr>
      <w:tr w:rsidR="0023462A" w14:paraId="54DADFD1" w14:textId="77777777" w:rsidTr="009C289F">
        <w:trPr>
          <w:trHeight w:val="300"/>
          <w:tblHeader/>
        </w:trPr>
        <w:tc>
          <w:tcPr>
            <w:tcW w:w="1022" w:type="dxa"/>
            <w:vMerge/>
            <w:tcBorders>
              <w:left w:val="single" w:sz="4" w:space="0" w:color="auto"/>
              <w:right w:val="single" w:sz="4" w:space="0" w:color="auto"/>
            </w:tcBorders>
            <w:shd w:val="clear" w:color="auto" w:fill="BDD7EE"/>
            <w:vAlign w:val="center"/>
            <w:hideMark/>
          </w:tcPr>
          <w:p w14:paraId="491688C3" w14:textId="77777777" w:rsidR="0023462A" w:rsidRDefault="0023462A">
            <w:pPr>
              <w:spacing w:after="120" w:line="240" w:lineRule="auto"/>
              <w:rPr>
                <w:rFonts w:ascii="Times New Roman" w:hAnsi="Times New Roman" w:cs="Times New Roman"/>
                <w:b/>
                <w:noProof/>
                <w:sz w:val="18"/>
                <w:szCs w:val="18"/>
              </w:rPr>
            </w:pPr>
          </w:p>
        </w:tc>
        <w:tc>
          <w:tcPr>
            <w:tcW w:w="1417" w:type="dxa"/>
            <w:vMerge/>
            <w:tcBorders>
              <w:left w:val="single" w:sz="4" w:space="0" w:color="auto"/>
              <w:right w:val="single" w:sz="4" w:space="0" w:color="auto"/>
            </w:tcBorders>
            <w:shd w:val="clear" w:color="auto" w:fill="BDD7EE"/>
            <w:vAlign w:val="center"/>
          </w:tcPr>
          <w:p w14:paraId="00898A7E" w14:textId="77777777" w:rsidR="0023462A" w:rsidRDefault="0023462A">
            <w:pPr>
              <w:spacing w:after="120" w:line="240" w:lineRule="auto"/>
              <w:rPr>
                <w:rFonts w:ascii="Times New Roman" w:hAnsi="Times New Roman" w:cs="Times New Roman"/>
                <w:b/>
                <w:noProof/>
                <w:sz w:val="18"/>
                <w:szCs w:val="18"/>
              </w:rPr>
            </w:pPr>
          </w:p>
        </w:tc>
        <w:tc>
          <w:tcPr>
            <w:tcW w:w="709" w:type="dxa"/>
            <w:vMerge/>
            <w:tcBorders>
              <w:left w:val="single" w:sz="4" w:space="0" w:color="auto"/>
              <w:right w:val="single" w:sz="4" w:space="0" w:color="auto"/>
            </w:tcBorders>
            <w:shd w:val="clear" w:color="auto" w:fill="BDD7EE"/>
            <w:vAlign w:val="center"/>
          </w:tcPr>
          <w:p w14:paraId="3792BB99" w14:textId="77777777" w:rsidR="0023462A" w:rsidRDefault="0023462A">
            <w:pPr>
              <w:spacing w:after="120" w:line="240" w:lineRule="auto"/>
              <w:rPr>
                <w:rFonts w:ascii="Times New Roman" w:hAnsi="Times New Roman" w:cs="Times New Roman"/>
                <w:b/>
                <w:noProof/>
                <w:sz w:val="18"/>
                <w:szCs w:val="18"/>
              </w:rPr>
            </w:pPr>
          </w:p>
        </w:tc>
        <w:tc>
          <w:tcPr>
            <w:tcW w:w="1418" w:type="dxa"/>
            <w:vMerge/>
            <w:tcBorders>
              <w:left w:val="single" w:sz="4" w:space="0" w:color="auto"/>
              <w:right w:val="single" w:sz="4" w:space="0" w:color="auto"/>
            </w:tcBorders>
            <w:shd w:val="clear" w:color="auto" w:fill="BDD7EE"/>
            <w:vAlign w:val="center"/>
          </w:tcPr>
          <w:p w14:paraId="13339C6D" w14:textId="77777777" w:rsidR="0023462A" w:rsidRDefault="0023462A">
            <w:pPr>
              <w:spacing w:after="120" w:line="240" w:lineRule="auto"/>
              <w:rPr>
                <w:rFonts w:ascii="Times New Roman" w:hAnsi="Times New Roman" w:cs="Times New Roman"/>
                <w:b/>
                <w:noProof/>
                <w:sz w:val="18"/>
                <w:szCs w:val="18"/>
              </w:rPr>
            </w:pPr>
          </w:p>
        </w:tc>
        <w:tc>
          <w:tcPr>
            <w:tcW w:w="1559" w:type="dxa"/>
            <w:vMerge/>
            <w:tcBorders>
              <w:left w:val="single" w:sz="4" w:space="0" w:color="auto"/>
              <w:right w:val="single" w:sz="4" w:space="0" w:color="auto"/>
            </w:tcBorders>
            <w:shd w:val="clear" w:color="auto" w:fill="BDD7EE"/>
            <w:vAlign w:val="center"/>
          </w:tcPr>
          <w:p w14:paraId="2AEDB9CA" w14:textId="211F4E96" w:rsidR="0023462A" w:rsidRDefault="0023462A">
            <w:pPr>
              <w:spacing w:after="120" w:line="240" w:lineRule="auto"/>
              <w:rPr>
                <w:rFonts w:ascii="Times New Roman" w:hAnsi="Times New Roman" w:cs="Times New Roman"/>
                <w:b/>
                <w:noProof/>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CFD3ABE" w14:textId="77777777" w:rsidR="0023462A" w:rsidRDefault="00A550FA">
            <w:pPr>
              <w:pStyle w:val="P68B1DB1-Normal37"/>
              <w:spacing w:after="120" w:line="240" w:lineRule="auto"/>
              <w:jc w:val="center"/>
              <w:rPr>
                <w:rFonts w:eastAsiaTheme="minorHAnsi"/>
                <w:noProof/>
              </w:rPr>
            </w:pPr>
            <w:r>
              <w:rPr>
                <w:noProof/>
              </w:rPr>
              <w:t>Unité de mesure</w:t>
            </w:r>
          </w:p>
        </w:tc>
        <w:tc>
          <w:tcPr>
            <w:tcW w:w="1134" w:type="dxa"/>
            <w:tcBorders>
              <w:top w:val="single" w:sz="4" w:space="0" w:color="auto"/>
              <w:left w:val="nil"/>
              <w:bottom w:val="single" w:sz="4" w:space="0" w:color="auto"/>
              <w:right w:val="single" w:sz="4" w:space="0" w:color="auto"/>
            </w:tcBorders>
            <w:shd w:val="clear" w:color="auto" w:fill="BDD7EE"/>
            <w:vAlign w:val="center"/>
            <w:hideMark/>
          </w:tcPr>
          <w:p w14:paraId="19C38C5A" w14:textId="77777777" w:rsidR="0023462A" w:rsidRDefault="00A550FA">
            <w:pPr>
              <w:pStyle w:val="P68B1DB1-Normal37"/>
              <w:spacing w:after="120" w:line="240" w:lineRule="auto"/>
              <w:jc w:val="center"/>
              <w:rPr>
                <w:rFonts w:eastAsiaTheme="minorHAnsi"/>
                <w:noProof/>
              </w:rPr>
            </w:pPr>
            <w:r>
              <w:rPr>
                <w:noProof/>
              </w:rPr>
              <w:t xml:space="preserve">Données de référence </w:t>
            </w:r>
          </w:p>
        </w:tc>
        <w:tc>
          <w:tcPr>
            <w:tcW w:w="993" w:type="dxa"/>
            <w:tcBorders>
              <w:top w:val="single" w:sz="4" w:space="0" w:color="auto"/>
              <w:left w:val="nil"/>
              <w:bottom w:val="single" w:sz="4" w:space="0" w:color="auto"/>
              <w:right w:val="single" w:sz="4" w:space="0" w:color="auto"/>
            </w:tcBorders>
            <w:shd w:val="clear" w:color="auto" w:fill="BDD7EE"/>
            <w:vAlign w:val="center"/>
            <w:hideMark/>
          </w:tcPr>
          <w:p w14:paraId="7DEC1FF3" w14:textId="77777777" w:rsidR="0023462A" w:rsidRDefault="00A550FA">
            <w:pPr>
              <w:pStyle w:val="P68B1DB1-Normal37"/>
              <w:spacing w:after="120" w:line="240" w:lineRule="auto"/>
              <w:jc w:val="center"/>
              <w:rPr>
                <w:rFonts w:eastAsiaTheme="minorHAnsi"/>
                <w:noProof/>
              </w:rPr>
            </w:pPr>
            <w:r>
              <w:rPr>
                <w:noProof/>
              </w:rPr>
              <w:t xml:space="preserve">Objectif </w:t>
            </w:r>
          </w:p>
        </w:tc>
        <w:tc>
          <w:tcPr>
            <w:tcW w:w="992" w:type="dxa"/>
            <w:tcBorders>
              <w:top w:val="single" w:sz="4" w:space="0" w:color="auto"/>
              <w:left w:val="nil"/>
              <w:bottom w:val="single" w:sz="4" w:space="0" w:color="auto"/>
              <w:right w:val="single" w:sz="4" w:space="0" w:color="auto"/>
            </w:tcBorders>
            <w:shd w:val="clear" w:color="auto" w:fill="BDD7EE"/>
            <w:vAlign w:val="center"/>
            <w:hideMark/>
          </w:tcPr>
          <w:p w14:paraId="6692A383" w14:textId="77777777" w:rsidR="0023462A" w:rsidRDefault="00A550FA">
            <w:pPr>
              <w:pStyle w:val="P68B1DB1-Normal37"/>
              <w:spacing w:after="120" w:line="240" w:lineRule="auto"/>
              <w:jc w:val="center"/>
              <w:rPr>
                <w:rFonts w:eastAsiaTheme="minorHAnsi"/>
                <w:noProof/>
              </w:rPr>
            </w:pPr>
            <w:r>
              <w:rPr>
                <w:noProof/>
              </w:rPr>
              <w:t>Trimestre</w:t>
            </w:r>
          </w:p>
        </w:tc>
        <w:tc>
          <w:tcPr>
            <w:tcW w:w="709" w:type="dxa"/>
            <w:tcBorders>
              <w:top w:val="single" w:sz="4" w:space="0" w:color="auto"/>
              <w:left w:val="nil"/>
              <w:bottom w:val="single" w:sz="4" w:space="0" w:color="auto"/>
              <w:right w:val="single" w:sz="4" w:space="0" w:color="auto"/>
            </w:tcBorders>
            <w:shd w:val="clear" w:color="auto" w:fill="BDD7EE"/>
            <w:vAlign w:val="center"/>
            <w:hideMark/>
          </w:tcPr>
          <w:p w14:paraId="2297CAB5" w14:textId="77777777" w:rsidR="0023462A" w:rsidRDefault="00A550FA">
            <w:pPr>
              <w:pStyle w:val="P68B1DB1-Normal37"/>
              <w:spacing w:after="120" w:line="240" w:lineRule="auto"/>
              <w:jc w:val="center"/>
              <w:rPr>
                <w:rFonts w:eastAsiaTheme="minorHAnsi"/>
                <w:noProof/>
              </w:rPr>
            </w:pPr>
            <w:r>
              <w:rPr>
                <w:noProof/>
              </w:rPr>
              <w:t>Année</w:t>
            </w:r>
          </w:p>
        </w:tc>
        <w:tc>
          <w:tcPr>
            <w:tcW w:w="4365" w:type="dxa"/>
            <w:vMerge/>
            <w:tcBorders>
              <w:left w:val="single" w:sz="4" w:space="0" w:color="auto"/>
              <w:right w:val="single" w:sz="4" w:space="0" w:color="auto"/>
            </w:tcBorders>
            <w:shd w:val="clear" w:color="auto" w:fill="BDD7EE"/>
            <w:vAlign w:val="center"/>
            <w:hideMark/>
          </w:tcPr>
          <w:p w14:paraId="34484DBB" w14:textId="77777777" w:rsidR="0023462A" w:rsidRDefault="0023462A">
            <w:pPr>
              <w:spacing w:after="120" w:line="240" w:lineRule="auto"/>
              <w:rPr>
                <w:rFonts w:ascii="Times New Roman" w:hAnsi="Times New Roman" w:cs="Times New Roman"/>
                <w:b/>
                <w:noProof/>
                <w:sz w:val="18"/>
                <w:szCs w:val="18"/>
              </w:rPr>
            </w:pPr>
          </w:p>
        </w:tc>
      </w:tr>
      <w:tr w:rsidR="0023462A" w14:paraId="46EA3E84" w14:textId="77777777" w:rsidTr="009C289F">
        <w:trPr>
          <w:trHeight w:val="1072"/>
        </w:trPr>
        <w:tc>
          <w:tcPr>
            <w:tcW w:w="102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72363C0" w14:textId="04BC0DAB" w:rsidR="0023462A" w:rsidRDefault="00A550FA">
            <w:pPr>
              <w:pStyle w:val="P68B1DB1-Normal32"/>
              <w:spacing w:after="120" w:line="240" w:lineRule="auto"/>
              <w:rPr>
                <w:noProof/>
              </w:rPr>
            </w:pPr>
            <w:r>
              <w:rPr>
                <w:noProof/>
              </w:rPr>
              <w:t>13</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0C9082B" w14:textId="54D7BFEF" w:rsidR="0023462A" w:rsidRDefault="00A550FA">
            <w:pPr>
              <w:pStyle w:val="P68B1DB1-Normal32"/>
              <w:spacing w:after="120" w:line="240" w:lineRule="auto"/>
              <w:rPr>
                <w:rFonts w:eastAsiaTheme="minorHAnsi"/>
                <w:noProof/>
              </w:rPr>
            </w:pPr>
            <w:r>
              <w:rPr>
                <w:noProof/>
              </w:rPr>
              <w:t>C3.I1 Production et utilisation des énergies renouvelables dans les municipalités défavorisées</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974ED4F" w14:textId="77777777" w:rsidR="0023462A" w:rsidRDefault="00A550FA">
            <w:pPr>
              <w:pStyle w:val="P68B1DB1-Normal32"/>
              <w:spacing w:after="120" w:line="240" w:lineRule="auto"/>
              <w:rPr>
                <w:rFonts w:eastAsiaTheme="minorHAnsi"/>
                <w:noProof/>
              </w:rPr>
            </w:pPr>
            <w:r>
              <w:rPr>
                <w:noProof/>
              </w:rPr>
              <w:t>Objectif</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2BDE541" w14:textId="78D021EF" w:rsidR="0023462A" w:rsidRDefault="00A550FA">
            <w:pPr>
              <w:pStyle w:val="P68B1DB1-Normal32"/>
              <w:spacing w:after="120" w:line="240" w:lineRule="auto"/>
              <w:rPr>
                <w:rFonts w:eastAsiaTheme="minorHAnsi"/>
                <w:noProof/>
              </w:rPr>
            </w:pPr>
            <w:r>
              <w:rPr>
                <w:noProof/>
              </w:rPr>
              <w:t xml:space="preserve">Installation d’une capacité de production d’énergie renouvelable au profit des ménages des municipalités sélectionnées dans le cadre du programme de rattrapage des établissements </w:t>
            </w:r>
          </w:p>
          <w:p w14:paraId="4A1099B2" w14:textId="77777777" w:rsidR="0023462A" w:rsidRDefault="0023462A">
            <w:pPr>
              <w:spacing w:after="120" w:line="240" w:lineRule="auto"/>
              <w:rPr>
                <w:rFonts w:ascii="Times New Roman" w:hAnsi="Times New Roman" w:cs="Times New Roman"/>
                <w:noProof/>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9E52C83" w14:textId="77777777" w:rsidR="0023462A" w:rsidRDefault="0023462A">
            <w:pPr>
              <w:spacing w:after="120" w:line="240" w:lineRule="auto"/>
              <w:rPr>
                <w:rFonts w:ascii="Times New Roman" w:hAnsi="Times New Roman" w:cs="Times New Roman"/>
                <w:noProof/>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7E98F2E" w14:textId="77777777" w:rsidR="0023462A" w:rsidRDefault="00A550FA">
            <w:pPr>
              <w:pStyle w:val="P68B1DB1-Normal32"/>
              <w:spacing w:after="120" w:line="240" w:lineRule="auto"/>
              <w:rPr>
                <w:rFonts w:eastAsiaTheme="minorHAnsi"/>
                <w:noProof/>
              </w:rPr>
            </w:pPr>
            <w:r>
              <w:rPr>
                <w:noProof/>
              </w:rPr>
              <w:t>kWp</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626BFA4" w14:textId="78EF5F14" w:rsidR="0023462A" w:rsidRDefault="00A550FA">
            <w:pPr>
              <w:pStyle w:val="P68B1DB1-Normal32"/>
              <w:spacing w:after="120" w:line="240" w:lineRule="auto"/>
              <w:rPr>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792A796" w14:textId="6A0C9CC4" w:rsidR="0023462A" w:rsidRDefault="00A550FA">
            <w:pPr>
              <w:pStyle w:val="P68B1DB1-Normal32"/>
              <w:spacing w:after="120" w:line="240" w:lineRule="auto"/>
              <w:rPr>
                <w:noProof/>
              </w:rPr>
            </w:pPr>
            <w:r>
              <w:rPr>
                <w:noProof/>
              </w:rPr>
              <w:t>15 000</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033D106" w14:textId="52CC9CE2" w:rsidR="0023462A" w:rsidRDefault="00A550FA">
            <w:pPr>
              <w:pStyle w:val="P68B1DB1-Normal32"/>
              <w:spacing w:after="120" w:line="240" w:lineRule="auto"/>
              <w:rPr>
                <w:rFonts w:eastAsiaTheme="minorHAnsi"/>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EE6C17A" w14:textId="0EAB6D29" w:rsidR="0023462A" w:rsidRDefault="00A550FA">
            <w:pPr>
              <w:pStyle w:val="P68B1DB1-Normal32"/>
              <w:spacing w:after="120" w:line="240" w:lineRule="auto"/>
              <w:rPr>
                <w:rFonts w:eastAsiaTheme="minorHAnsi"/>
                <w:noProof/>
              </w:rPr>
            </w:pPr>
            <w:r>
              <w:rPr>
                <w:noProof/>
              </w:rPr>
              <w:t>2026</w:t>
            </w:r>
          </w:p>
        </w:tc>
        <w:tc>
          <w:tcPr>
            <w:tcW w:w="436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0FED001" w14:textId="4FDFE3F1" w:rsidR="0023462A" w:rsidRDefault="00A550FA">
            <w:pPr>
              <w:pStyle w:val="P68B1DB1-Normal32"/>
              <w:spacing w:after="120" w:line="240" w:lineRule="auto"/>
              <w:jc w:val="both"/>
              <w:rPr>
                <w:noProof/>
              </w:rPr>
            </w:pPr>
            <w:bookmarkStart w:id="3" w:name="_Hlk230871306"/>
            <w:r>
              <w:rPr>
                <w:noProof/>
              </w:rPr>
              <w:t xml:space="preserve">Installation de centrales photovoltaïques d’une capacité totale d’au moins 15 000 kWc. </w:t>
            </w:r>
          </w:p>
          <w:p w14:paraId="335B0C0E" w14:textId="219BE539" w:rsidR="0023462A" w:rsidRDefault="00A550FA">
            <w:pPr>
              <w:pStyle w:val="P68B1DB1-Normal32"/>
              <w:spacing w:after="120" w:line="240" w:lineRule="auto"/>
              <w:jc w:val="both"/>
              <w:rPr>
                <w:noProof/>
              </w:rPr>
            </w:pPr>
            <w:r>
              <w:rPr>
                <w:noProof/>
              </w:rPr>
              <w:t>Octroi de subventions à 1 500 bénéficiaires de municipalités sélectionnées dans le cadre du programme de rattrapage des établissements pour subventionner les coûts annuels de l’électricité.</w:t>
            </w:r>
            <w:bookmarkEnd w:id="3"/>
          </w:p>
        </w:tc>
      </w:tr>
      <w:tr w:rsidR="0023462A" w14:paraId="7721BFC5" w14:textId="77777777" w:rsidTr="009C289F">
        <w:trPr>
          <w:trHeight w:val="300"/>
        </w:trPr>
        <w:tc>
          <w:tcPr>
            <w:tcW w:w="1022" w:type="dxa"/>
            <w:tcBorders>
              <w:top w:val="single" w:sz="4" w:space="0" w:color="auto"/>
              <w:left w:val="single" w:sz="4" w:space="0" w:color="auto"/>
              <w:bottom w:val="single" w:sz="4" w:space="0" w:color="auto"/>
              <w:right w:val="single" w:sz="4" w:space="0" w:color="auto"/>
            </w:tcBorders>
            <w:shd w:val="clear" w:color="auto" w:fill="C6EFCE"/>
            <w:vAlign w:val="center"/>
          </w:tcPr>
          <w:p w14:paraId="236D2818" w14:textId="2CB9A30A" w:rsidR="0023462A" w:rsidRDefault="00A550FA">
            <w:pPr>
              <w:pStyle w:val="P68B1DB1-Normal32"/>
              <w:spacing w:after="120" w:line="240" w:lineRule="auto"/>
              <w:rPr>
                <w:noProof/>
              </w:rPr>
            </w:pPr>
            <w:r>
              <w:rPr>
                <w:noProof/>
              </w:rPr>
              <w:t>14</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2DA7E7E7" w14:textId="73E85690" w:rsidR="0023462A" w:rsidRDefault="00A550FA">
            <w:pPr>
              <w:pStyle w:val="P68B1DB1-Normal32"/>
              <w:spacing w:after="120" w:line="240" w:lineRule="auto"/>
              <w:rPr>
                <w:rFonts w:eastAsiaTheme="minorHAnsi"/>
                <w:noProof/>
              </w:rPr>
            </w:pPr>
            <w:r>
              <w:rPr>
                <w:noProof/>
              </w:rPr>
              <w:t>C3.I2 Promouvoir l'emploi et le développement des compétences en fonction des spécificités locales</w:t>
            </w:r>
          </w:p>
        </w:tc>
        <w:tc>
          <w:tcPr>
            <w:tcW w:w="709" w:type="dxa"/>
            <w:tcBorders>
              <w:top w:val="single" w:sz="4" w:space="0" w:color="auto"/>
              <w:left w:val="nil"/>
              <w:bottom w:val="single" w:sz="4" w:space="0" w:color="auto"/>
              <w:right w:val="single" w:sz="4" w:space="0" w:color="auto"/>
            </w:tcBorders>
            <w:shd w:val="clear" w:color="auto" w:fill="C6EFCE"/>
            <w:vAlign w:val="center"/>
          </w:tcPr>
          <w:p w14:paraId="1D7851D3" w14:textId="77777777" w:rsidR="0023462A" w:rsidRDefault="00A550FA">
            <w:pPr>
              <w:pStyle w:val="P68B1DB1-Normal32"/>
              <w:spacing w:after="120" w:line="240" w:lineRule="auto"/>
              <w:rPr>
                <w:rFonts w:eastAsiaTheme="minorHAnsi"/>
                <w:noProof/>
              </w:rPr>
            </w:pPr>
            <w:r>
              <w:rPr>
                <w:noProof/>
              </w:rPr>
              <w:t>Objectif</w:t>
            </w:r>
          </w:p>
        </w:tc>
        <w:tc>
          <w:tcPr>
            <w:tcW w:w="1418" w:type="dxa"/>
            <w:tcBorders>
              <w:top w:val="single" w:sz="4" w:space="0" w:color="auto"/>
              <w:left w:val="nil"/>
              <w:bottom w:val="single" w:sz="4" w:space="0" w:color="auto"/>
              <w:right w:val="single" w:sz="4" w:space="0" w:color="auto"/>
            </w:tcBorders>
            <w:shd w:val="clear" w:color="auto" w:fill="C6EFCE"/>
            <w:vAlign w:val="center"/>
          </w:tcPr>
          <w:p w14:paraId="2BE7DB61" w14:textId="77777777" w:rsidR="0023462A" w:rsidRDefault="00A550FA">
            <w:pPr>
              <w:pStyle w:val="P68B1DB1-Normal32"/>
              <w:spacing w:after="120" w:line="240" w:lineRule="auto"/>
              <w:rPr>
                <w:rFonts w:eastAsiaTheme="minorHAnsi"/>
                <w:noProof/>
              </w:rPr>
            </w:pPr>
            <w:r>
              <w:rPr>
                <w:noProof/>
              </w:rPr>
              <w:t>Participation aux programmes de socialisation du travail</w:t>
            </w:r>
          </w:p>
        </w:tc>
        <w:tc>
          <w:tcPr>
            <w:tcW w:w="1559" w:type="dxa"/>
            <w:tcBorders>
              <w:top w:val="single" w:sz="4" w:space="0" w:color="auto"/>
              <w:left w:val="nil"/>
              <w:bottom w:val="single" w:sz="4" w:space="0" w:color="auto"/>
              <w:right w:val="single" w:sz="4" w:space="0" w:color="auto"/>
            </w:tcBorders>
            <w:shd w:val="clear" w:color="auto" w:fill="C6EFCE"/>
            <w:vAlign w:val="center"/>
          </w:tcPr>
          <w:p w14:paraId="78D7D5E7" w14:textId="77777777" w:rsidR="0023462A" w:rsidRDefault="0023462A">
            <w:pPr>
              <w:spacing w:after="120" w:line="240" w:lineRule="auto"/>
              <w:rPr>
                <w:rFonts w:ascii="Times New Roman" w:hAnsi="Times New Roman" w:cs="Times New Roman"/>
                <w:noProof/>
                <w:sz w:val="18"/>
                <w:szCs w:val="18"/>
              </w:rPr>
            </w:pPr>
          </w:p>
        </w:tc>
        <w:tc>
          <w:tcPr>
            <w:tcW w:w="1417" w:type="dxa"/>
            <w:tcBorders>
              <w:top w:val="single" w:sz="4" w:space="0" w:color="auto"/>
              <w:left w:val="nil"/>
              <w:bottom w:val="single" w:sz="4" w:space="0" w:color="auto"/>
              <w:right w:val="single" w:sz="4" w:space="0" w:color="auto"/>
            </w:tcBorders>
            <w:shd w:val="clear" w:color="auto" w:fill="C6EFCE"/>
            <w:vAlign w:val="center"/>
          </w:tcPr>
          <w:p w14:paraId="0B35EB91" w14:textId="77777777" w:rsidR="0023462A" w:rsidRDefault="00A550FA">
            <w:pPr>
              <w:pStyle w:val="P68B1DB1-Normal32"/>
              <w:spacing w:after="120" w:line="240" w:lineRule="auto"/>
              <w:rPr>
                <w:rFonts w:eastAsiaTheme="minorHAnsi"/>
                <w:noProof/>
              </w:rPr>
            </w:pPr>
            <w:r>
              <w:rPr>
                <w:noProof/>
              </w:rPr>
              <w:t>Numéro</w:t>
            </w:r>
          </w:p>
        </w:tc>
        <w:tc>
          <w:tcPr>
            <w:tcW w:w="1134" w:type="dxa"/>
            <w:tcBorders>
              <w:top w:val="single" w:sz="4" w:space="0" w:color="auto"/>
              <w:left w:val="nil"/>
              <w:bottom w:val="single" w:sz="4" w:space="0" w:color="auto"/>
              <w:right w:val="single" w:sz="4" w:space="0" w:color="auto"/>
            </w:tcBorders>
            <w:shd w:val="clear" w:color="auto" w:fill="C6EFCE"/>
            <w:vAlign w:val="center"/>
          </w:tcPr>
          <w:p w14:paraId="2E9ADBD7" w14:textId="77777777" w:rsidR="0023462A" w:rsidRDefault="00A550FA">
            <w:pPr>
              <w:pStyle w:val="P68B1DB1-Normal32"/>
              <w:spacing w:after="120" w:line="240" w:lineRule="auto"/>
              <w:rPr>
                <w:noProof/>
              </w:rPr>
            </w:pPr>
            <w:r>
              <w:rPr>
                <w:noProof/>
              </w:rPr>
              <w:t>0</w:t>
            </w:r>
          </w:p>
        </w:tc>
        <w:tc>
          <w:tcPr>
            <w:tcW w:w="993" w:type="dxa"/>
            <w:tcBorders>
              <w:top w:val="single" w:sz="4" w:space="0" w:color="auto"/>
              <w:left w:val="nil"/>
              <w:bottom w:val="single" w:sz="4" w:space="0" w:color="auto"/>
              <w:right w:val="single" w:sz="4" w:space="0" w:color="auto"/>
            </w:tcBorders>
            <w:shd w:val="clear" w:color="auto" w:fill="C6EFCE"/>
            <w:vAlign w:val="center"/>
          </w:tcPr>
          <w:p w14:paraId="05F0897F" w14:textId="232DFD8C" w:rsidR="0023462A" w:rsidRDefault="00A550FA">
            <w:pPr>
              <w:pStyle w:val="P68B1DB1-Normal32"/>
              <w:spacing w:after="120" w:line="240" w:lineRule="auto"/>
              <w:rPr>
                <w:noProof/>
              </w:rPr>
            </w:pPr>
            <w:r>
              <w:rPr>
                <w:noProof/>
              </w:rPr>
              <w:t>7 000</w:t>
            </w:r>
          </w:p>
        </w:tc>
        <w:tc>
          <w:tcPr>
            <w:tcW w:w="992" w:type="dxa"/>
            <w:tcBorders>
              <w:top w:val="single" w:sz="4" w:space="0" w:color="auto"/>
              <w:left w:val="nil"/>
              <w:bottom w:val="single" w:sz="4" w:space="0" w:color="auto"/>
              <w:right w:val="single" w:sz="4" w:space="0" w:color="auto"/>
            </w:tcBorders>
            <w:shd w:val="clear" w:color="auto" w:fill="C6EFCE"/>
            <w:vAlign w:val="center"/>
          </w:tcPr>
          <w:p w14:paraId="77D77E10" w14:textId="61877650" w:rsidR="0023462A" w:rsidRDefault="00A550FA">
            <w:pPr>
              <w:pStyle w:val="P68B1DB1-Normal32"/>
              <w:spacing w:after="120" w:line="240" w:lineRule="auto"/>
              <w:rPr>
                <w:rFonts w:eastAsiaTheme="minorHAnsi"/>
                <w:noProof/>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210C1D1B" w14:textId="24D2D2A6" w:rsidR="0023462A" w:rsidRDefault="00A550FA">
            <w:pPr>
              <w:pStyle w:val="P68B1DB1-Normal32"/>
              <w:spacing w:after="120" w:line="240" w:lineRule="auto"/>
              <w:rPr>
                <w:rFonts w:eastAsiaTheme="minorHAnsi"/>
                <w:noProof/>
              </w:rPr>
            </w:pPr>
            <w:r>
              <w:rPr>
                <w:noProof/>
              </w:rPr>
              <w:t>2026</w:t>
            </w:r>
          </w:p>
        </w:tc>
        <w:tc>
          <w:tcPr>
            <w:tcW w:w="4365" w:type="dxa"/>
            <w:tcBorders>
              <w:top w:val="single" w:sz="4" w:space="0" w:color="auto"/>
              <w:left w:val="nil"/>
              <w:bottom w:val="single" w:sz="4" w:space="0" w:color="auto"/>
              <w:right w:val="single" w:sz="4" w:space="0" w:color="auto"/>
            </w:tcBorders>
            <w:shd w:val="clear" w:color="auto" w:fill="C6EFCE"/>
            <w:vAlign w:val="center"/>
          </w:tcPr>
          <w:p w14:paraId="68C560DC" w14:textId="71E413CF" w:rsidR="0023462A" w:rsidRDefault="00A550FA">
            <w:pPr>
              <w:pStyle w:val="P68B1DB1-Normal32"/>
              <w:spacing w:after="120" w:line="240" w:lineRule="auto"/>
              <w:jc w:val="both"/>
              <w:rPr>
                <w:noProof/>
              </w:rPr>
            </w:pPr>
            <w:r>
              <w:rPr>
                <w:noProof/>
              </w:rPr>
              <w:t>Au moins 7 000 personnes issues de municipalités sélectionnées dans le cadre du programme Catching up Settlements ont participé à des programmes de socialisation du travail, par exemple des ateliers, des formations, du mentorat ou des services personnalisés en matière de main-d’œuvre.</w:t>
            </w:r>
          </w:p>
        </w:tc>
      </w:tr>
      <w:tr w:rsidR="0023462A" w14:paraId="0A1D2290" w14:textId="77777777" w:rsidTr="009C289F">
        <w:trPr>
          <w:trHeight w:val="300"/>
        </w:trPr>
        <w:tc>
          <w:tcPr>
            <w:tcW w:w="102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13FBD64" w14:textId="01254276" w:rsidR="0023462A" w:rsidRDefault="00A550FA">
            <w:pPr>
              <w:pStyle w:val="P68B1DB1-Normal32"/>
              <w:spacing w:after="120" w:line="240" w:lineRule="auto"/>
              <w:rPr>
                <w:noProof/>
              </w:rPr>
            </w:pPr>
            <w:r>
              <w:rPr>
                <w:noProof/>
              </w:rPr>
              <w:t>15</w:t>
            </w:r>
          </w:p>
        </w:tc>
        <w:tc>
          <w:tcPr>
            <w:tcW w:w="1417" w:type="dxa"/>
            <w:tcBorders>
              <w:top w:val="single" w:sz="4" w:space="0" w:color="auto"/>
              <w:left w:val="nil"/>
              <w:bottom w:val="single" w:sz="4" w:space="0" w:color="auto"/>
              <w:right w:val="single" w:sz="4" w:space="0" w:color="auto"/>
            </w:tcBorders>
            <w:shd w:val="clear" w:color="auto" w:fill="C6EFCE"/>
            <w:vAlign w:val="center"/>
            <w:hideMark/>
          </w:tcPr>
          <w:p w14:paraId="45518037" w14:textId="5B8DF946" w:rsidR="0023462A" w:rsidRDefault="00A550FA">
            <w:pPr>
              <w:pStyle w:val="P68B1DB1-Normal32"/>
              <w:spacing w:after="120" w:line="240" w:lineRule="auto"/>
              <w:rPr>
                <w:rFonts w:eastAsiaTheme="minorHAnsi"/>
                <w:noProof/>
              </w:rPr>
            </w:pPr>
            <w:r>
              <w:rPr>
                <w:noProof/>
              </w:rPr>
              <w:t>C3.I3 Pédagogie orientée vers la communauté</w:t>
            </w:r>
          </w:p>
        </w:tc>
        <w:tc>
          <w:tcPr>
            <w:tcW w:w="709" w:type="dxa"/>
            <w:tcBorders>
              <w:top w:val="single" w:sz="4" w:space="0" w:color="auto"/>
              <w:left w:val="nil"/>
              <w:bottom w:val="single" w:sz="4" w:space="0" w:color="auto"/>
              <w:right w:val="single" w:sz="4" w:space="0" w:color="auto"/>
            </w:tcBorders>
            <w:shd w:val="clear" w:color="auto" w:fill="C6EFCE"/>
            <w:vAlign w:val="center"/>
            <w:hideMark/>
          </w:tcPr>
          <w:p w14:paraId="62B0A47B" w14:textId="77777777" w:rsidR="0023462A" w:rsidRDefault="00A550FA">
            <w:pPr>
              <w:pStyle w:val="P68B1DB1-Normal32"/>
              <w:spacing w:after="120" w:line="240" w:lineRule="auto"/>
              <w:rPr>
                <w:rFonts w:eastAsiaTheme="minorHAnsi"/>
                <w:noProof/>
              </w:rPr>
            </w:pPr>
            <w:r>
              <w:rPr>
                <w:noProof/>
              </w:rPr>
              <w:t>Objectif</w:t>
            </w:r>
          </w:p>
        </w:tc>
        <w:tc>
          <w:tcPr>
            <w:tcW w:w="1418" w:type="dxa"/>
            <w:tcBorders>
              <w:top w:val="single" w:sz="4" w:space="0" w:color="auto"/>
              <w:left w:val="nil"/>
              <w:bottom w:val="single" w:sz="4" w:space="0" w:color="auto"/>
              <w:right w:val="single" w:sz="4" w:space="0" w:color="auto"/>
            </w:tcBorders>
            <w:shd w:val="clear" w:color="auto" w:fill="C6EFCE"/>
            <w:vAlign w:val="center"/>
            <w:hideMark/>
          </w:tcPr>
          <w:p w14:paraId="2DA2EF1B" w14:textId="7CCD5344" w:rsidR="0023462A" w:rsidRDefault="00A550FA">
            <w:pPr>
              <w:spacing w:after="120" w:line="240" w:lineRule="auto"/>
              <w:rPr>
                <w:rFonts w:ascii="Times New Roman" w:eastAsiaTheme="minorHAnsi" w:hAnsi="Times New Roman" w:cs="Times New Roman"/>
                <w:noProof/>
                <w:sz w:val="18"/>
                <w:szCs w:val="18"/>
              </w:rPr>
            </w:pPr>
            <w:r>
              <w:rPr>
                <w:rFonts w:ascii="Times New Roman" w:hAnsi="Times New Roman" w:cs="Times New Roman"/>
                <w:noProof/>
                <w:sz w:val="18"/>
                <w:szCs w:val="18"/>
              </w:rPr>
              <w:t xml:space="preserve">Développement pédagogique des établissements publics d'enseignement </w:t>
            </w:r>
            <w:r>
              <w:rPr>
                <w:rStyle w:val="normaltextrun"/>
                <w:rFonts w:ascii="Times New Roman" w:hAnsi="Times New Roman" w:cs="Times New Roman"/>
                <w:noProof/>
                <w:sz w:val="18"/>
                <w:szCs w:val="18"/>
                <w:bdr w:val="none" w:sz="0" w:space="0" w:color="auto" w:frame="1"/>
              </w:rPr>
              <w:t xml:space="preserve">ou de formation professionnelle </w:t>
            </w:r>
          </w:p>
        </w:tc>
        <w:tc>
          <w:tcPr>
            <w:tcW w:w="1559" w:type="dxa"/>
            <w:tcBorders>
              <w:top w:val="single" w:sz="4" w:space="0" w:color="auto"/>
              <w:left w:val="nil"/>
              <w:bottom w:val="single" w:sz="4" w:space="0" w:color="auto"/>
              <w:right w:val="single" w:sz="4" w:space="0" w:color="auto"/>
            </w:tcBorders>
            <w:shd w:val="clear" w:color="auto" w:fill="C6EFCE"/>
            <w:vAlign w:val="center"/>
            <w:hideMark/>
          </w:tcPr>
          <w:p w14:paraId="5EBBB247" w14:textId="77777777" w:rsidR="0023462A" w:rsidRDefault="0023462A">
            <w:pPr>
              <w:spacing w:after="120" w:line="240" w:lineRule="auto"/>
              <w:rPr>
                <w:rFonts w:ascii="Times New Roman" w:hAnsi="Times New Roman" w:cs="Times New Roman"/>
                <w:noProof/>
                <w:sz w:val="18"/>
                <w:szCs w:val="18"/>
              </w:rPr>
            </w:pPr>
          </w:p>
        </w:tc>
        <w:tc>
          <w:tcPr>
            <w:tcW w:w="1417" w:type="dxa"/>
            <w:tcBorders>
              <w:top w:val="single" w:sz="4" w:space="0" w:color="auto"/>
              <w:left w:val="nil"/>
              <w:bottom w:val="single" w:sz="4" w:space="0" w:color="auto"/>
              <w:right w:val="single" w:sz="4" w:space="0" w:color="auto"/>
            </w:tcBorders>
            <w:shd w:val="clear" w:color="auto" w:fill="C6EFCE"/>
            <w:vAlign w:val="center"/>
            <w:hideMark/>
          </w:tcPr>
          <w:p w14:paraId="61B334F8" w14:textId="77777777" w:rsidR="0023462A" w:rsidRDefault="00A550FA">
            <w:pPr>
              <w:pStyle w:val="P68B1DB1-Normal32"/>
              <w:spacing w:after="120" w:line="240" w:lineRule="auto"/>
              <w:rPr>
                <w:rFonts w:eastAsiaTheme="minorHAnsi"/>
                <w:noProof/>
              </w:rPr>
            </w:pPr>
            <w:r>
              <w:rPr>
                <w:noProof/>
              </w:rPr>
              <w:t>Numéro</w:t>
            </w:r>
          </w:p>
        </w:tc>
        <w:tc>
          <w:tcPr>
            <w:tcW w:w="1134" w:type="dxa"/>
            <w:tcBorders>
              <w:top w:val="single" w:sz="4" w:space="0" w:color="auto"/>
              <w:left w:val="nil"/>
              <w:bottom w:val="single" w:sz="4" w:space="0" w:color="auto"/>
              <w:right w:val="single" w:sz="4" w:space="0" w:color="auto"/>
            </w:tcBorders>
            <w:shd w:val="clear" w:color="auto" w:fill="C6EFCE"/>
            <w:vAlign w:val="center"/>
            <w:hideMark/>
          </w:tcPr>
          <w:p w14:paraId="3303EC81" w14:textId="6C0065D7" w:rsidR="0023462A" w:rsidRDefault="00A550FA">
            <w:pPr>
              <w:pStyle w:val="P68B1DB1-Normal32"/>
              <w:spacing w:after="120" w:line="240" w:lineRule="auto"/>
              <w:rPr>
                <w:noProof/>
              </w:rPr>
            </w:pPr>
            <w:r>
              <w:rPr>
                <w:noProof/>
              </w:rPr>
              <w:t>0</w:t>
            </w:r>
          </w:p>
        </w:tc>
        <w:tc>
          <w:tcPr>
            <w:tcW w:w="993" w:type="dxa"/>
            <w:tcBorders>
              <w:top w:val="single" w:sz="4" w:space="0" w:color="auto"/>
              <w:left w:val="nil"/>
              <w:bottom w:val="single" w:sz="4" w:space="0" w:color="auto"/>
              <w:right w:val="single" w:sz="4" w:space="0" w:color="auto"/>
            </w:tcBorders>
            <w:shd w:val="clear" w:color="auto" w:fill="C6EFCE"/>
            <w:vAlign w:val="center"/>
            <w:hideMark/>
          </w:tcPr>
          <w:p w14:paraId="3894E59C" w14:textId="2043A9A4" w:rsidR="0023462A" w:rsidRDefault="00A550FA">
            <w:pPr>
              <w:pStyle w:val="P68B1DB1-Normal32"/>
              <w:spacing w:after="120" w:line="240" w:lineRule="auto"/>
              <w:rPr>
                <w:noProof/>
              </w:rPr>
            </w:pPr>
            <w:r>
              <w:rPr>
                <w:noProof/>
              </w:rPr>
              <w:t>60</w:t>
            </w:r>
          </w:p>
        </w:tc>
        <w:tc>
          <w:tcPr>
            <w:tcW w:w="992" w:type="dxa"/>
            <w:tcBorders>
              <w:top w:val="single" w:sz="4" w:space="0" w:color="auto"/>
              <w:left w:val="nil"/>
              <w:bottom w:val="single" w:sz="4" w:space="0" w:color="auto"/>
              <w:right w:val="single" w:sz="4" w:space="0" w:color="auto"/>
            </w:tcBorders>
            <w:shd w:val="clear" w:color="auto" w:fill="C6EFCE"/>
            <w:vAlign w:val="center"/>
            <w:hideMark/>
          </w:tcPr>
          <w:p w14:paraId="433955DB" w14:textId="77777777" w:rsidR="0023462A" w:rsidRDefault="00A550FA">
            <w:pPr>
              <w:pStyle w:val="P68B1DB1-Normal32"/>
              <w:spacing w:after="120" w:line="240" w:lineRule="auto"/>
              <w:rPr>
                <w:rFonts w:eastAsiaTheme="minorHAnsi"/>
                <w:noProof/>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vAlign w:val="center"/>
            <w:hideMark/>
          </w:tcPr>
          <w:p w14:paraId="099F97A4" w14:textId="77777777" w:rsidR="0023462A" w:rsidRDefault="00A550FA">
            <w:pPr>
              <w:pStyle w:val="P68B1DB1-Normal32"/>
              <w:spacing w:after="120" w:line="240" w:lineRule="auto"/>
              <w:rPr>
                <w:rFonts w:eastAsiaTheme="minorHAnsi"/>
                <w:noProof/>
              </w:rPr>
            </w:pPr>
            <w:r>
              <w:rPr>
                <w:noProof/>
              </w:rPr>
              <w:t>2026</w:t>
            </w:r>
          </w:p>
        </w:tc>
        <w:tc>
          <w:tcPr>
            <w:tcW w:w="4365" w:type="dxa"/>
            <w:tcBorders>
              <w:top w:val="single" w:sz="4" w:space="0" w:color="auto"/>
              <w:left w:val="nil"/>
              <w:bottom w:val="single" w:sz="4" w:space="0" w:color="auto"/>
              <w:right w:val="single" w:sz="4" w:space="0" w:color="auto"/>
            </w:tcBorders>
            <w:shd w:val="clear" w:color="auto" w:fill="C6EFCE"/>
            <w:vAlign w:val="center"/>
            <w:hideMark/>
          </w:tcPr>
          <w:p w14:paraId="4A892354" w14:textId="46E8003F" w:rsidR="0023462A" w:rsidRDefault="00A550FA">
            <w:pPr>
              <w:pStyle w:val="P68B1DB1-Normal32"/>
              <w:spacing w:after="120" w:line="240" w:lineRule="auto"/>
              <w:jc w:val="both"/>
              <w:rPr>
                <w:noProof/>
              </w:rPr>
            </w:pPr>
            <w:r>
              <w:rPr>
                <w:noProof/>
              </w:rPr>
              <w:t>Participation d’au moins 60 établissements publics d’enseignement ou de formation professionnelle de municipalités sélectionnées dans le cadre du programme de rattrapage des établissements à des programmes de développement pédagogique inclusifs et axés sur la communauté, par exemple des diagnostics sociaux pour les établissements publics d’enseignement, des programmes scolaires étendus et des méthodes d’orientation professionnelle pour les enseignants.</w:t>
            </w:r>
          </w:p>
        </w:tc>
      </w:tr>
    </w:tbl>
    <w:p w14:paraId="1AC3A803" w14:textId="77777777" w:rsidR="0023462A" w:rsidRDefault="0023462A">
      <w:pPr>
        <w:spacing w:after="120" w:line="240" w:lineRule="auto"/>
        <w:rPr>
          <w:rFonts w:ascii="Times New Roman" w:hAnsi="Times New Roman" w:cs="Times New Roman"/>
          <w:b/>
          <w:noProof/>
          <w:sz w:val="24"/>
          <w:szCs w:val="24"/>
          <w:u w:val="single"/>
        </w:rPr>
      </w:pPr>
    </w:p>
    <w:p w14:paraId="5F112952" w14:textId="77777777" w:rsidR="0023462A" w:rsidRDefault="0023462A">
      <w:pPr>
        <w:spacing w:after="120" w:line="240" w:lineRule="auto"/>
        <w:jc w:val="both"/>
        <w:rPr>
          <w:rFonts w:ascii="Times New Roman" w:hAnsi="Times New Roman" w:cs="Times New Roman"/>
          <w:noProof/>
          <w:sz w:val="24"/>
          <w:szCs w:val="24"/>
        </w:rPr>
        <w:sectPr w:rsidR="0023462A" w:rsidSect="009030B8">
          <w:headerReference w:type="even" r:id="rId48"/>
          <w:headerReference w:type="default" r:id="rId49"/>
          <w:footerReference w:type="even" r:id="rId50"/>
          <w:footerReference w:type="default" r:id="rId51"/>
          <w:headerReference w:type="first" r:id="rId52"/>
          <w:footerReference w:type="first" r:id="rId53"/>
          <w:pgSz w:w="16839" w:h="11907" w:orient="landscape"/>
          <w:pgMar w:top="1134" w:right="1134" w:bottom="1134" w:left="1134" w:header="567" w:footer="567" w:gutter="0"/>
          <w:cols w:space="720"/>
          <w:docGrid w:linePitch="360"/>
        </w:sectPr>
      </w:pPr>
    </w:p>
    <w:p w14:paraId="64897E3D" w14:textId="4B975F43" w:rsidR="0023462A" w:rsidRDefault="00A550FA">
      <w:pPr>
        <w:pStyle w:val="P68B1DB1-Normal2"/>
        <w:keepNext/>
        <w:spacing w:after="120" w:line="240" w:lineRule="auto"/>
        <w:jc w:val="both"/>
        <w:outlineLvl w:val="1"/>
        <w:rPr>
          <w:noProof/>
        </w:rPr>
      </w:pPr>
      <w:r>
        <w:rPr>
          <w:noProof/>
        </w:rPr>
        <w:t>D. Élément 4: GESTION DE L'EAU ET ÉCONOMIE CIRCULAIRE</w:t>
      </w:r>
    </w:p>
    <w:p w14:paraId="41CEF560" w14:textId="61A34D8A" w:rsidR="0023462A" w:rsidRDefault="00A550FA">
      <w:pPr>
        <w:pStyle w:val="P68B1DB1-Normal36"/>
        <w:spacing w:after="120" w:line="240" w:lineRule="auto"/>
        <w:jc w:val="both"/>
        <w:rPr>
          <w:rFonts w:cs="Times New Roman"/>
          <w:noProof/>
        </w:rPr>
      </w:pPr>
      <w:r>
        <w:rPr>
          <w:noProof/>
        </w:rPr>
        <w:t xml:space="preserve">Ce volet du plan hongrois pour la reprise et la résilience vise à relever les défis auxquels la Hongrie est confrontée en matière de gestion de l’eau et de transition vers une économie circulaire. </w:t>
      </w:r>
    </w:p>
    <w:p w14:paraId="7E4791B5" w14:textId="5DEA13CE" w:rsidR="0023462A" w:rsidRDefault="00A550FA">
      <w:pPr>
        <w:pStyle w:val="P68B1DB1-Normal36"/>
        <w:spacing w:after="120" w:line="240" w:lineRule="auto"/>
        <w:jc w:val="both"/>
        <w:rPr>
          <w:noProof/>
        </w:rPr>
      </w:pPr>
      <w:r>
        <w:rPr>
          <w:noProof/>
        </w:rPr>
        <w:t>La rareté de l'eau a un effet néfaste sur l'état des masses d'eau, des écosystèmes et des terres agricoles. L'objectif de ce volet est de contribuer à l'introduction de solutions dans le domaine de la gestion de l'eau par la mise en place d'un plan d'action et de mesures de rétention d'eau.</w:t>
      </w:r>
    </w:p>
    <w:p w14:paraId="5A7B7B39" w14:textId="1D071862" w:rsidR="0023462A" w:rsidRDefault="00A550FA">
      <w:pPr>
        <w:pStyle w:val="P68B1DB1-Normal36"/>
        <w:spacing w:after="120" w:line="240" w:lineRule="auto"/>
        <w:jc w:val="both"/>
        <w:rPr>
          <w:noProof/>
        </w:rPr>
      </w:pPr>
      <w:r>
        <w:rPr>
          <w:noProof/>
        </w:rPr>
        <w:t>Les mesures relevant de l’économie circulaire contribuent à un système de gestion des déchets plus développé en Hongrie. Cela nécessite d’établir les principales exigences législatives et procédurales pour préparer l’économie hongroise à la transition vers l’économie circulaire, accompagnées d’activités de sensibilisation au recyclage des déchets. Les objectifs de ce volet sont cohérents avec le cadre de gestion des déchets de l’UE.</w:t>
      </w:r>
    </w:p>
    <w:p w14:paraId="1AADC684" w14:textId="55AF06F9" w:rsidR="0023462A" w:rsidRDefault="00A550FA">
      <w:pPr>
        <w:pStyle w:val="P68B1DB1-Normal36"/>
        <w:spacing w:after="120" w:line="240" w:lineRule="auto"/>
        <w:jc w:val="both"/>
        <w:rPr>
          <w:rFonts w:eastAsia="Times New Roman" w:cs="Times New Roman"/>
          <w:noProof/>
        </w:rPr>
      </w:pPr>
      <w:r>
        <w:rPr>
          <w:noProof/>
        </w:rPr>
        <w:t xml:space="preserve">Ce volet contribue à donner suite aux recommandations par pays visant à axer la politique économique liée aux investissements sur la gestion durable de l’eau (recommandation par pays no 3 en 2020 et recommandation par pays no 5 en 2022). En outre, ce volet contribue à donner suite aux recommandations par pays visant à promouvoir la réforme de la gestion durable des déchets et la circularité de l’économie (recommandation par pays no 5 de 2022). </w:t>
      </w:r>
    </w:p>
    <w:p w14:paraId="6E5791FA" w14:textId="68AC4B99" w:rsidR="0023462A" w:rsidRDefault="00A550FA">
      <w:pPr>
        <w:pStyle w:val="P68B1DB1-Normal6"/>
        <w:spacing w:after="120" w:line="240" w:lineRule="auto"/>
        <w:jc w:val="both"/>
        <w:rPr>
          <w:noProof/>
          <w:szCs w:val="24"/>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1B806489" w14:textId="77777777" w:rsidR="0023462A" w:rsidRDefault="00A550FA">
      <w:pPr>
        <w:pStyle w:val="P68B1DB1-Heading310"/>
        <w:spacing w:before="0" w:after="120"/>
        <w:rPr>
          <w:rFonts w:eastAsiaTheme="minorHAnsi"/>
          <w:noProof/>
        </w:rPr>
      </w:pPr>
      <w:r>
        <w:rPr>
          <w:noProof/>
        </w:rPr>
        <w:t>D.1. Description des réformes et des investissements pour le soutien financier non remboursable</w:t>
      </w:r>
    </w:p>
    <w:p w14:paraId="279D8F66" w14:textId="15B64399" w:rsidR="0023462A" w:rsidRDefault="00A550FA">
      <w:pPr>
        <w:pStyle w:val="P68B1DB1-Heading411"/>
        <w:spacing w:before="0" w:after="120" w:line="240" w:lineRule="auto"/>
        <w:rPr>
          <w:rFonts w:eastAsiaTheme="minorHAnsi"/>
          <w:noProof/>
        </w:rPr>
      </w:pPr>
      <w:r>
        <w:rPr>
          <w:noProof/>
        </w:rPr>
        <w:t>C4.R1: Sensibilisation - eau</w:t>
      </w:r>
    </w:p>
    <w:p w14:paraId="78695F17" w14:textId="77777777" w:rsidR="0023462A" w:rsidRDefault="00A550FA">
      <w:pPr>
        <w:pStyle w:val="P68B1DB1-Normal6"/>
        <w:spacing w:after="120" w:line="240" w:lineRule="auto"/>
        <w:jc w:val="both"/>
        <w:rPr>
          <w:noProof/>
        </w:rPr>
      </w:pPr>
      <w:r>
        <w:rPr>
          <w:noProof/>
        </w:rPr>
        <w:t>L’objectif de la réforme est d’établir un cadre de gestion de l’eau</w:t>
      </w:r>
      <w:r>
        <w:rPr>
          <w:noProof/>
        </w:rPr>
        <w:noBreakHyphen/>
        <w:t xml:space="preserve"> résilient au changement climatique et durable en alignant l’utilisation de l’eau sur les ressources en eau disponibles et les projections en matière de changement climatique. </w:t>
      </w:r>
    </w:p>
    <w:p w14:paraId="16485352" w14:textId="34DD175B" w:rsidR="0023462A" w:rsidRDefault="00A550FA">
      <w:pPr>
        <w:pStyle w:val="P68B1DB1-Normal36"/>
        <w:spacing w:after="120" w:line="240" w:lineRule="auto"/>
        <w:jc w:val="both"/>
        <w:rPr>
          <w:rFonts w:eastAsia="Times New Roman" w:cs="Times New Roman"/>
          <w:b/>
          <w:noProof/>
        </w:rPr>
      </w:pPr>
      <w:r>
        <w:rPr>
          <w:noProof/>
        </w:rPr>
        <w:t xml:space="preserve">La mesure consiste en l’adoption d’un plan d’action sur la gestion durable de l’eau et la mise en œuvre d’interventions de rétention d’eau contrôlée. </w:t>
      </w:r>
    </w:p>
    <w:p w14:paraId="7F776729" w14:textId="526147D8" w:rsidR="0023462A" w:rsidRDefault="00A550FA">
      <w:pPr>
        <w:pStyle w:val="P68B1DB1-Heading411"/>
        <w:spacing w:before="0" w:after="120" w:line="240" w:lineRule="auto"/>
        <w:rPr>
          <w:noProof/>
        </w:rPr>
      </w:pPr>
      <w:r>
        <w:rPr>
          <w:noProof/>
        </w:rPr>
        <w:t>C4.I1 : Protection de la nature</w:t>
      </w:r>
    </w:p>
    <w:p w14:paraId="004D13C5" w14:textId="33DF59CC" w:rsidR="0023462A" w:rsidRDefault="00A550FA">
      <w:pPr>
        <w:pStyle w:val="P68B1DB1-Normal34"/>
        <w:spacing w:after="120" w:line="240" w:lineRule="auto"/>
        <w:jc w:val="both"/>
        <w:rPr>
          <w:noProof/>
        </w:rPr>
      </w:pPr>
      <w:r>
        <w:rPr>
          <w:noProof/>
        </w:rPr>
        <w:t xml:space="preserve">L'objectif de cet investissement est d'améliorer la qualité de l'eau et l'état écologique de la branche (Soroksári)-Danube en construisant et en mettant en service la nouvelle station de pompage de Kvassay et les infrastructures associées, et d'assurer un approvisionnement en eau fiable et résistant au climat. </w:t>
      </w:r>
    </w:p>
    <w:p w14:paraId="28693442" w14:textId="70F6A6F0" w:rsidR="0023462A" w:rsidRDefault="00A550FA">
      <w:pPr>
        <w:pStyle w:val="P68B1DB1-Normal34"/>
        <w:spacing w:after="120" w:line="240" w:lineRule="auto"/>
        <w:jc w:val="both"/>
        <w:rPr>
          <w:noProof/>
          <w:highlight w:val="yellow"/>
        </w:rPr>
      </w:pPr>
      <w:r>
        <w:rPr>
          <w:noProof/>
        </w:rPr>
        <w:t>La mesure consiste à compléter la structure d'aspiration côté Danube de la nouvelle station de pompage, à installer quatre pompes à hélice avec leur équipement mécanique et électrique et à mettre en place le système d'alimentation et de contrôle de l'énergie à haute</w:t>
      </w:r>
      <w:r>
        <w:rPr>
          <w:noProof/>
        </w:rPr>
        <w:noBreakHyphen/>
        <w:t xml:space="preserve"> tension. </w:t>
      </w:r>
    </w:p>
    <w:p w14:paraId="3B14D3CA" w14:textId="1C48FE94" w:rsidR="0023462A" w:rsidRDefault="00A550FA">
      <w:pPr>
        <w:pStyle w:val="P68B1DB1-Heading411"/>
        <w:spacing w:before="0" w:after="120" w:line="240" w:lineRule="auto"/>
        <w:rPr>
          <w:rFonts w:eastAsiaTheme="minorHAnsi"/>
          <w:noProof/>
        </w:rPr>
      </w:pPr>
      <w:r>
        <w:rPr>
          <w:noProof/>
        </w:rPr>
        <w:t>C4.R2 : Réglementation interne de la transition vers une économie circulaire</w:t>
      </w:r>
    </w:p>
    <w:p w14:paraId="290DCB05" w14:textId="77777777" w:rsidR="0023462A" w:rsidRDefault="00A550FA">
      <w:pPr>
        <w:pStyle w:val="P68B1DB1-Normal36"/>
        <w:spacing w:after="120" w:line="240" w:lineRule="auto"/>
        <w:jc w:val="both"/>
        <w:rPr>
          <w:rFonts w:eastAsiaTheme="minorHAnsi"/>
          <w:noProof/>
        </w:rPr>
      </w:pPr>
      <w:r>
        <w:rPr>
          <w:noProof/>
        </w:rPr>
        <w:t xml:space="preserve">L’objectif de cette mesure est de créer un cadre juridique solide pour la transition vers une économie circulaire. </w:t>
      </w:r>
    </w:p>
    <w:p w14:paraId="1132421B" w14:textId="7C05CCCD" w:rsidR="0023462A" w:rsidRDefault="00A550FA">
      <w:pPr>
        <w:pStyle w:val="P68B1DB1-Normal34"/>
        <w:spacing w:after="120" w:line="240" w:lineRule="auto"/>
        <w:rPr>
          <w:noProof/>
        </w:rPr>
      </w:pPr>
      <w:r>
        <w:rPr>
          <w:noProof/>
        </w:rPr>
        <w:t xml:space="preserve">La mesure consiste en l’entrée en vigueur des modifications apportées au cadre juridique en vue de créer un environnement propice à la gestion des déchets en Hongrie. </w:t>
      </w:r>
    </w:p>
    <w:p w14:paraId="501EBDA1" w14:textId="6575371C" w:rsidR="0023462A" w:rsidRDefault="00A550FA">
      <w:pPr>
        <w:pStyle w:val="P68B1DB1-Heading411"/>
        <w:spacing w:before="0" w:after="120" w:line="240" w:lineRule="auto"/>
        <w:rPr>
          <w:noProof/>
        </w:rPr>
      </w:pPr>
      <w:r>
        <w:rPr>
          <w:noProof/>
        </w:rPr>
        <w:t>C4.R3: Plan d'action pour les activités locales de sensibilisation</w:t>
      </w:r>
    </w:p>
    <w:p w14:paraId="465DAFB1" w14:textId="77777777" w:rsidR="0023462A" w:rsidRDefault="00A550FA">
      <w:pPr>
        <w:pStyle w:val="P68B1DB1-Normal36"/>
        <w:spacing w:after="120" w:line="240" w:lineRule="auto"/>
        <w:jc w:val="both"/>
        <w:rPr>
          <w:rFonts w:cs="Times New Roman"/>
          <w:noProof/>
        </w:rPr>
      </w:pPr>
      <w:r>
        <w:rPr>
          <w:noProof/>
        </w:rPr>
        <w:t xml:space="preserve">L’objectif de la mesure est de sensibiliser la population au recyclage des déchets. </w:t>
      </w:r>
    </w:p>
    <w:p w14:paraId="05D0D602" w14:textId="5C6A9343" w:rsidR="0023462A" w:rsidRDefault="00A550FA">
      <w:pPr>
        <w:pStyle w:val="P68B1DB1-Normal36"/>
        <w:autoSpaceDE w:val="0"/>
        <w:autoSpaceDN w:val="0"/>
        <w:spacing w:after="120" w:line="240" w:lineRule="auto"/>
        <w:jc w:val="both"/>
        <w:rPr>
          <w:rFonts w:cs="Times New Roman"/>
          <w:b/>
          <w:noProof/>
          <w:u w:val="single"/>
        </w:rPr>
        <w:sectPr w:rsidR="0023462A" w:rsidSect="009030B8">
          <w:headerReference w:type="even" r:id="rId54"/>
          <w:headerReference w:type="default" r:id="rId55"/>
          <w:footerReference w:type="even" r:id="rId56"/>
          <w:footerReference w:type="default" r:id="rId57"/>
          <w:headerReference w:type="first" r:id="rId58"/>
          <w:footerReference w:type="first" r:id="rId59"/>
          <w:pgSz w:w="11907" w:h="16839"/>
          <w:pgMar w:top="1134" w:right="1134" w:bottom="1134" w:left="1134" w:header="567" w:footer="567" w:gutter="0"/>
          <w:cols w:space="708"/>
          <w:docGrid w:linePitch="360"/>
        </w:sectPr>
      </w:pPr>
      <w:r>
        <w:rPr>
          <w:noProof/>
        </w:rPr>
        <w:t>La réforme consiste en l'adoption d'un plan d'action national de communication qui informe le grand public sur les niveaux supérieurs de hiérarchie des déchets.</w:t>
      </w:r>
    </w:p>
    <w:p w14:paraId="37AEC7DE" w14:textId="77777777" w:rsidR="0023462A" w:rsidRDefault="00A550FA">
      <w:pPr>
        <w:pStyle w:val="P68B1DB1-Heading310"/>
        <w:spacing w:before="0" w:after="120"/>
        <w:rPr>
          <w:noProof/>
        </w:rPr>
      </w:pPr>
      <w:r>
        <w:rPr>
          <w:noProof/>
        </w:rPr>
        <w:t xml:space="preserve">D.2. </w:t>
      </w:r>
      <w:r>
        <w:rPr>
          <w:noProof/>
        </w:rPr>
        <w:tab/>
        <w:t>Étapes, cibles, indicateurs et calendrier pour le suivi et la mise en œuvre du soutien financier non remboursable</w:t>
      </w:r>
    </w:p>
    <w:tbl>
      <w:tblPr>
        <w:tblStyle w:val="GridTable1Light-Accent1"/>
        <w:tblW w:w="15263"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1135"/>
        <w:gridCol w:w="1417"/>
        <w:gridCol w:w="704"/>
        <w:gridCol w:w="992"/>
        <w:gridCol w:w="1559"/>
        <w:gridCol w:w="1134"/>
        <w:gridCol w:w="1423"/>
        <w:gridCol w:w="850"/>
        <w:gridCol w:w="987"/>
        <w:gridCol w:w="993"/>
        <w:gridCol w:w="4069"/>
      </w:tblGrid>
      <w:tr w:rsidR="0023462A" w14:paraId="1BAA6D9A" w14:textId="77777777" w:rsidTr="009C289F">
        <w:trPr>
          <w:cnfStyle w:val="100000000000" w:firstRow="1" w:lastRow="0" w:firstColumn="0" w:lastColumn="0" w:oddVBand="0" w:evenVBand="0" w:oddHBand="0" w:evenHBand="0" w:firstRowFirstColumn="0" w:firstRowLastColumn="0" w:lastRowFirstColumn="0" w:lastRowLastColumn="0"/>
          <w:trHeight w:val="1016"/>
          <w:tblHeader/>
          <w:jc w:val="center"/>
        </w:trPr>
        <w:tc>
          <w:tcPr>
            <w:cnfStyle w:val="001000000000" w:firstRow="0" w:lastRow="0" w:firstColumn="1" w:lastColumn="0" w:oddVBand="0" w:evenVBand="0" w:oddHBand="0" w:evenHBand="0" w:firstRowFirstColumn="0" w:firstRowLastColumn="0" w:lastRowFirstColumn="0" w:lastRowLastColumn="0"/>
            <w:tcW w:w="1135"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473671E1" w14:textId="77777777" w:rsidR="0023462A" w:rsidRDefault="00A550FA">
            <w:pPr>
              <w:pStyle w:val="P68B1DB1-Normal32"/>
              <w:spacing w:after="120"/>
              <w:jc w:val="center"/>
              <w:rPr>
                <w:noProof/>
              </w:rPr>
            </w:pPr>
            <w:r>
              <w:rPr>
                <w:noProof/>
              </w:rPr>
              <w:t>Numéro séquentiel</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0EBBA39A" w14:textId="77777777" w:rsidR="0023462A" w:rsidRDefault="00A550FA">
            <w:pPr>
              <w:pStyle w:val="P68B1DB1-Normal32"/>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Mesure connexe (réforme ou investissement)</w:t>
            </w:r>
          </w:p>
        </w:tc>
        <w:tc>
          <w:tcPr>
            <w:tcW w:w="704"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4F7FFCC6" w14:textId="77777777" w:rsidR="0023462A" w:rsidRDefault="00A550FA">
            <w:pPr>
              <w:pStyle w:val="P68B1DB1-Normal32"/>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Étape/cible</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7C1109BF" w14:textId="77777777" w:rsidR="0023462A" w:rsidRDefault="00A550FA">
            <w:pPr>
              <w:pStyle w:val="P68B1DB1-Normal32"/>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Nom</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4AFF214" w14:textId="362AD2EC" w:rsidR="0023462A" w:rsidRDefault="00A550FA">
            <w:pPr>
              <w:pStyle w:val="P68B1DB1-Normal32"/>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 xml:space="preserve">Indicateurs qualitatifs </w:t>
            </w:r>
            <w:r>
              <w:rPr>
                <w:noProof/>
              </w:rPr>
              <w:br/>
              <w:t>(pour les jalons)</w:t>
            </w:r>
          </w:p>
        </w:tc>
        <w:tc>
          <w:tcPr>
            <w:tcW w:w="3407"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5CE6AF52" w14:textId="76AA93DF" w:rsidR="0023462A" w:rsidRDefault="00A550FA">
            <w:pPr>
              <w:pStyle w:val="P68B1DB1-Normal32"/>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 xml:space="preserve">Indicateurs quantitatifs </w:t>
            </w:r>
            <w:r>
              <w:rPr>
                <w:noProof/>
              </w:rPr>
              <w:br/>
              <w:t>(pour les objectifs)</w:t>
            </w:r>
          </w:p>
        </w:tc>
        <w:tc>
          <w:tcPr>
            <w:tcW w:w="1980"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18E0D6A0" w14:textId="77777777" w:rsidR="0023462A" w:rsidRDefault="00A550FA">
            <w:pPr>
              <w:pStyle w:val="P68B1DB1-Normal32"/>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Calendrier indicatif d'achèvement</w:t>
            </w:r>
          </w:p>
        </w:tc>
        <w:tc>
          <w:tcPr>
            <w:tcW w:w="4069"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049678F1" w14:textId="77777777" w:rsidR="0023462A" w:rsidRDefault="00A550FA">
            <w:pPr>
              <w:pStyle w:val="P68B1DB1-Normal32"/>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Description de chaque jalon et cible</w:t>
            </w:r>
          </w:p>
        </w:tc>
      </w:tr>
      <w:tr w:rsidR="0023462A" w14:paraId="2E260657" w14:textId="77777777" w:rsidTr="009C289F">
        <w:trPr>
          <w:cnfStyle w:val="100000000000" w:firstRow="1" w:lastRow="0" w:firstColumn="0" w:lastColumn="0" w:oddVBand="0" w:evenVBand="0" w:oddHBand="0" w:evenHBand="0" w:firstRowFirstColumn="0" w:firstRowLastColumn="0" w:lastRowFirstColumn="0" w:lastRowLastColumn="0"/>
          <w:trHeight w:val="601"/>
          <w:tblHeader/>
          <w:jc w:val="center"/>
        </w:trPr>
        <w:tc>
          <w:tcPr>
            <w:cnfStyle w:val="001000000000" w:firstRow="0" w:lastRow="0" w:firstColumn="1" w:lastColumn="0" w:oddVBand="0" w:evenVBand="0" w:oddHBand="0" w:evenHBand="0" w:firstRowFirstColumn="0" w:firstRowLastColumn="0" w:lastRowFirstColumn="0" w:lastRowLastColumn="0"/>
            <w:tcW w:w="1135" w:type="dxa"/>
            <w:vMerge/>
            <w:vAlign w:val="center"/>
          </w:tcPr>
          <w:p w14:paraId="743B5B53" w14:textId="77777777" w:rsidR="0023462A" w:rsidRDefault="0023462A">
            <w:pPr>
              <w:spacing w:after="120"/>
              <w:rPr>
                <w:rFonts w:ascii="Times New Roman" w:hAnsi="Times New Roman" w:cs="Times New Roman"/>
                <w:b w:val="0"/>
                <w:noProof/>
                <w:sz w:val="18"/>
                <w:szCs w:val="18"/>
              </w:rPr>
            </w:pPr>
          </w:p>
        </w:tc>
        <w:tc>
          <w:tcPr>
            <w:tcW w:w="1417" w:type="dxa"/>
            <w:vMerge/>
            <w:vAlign w:val="center"/>
          </w:tcPr>
          <w:p w14:paraId="242B69B4" w14:textId="77777777" w:rsidR="0023462A" w:rsidRDefault="0023462A">
            <w:pPr>
              <w:spacing w:after="1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704" w:type="dxa"/>
            <w:vMerge/>
            <w:vAlign w:val="center"/>
          </w:tcPr>
          <w:p w14:paraId="3082DD42" w14:textId="77777777" w:rsidR="0023462A" w:rsidRDefault="0023462A">
            <w:pPr>
              <w:spacing w:after="1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92" w:type="dxa"/>
            <w:vMerge/>
            <w:vAlign w:val="center"/>
          </w:tcPr>
          <w:p w14:paraId="276EEFAA" w14:textId="77777777" w:rsidR="0023462A" w:rsidRDefault="0023462A">
            <w:pPr>
              <w:spacing w:after="1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559" w:type="dxa"/>
            <w:vMerge/>
            <w:vAlign w:val="center"/>
          </w:tcPr>
          <w:p w14:paraId="65ED198F" w14:textId="77777777" w:rsidR="0023462A" w:rsidRDefault="0023462A">
            <w:pPr>
              <w:spacing w:after="1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34" w:type="dxa"/>
            <w:tcBorders>
              <w:top w:val="single" w:sz="4" w:space="0" w:color="auto"/>
              <w:bottom w:val="single" w:sz="4" w:space="0" w:color="auto"/>
            </w:tcBorders>
            <w:shd w:val="clear" w:color="auto" w:fill="B4C6E7" w:themeFill="accent1" w:themeFillTint="66"/>
            <w:vAlign w:val="center"/>
          </w:tcPr>
          <w:p w14:paraId="53FA63C1" w14:textId="77777777" w:rsidR="0023462A" w:rsidRDefault="00A550FA">
            <w:pPr>
              <w:pStyle w:val="P68B1DB1-Normal32"/>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Unité de mesure</w:t>
            </w:r>
          </w:p>
        </w:tc>
        <w:tc>
          <w:tcPr>
            <w:tcW w:w="1423" w:type="dxa"/>
            <w:tcBorders>
              <w:top w:val="single" w:sz="4" w:space="0" w:color="auto"/>
              <w:bottom w:val="single" w:sz="4" w:space="0" w:color="auto"/>
            </w:tcBorders>
            <w:shd w:val="clear" w:color="auto" w:fill="B4C6E7" w:themeFill="accent1" w:themeFillTint="66"/>
            <w:vAlign w:val="center"/>
          </w:tcPr>
          <w:p w14:paraId="47D1D707" w14:textId="77777777" w:rsidR="0023462A" w:rsidRDefault="00A550FA">
            <w:pPr>
              <w:pStyle w:val="P68B1DB1-Normal32"/>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Données de référence</w:t>
            </w:r>
          </w:p>
        </w:tc>
        <w:tc>
          <w:tcPr>
            <w:tcW w:w="850" w:type="dxa"/>
            <w:tcBorders>
              <w:top w:val="single" w:sz="4" w:space="0" w:color="auto"/>
              <w:bottom w:val="single" w:sz="4" w:space="0" w:color="auto"/>
            </w:tcBorders>
            <w:shd w:val="clear" w:color="auto" w:fill="B4C6E7" w:themeFill="accent1" w:themeFillTint="66"/>
            <w:vAlign w:val="center"/>
          </w:tcPr>
          <w:p w14:paraId="5833014E" w14:textId="77777777" w:rsidR="0023462A" w:rsidRDefault="00A550FA">
            <w:pPr>
              <w:pStyle w:val="P68B1DB1-Normal32"/>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Objectif</w:t>
            </w:r>
          </w:p>
        </w:tc>
        <w:tc>
          <w:tcPr>
            <w:tcW w:w="987" w:type="dxa"/>
            <w:tcBorders>
              <w:top w:val="single" w:sz="4" w:space="0" w:color="auto"/>
              <w:bottom w:val="single" w:sz="4" w:space="0" w:color="auto"/>
            </w:tcBorders>
            <w:shd w:val="clear" w:color="auto" w:fill="B4C6E7" w:themeFill="accent1" w:themeFillTint="66"/>
            <w:vAlign w:val="center"/>
          </w:tcPr>
          <w:p w14:paraId="37C5FE67" w14:textId="77777777" w:rsidR="0023462A" w:rsidRDefault="00A550FA">
            <w:pPr>
              <w:pStyle w:val="P68B1DB1-Normal32"/>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Trimestre</w:t>
            </w:r>
          </w:p>
        </w:tc>
        <w:tc>
          <w:tcPr>
            <w:tcW w:w="993" w:type="dxa"/>
            <w:tcBorders>
              <w:top w:val="single" w:sz="4" w:space="0" w:color="auto"/>
              <w:bottom w:val="single" w:sz="4" w:space="0" w:color="auto"/>
            </w:tcBorders>
            <w:shd w:val="clear" w:color="auto" w:fill="B4C6E7" w:themeFill="accent1" w:themeFillTint="66"/>
            <w:vAlign w:val="center"/>
          </w:tcPr>
          <w:p w14:paraId="41BD92EE" w14:textId="77777777" w:rsidR="0023462A" w:rsidRDefault="00A550FA">
            <w:pPr>
              <w:pStyle w:val="P68B1DB1-Normal32"/>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Année</w:t>
            </w:r>
          </w:p>
        </w:tc>
        <w:tc>
          <w:tcPr>
            <w:tcW w:w="4069" w:type="dxa"/>
            <w:vMerge/>
            <w:vAlign w:val="center"/>
          </w:tcPr>
          <w:p w14:paraId="20BA8250" w14:textId="77777777" w:rsidR="0023462A" w:rsidRDefault="0023462A">
            <w:pPr>
              <w:spacing w:after="1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r>
      <w:tr w:rsidR="00A52B72" w14:paraId="0555E2D6" w14:textId="77777777" w:rsidTr="009C289F">
        <w:trPr>
          <w:trHeight w:val="1857"/>
          <w:jc w:val="center"/>
        </w:trPr>
        <w:tc>
          <w:tcPr>
            <w:cnfStyle w:val="001000000000" w:firstRow="0" w:lastRow="0" w:firstColumn="1" w:lastColumn="0" w:oddVBand="0" w:evenVBand="0" w:oddHBand="0" w:evenHBand="0" w:firstRowFirstColumn="0" w:firstRowLastColumn="0" w:lastRowFirstColumn="0" w:lastRowLastColumn="0"/>
            <w:tcW w:w="1135" w:type="dxa"/>
            <w:tcBorders>
              <w:top w:val="single" w:sz="4" w:space="0" w:color="auto"/>
              <w:left w:val="single" w:sz="4" w:space="0" w:color="auto"/>
              <w:bottom w:val="single" w:sz="4" w:space="0" w:color="auto"/>
              <w:right w:val="single" w:sz="4" w:space="0" w:color="auto"/>
            </w:tcBorders>
            <w:shd w:val="clear" w:color="auto" w:fill="C6EFCE"/>
            <w:vAlign w:val="center"/>
          </w:tcPr>
          <w:p w14:paraId="03CDF1D4" w14:textId="7FA063FA" w:rsidR="0023462A" w:rsidRDefault="00A550FA">
            <w:pPr>
              <w:pStyle w:val="P68B1DB1-Normal32"/>
              <w:spacing w:after="120"/>
              <w:rPr>
                <w:b w:val="0"/>
                <w:bCs w:val="0"/>
                <w:noProof/>
              </w:rPr>
            </w:pPr>
            <w:r>
              <w:rPr>
                <w:noProof/>
              </w:rPr>
              <w:t>16</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tcPr>
          <w:p w14:paraId="0EC30AAA" w14:textId="7E8C5DFA"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C4.R1 Sensibilisation - eau</w:t>
            </w:r>
          </w:p>
        </w:tc>
        <w:tc>
          <w:tcPr>
            <w:tcW w:w="704" w:type="dxa"/>
            <w:tcBorders>
              <w:top w:val="single" w:sz="4" w:space="0" w:color="auto"/>
              <w:left w:val="single" w:sz="4" w:space="0" w:color="auto"/>
              <w:bottom w:val="single" w:sz="4" w:space="0" w:color="auto"/>
              <w:right w:val="single" w:sz="4" w:space="0" w:color="auto"/>
            </w:tcBorders>
            <w:shd w:val="clear" w:color="auto" w:fill="C6EFCE"/>
            <w:vAlign w:val="center"/>
          </w:tcPr>
          <w:p w14:paraId="6B7CDB85"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Étape</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tcPr>
          <w:p w14:paraId="2FFE6D43" w14:textId="058EDA99" w:rsidR="0023462A" w:rsidRDefault="00A550FA">
            <w:pPr>
              <w:pStyle w:val="P68B1DB1-Normal41"/>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Adoption d'un plan d'action pour une gestion durable de l'eau </w:t>
            </w:r>
          </w:p>
        </w:tc>
        <w:tc>
          <w:tcPr>
            <w:tcW w:w="1559" w:type="dxa"/>
            <w:tcBorders>
              <w:top w:val="single" w:sz="4" w:space="0" w:color="auto"/>
              <w:left w:val="single" w:sz="4" w:space="0" w:color="auto"/>
              <w:bottom w:val="single" w:sz="4" w:space="0" w:color="auto"/>
              <w:right w:val="single" w:sz="4" w:space="0" w:color="auto"/>
            </w:tcBorders>
            <w:shd w:val="clear" w:color="auto" w:fill="C6EFCE"/>
            <w:vAlign w:val="center"/>
          </w:tcPr>
          <w:p w14:paraId="4EB26534" w14:textId="4FCF1EC7" w:rsidR="0023462A" w:rsidRDefault="00A550FA">
            <w:pPr>
              <w:pStyle w:val="P68B1DB1-Normal41"/>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Adoption du plan d'action pour une gestion durable de l'eau </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2CE148C5" w14:textId="77777777" w:rsidR="0023462A" w:rsidRDefault="0023462A">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423" w:type="dxa"/>
            <w:tcBorders>
              <w:top w:val="single" w:sz="4" w:space="0" w:color="auto"/>
              <w:left w:val="single" w:sz="4" w:space="0" w:color="auto"/>
              <w:bottom w:val="single" w:sz="4" w:space="0" w:color="auto"/>
              <w:right w:val="single" w:sz="4" w:space="0" w:color="auto"/>
            </w:tcBorders>
            <w:shd w:val="clear" w:color="auto" w:fill="C6EFCE"/>
            <w:vAlign w:val="center"/>
          </w:tcPr>
          <w:p w14:paraId="59B16EFA" w14:textId="77777777" w:rsidR="0023462A" w:rsidRDefault="0023462A">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vAlign w:val="center"/>
          </w:tcPr>
          <w:p w14:paraId="06FB5C9E" w14:textId="77777777" w:rsidR="0023462A" w:rsidRDefault="0023462A">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87" w:type="dxa"/>
            <w:tcBorders>
              <w:top w:val="single" w:sz="4" w:space="0" w:color="auto"/>
              <w:left w:val="single" w:sz="4" w:space="0" w:color="auto"/>
              <w:bottom w:val="single" w:sz="4" w:space="0" w:color="auto"/>
              <w:right w:val="single" w:sz="4" w:space="0" w:color="auto"/>
            </w:tcBorders>
            <w:shd w:val="clear" w:color="auto" w:fill="C6EFCE"/>
            <w:vAlign w:val="center"/>
          </w:tcPr>
          <w:p w14:paraId="741CCD2C" w14:textId="57DCA17E"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T2</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tcPr>
          <w:p w14:paraId="0FF7FE88" w14:textId="462C3983"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069" w:type="dxa"/>
            <w:tcBorders>
              <w:top w:val="single" w:sz="4" w:space="0" w:color="auto"/>
              <w:left w:val="single" w:sz="4" w:space="0" w:color="auto"/>
              <w:bottom w:val="single" w:sz="4" w:space="0" w:color="auto"/>
              <w:right w:val="single" w:sz="4" w:space="0" w:color="auto"/>
            </w:tcBorders>
            <w:shd w:val="clear" w:color="auto" w:fill="C6EFCE"/>
            <w:vAlign w:val="center"/>
          </w:tcPr>
          <w:p w14:paraId="7A1834E8" w14:textId="77777777" w:rsidR="0023462A" w:rsidRDefault="00A550FA">
            <w:pPr>
              <w:pStyle w:val="P68B1DB1-Normal41"/>
              <w:spacing w:after="120"/>
              <w:cnfStyle w:val="000000000000" w:firstRow="0" w:lastRow="0" w:firstColumn="0" w:lastColumn="0" w:oddVBand="0" w:evenVBand="0" w:oddHBand="0" w:evenHBand="0" w:firstRowFirstColumn="0" w:firstRowLastColumn="0" w:lastRowFirstColumn="0" w:lastRowLastColumn="0"/>
              <w:rPr>
                <w:noProof/>
              </w:rPr>
            </w:pPr>
            <w:r>
              <w:rPr>
                <w:noProof/>
              </w:rPr>
              <w:t>Le Gouvernement a adopté un plan d'action sur la gestion durable de l'eau, qui définit les mesures, les responsabilités et les délais à respecter pour:</w:t>
            </w:r>
          </w:p>
          <w:p w14:paraId="0DB29634" w14:textId="77777777" w:rsidR="0023462A" w:rsidRDefault="00A550FA">
            <w:pPr>
              <w:pStyle w:val="P68B1DB1-ListParagraph42"/>
              <w:numPr>
                <w:ilvl w:val="0"/>
                <w:numId w:val="143"/>
              </w:numPr>
              <w:spacing w:after="120"/>
              <w:contextualSpacing w:val="0"/>
              <w:cnfStyle w:val="000000000000" w:firstRow="0" w:lastRow="0" w:firstColumn="0" w:lastColumn="0" w:oddVBand="0" w:evenVBand="0" w:oddHBand="0" w:evenHBand="0" w:firstRowFirstColumn="0" w:firstRowLastColumn="0" w:lastRowFirstColumn="0" w:lastRowLastColumn="0"/>
              <w:rPr>
                <w:noProof/>
              </w:rPr>
            </w:pPr>
            <w:r>
              <w:rPr>
                <w:noProof/>
              </w:rPr>
              <w:t>aligner l’utilisation de l’eau sur les ressources en eau disponibles et les projections en matière de changement climatique, notamment en réduisant les effets des inondations et de la sécheresse et en garantissant la résilience à long terme de l’eau.</w:t>
            </w:r>
          </w:p>
          <w:p w14:paraId="17390E5A" w14:textId="29A72F28" w:rsidR="0023462A" w:rsidRDefault="00A550FA">
            <w:pPr>
              <w:pStyle w:val="P68B1DB1-ListParagraph42"/>
              <w:numPr>
                <w:ilvl w:val="0"/>
                <w:numId w:val="143"/>
              </w:numPr>
              <w:spacing w:after="120"/>
              <w:contextualSpacing w:val="0"/>
              <w:cnfStyle w:val="000000000000" w:firstRow="0" w:lastRow="0" w:firstColumn="0" w:lastColumn="0" w:oddVBand="0" w:evenVBand="0" w:oddHBand="0" w:evenHBand="0" w:firstRowFirstColumn="0" w:firstRowLastColumn="0" w:lastRowFirstColumn="0" w:lastRowLastColumn="0"/>
              <w:rPr>
                <w:noProof/>
              </w:rPr>
            </w:pPr>
            <w:r>
              <w:rPr>
                <w:noProof/>
              </w:rPr>
              <w:t>donner la priorité aux solutions fondées sur la nature et aux mesures naturelles de rétention d’eau, y compris leur intégration dans les plans de gestion des bassins hydrographiques et dans l’aménagement du territoire;</w:t>
            </w:r>
          </w:p>
          <w:p w14:paraId="02E854C9" w14:textId="77777777" w:rsidR="0023462A" w:rsidRDefault="00A550FA">
            <w:pPr>
              <w:pStyle w:val="P68B1DB1-ListParagraph42"/>
              <w:numPr>
                <w:ilvl w:val="0"/>
                <w:numId w:val="143"/>
              </w:numPr>
              <w:spacing w:after="120"/>
              <w:contextualSpacing w:val="0"/>
              <w:cnfStyle w:val="000000000000" w:firstRow="0" w:lastRow="0" w:firstColumn="0" w:lastColumn="0" w:oddVBand="0" w:evenVBand="0" w:oddHBand="0" w:evenHBand="0" w:firstRowFirstColumn="0" w:firstRowLastColumn="0" w:lastRowFirstColumn="0" w:lastRowLastColumn="0"/>
              <w:rPr>
                <w:noProof/>
              </w:rPr>
            </w:pPr>
            <w:r>
              <w:rPr>
                <w:noProof/>
              </w:rPr>
              <w:t>accroître l’efficacité de l’utilisation de l’eau, y compris la réduction des pertes et la promotion d’une utilisation circulaire de l’eau et d’une gestion durable des eaux pluviales urbaines;</w:t>
            </w:r>
          </w:p>
          <w:p w14:paraId="26095E71" w14:textId="77777777" w:rsidR="0023462A" w:rsidRDefault="00A550FA">
            <w:pPr>
              <w:pStyle w:val="P68B1DB1-ListParagraph42"/>
              <w:numPr>
                <w:ilvl w:val="0"/>
                <w:numId w:val="143"/>
              </w:numPr>
              <w:spacing w:after="120"/>
              <w:contextualSpacing w:val="0"/>
              <w:cnfStyle w:val="000000000000" w:firstRow="0" w:lastRow="0" w:firstColumn="0" w:lastColumn="0" w:oddVBand="0" w:evenVBand="0" w:oddHBand="0" w:evenHBand="0" w:firstRowFirstColumn="0" w:firstRowLastColumn="0" w:lastRowFirstColumn="0" w:lastRowLastColumn="0"/>
              <w:rPr>
                <w:noProof/>
              </w:rPr>
            </w:pPr>
            <w:r>
              <w:rPr>
                <w:noProof/>
              </w:rPr>
              <w:t>développer les compétences vertes dans le secteur de l’eau et les domaines connexes au moyen de mesures ciblées de formation et de renforcement des compétences, y compris au niveau local;</w:t>
            </w:r>
          </w:p>
          <w:p w14:paraId="5078CA1A" w14:textId="77777777" w:rsidR="0023462A" w:rsidRDefault="00A550FA">
            <w:pPr>
              <w:pStyle w:val="P68B1DB1-ListParagraph42"/>
              <w:numPr>
                <w:ilvl w:val="0"/>
                <w:numId w:val="143"/>
              </w:numPr>
              <w:spacing w:after="120"/>
              <w:contextualSpacing w:val="0"/>
              <w:cnfStyle w:val="000000000000" w:firstRow="0" w:lastRow="0" w:firstColumn="0" w:lastColumn="0" w:oddVBand="0" w:evenVBand="0" w:oddHBand="0" w:evenHBand="0" w:firstRowFirstColumn="0" w:firstRowLastColumn="0" w:lastRowFirstColumn="0" w:lastRowLastColumn="0"/>
              <w:rPr>
                <w:noProof/>
              </w:rPr>
            </w:pPr>
            <w:r>
              <w:rPr>
                <w:noProof/>
              </w:rPr>
              <w:t>élaborer un cadre de suivi et d’évaluation pour évaluer l’état quantitatif et qualitatif des masses d’eau souterraine et l’incidence des mesures de rétention d’eau.</w:t>
            </w:r>
          </w:p>
          <w:p w14:paraId="44EE2901" w14:textId="7806A092" w:rsidR="0023462A" w:rsidRDefault="00A550FA">
            <w:pPr>
              <w:pStyle w:val="P68B1DB1-ListParagraph42"/>
              <w:numPr>
                <w:ilvl w:val="0"/>
                <w:numId w:val="143"/>
              </w:numPr>
              <w:spacing w:after="120"/>
              <w:contextualSpacing w:val="0"/>
              <w:cnfStyle w:val="000000000000" w:firstRow="0" w:lastRow="0" w:firstColumn="0" w:lastColumn="0" w:oddVBand="0" w:evenVBand="0" w:oddHBand="0" w:evenHBand="0" w:firstRowFirstColumn="0" w:firstRowLastColumn="0" w:lastRowFirstColumn="0" w:lastRowLastColumn="0"/>
              <w:rPr>
                <w:noProof/>
              </w:rPr>
            </w:pPr>
            <w:r>
              <w:rPr>
                <w:noProof/>
              </w:rPr>
              <w:t>estimer les besoins financiers</w:t>
            </w:r>
          </w:p>
          <w:p w14:paraId="4813775B" w14:textId="77777777" w:rsidR="0023462A" w:rsidRDefault="00A550FA">
            <w:pPr>
              <w:pStyle w:val="P68B1DB1-ListParagraph42"/>
              <w:numPr>
                <w:ilvl w:val="0"/>
                <w:numId w:val="143"/>
              </w:numPr>
              <w:spacing w:after="120"/>
              <w:contextualSpacing w:val="0"/>
              <w:cnfStyle w:val="000000000000" w:firstRow="0" w:lastRow="0" w:firstColumn="0" w:lastColumn="0" w:oddVBand="0" w:evenVBand="0" w:oddHBand="0" w:evenHBand="0" w:firstRowFirstColumn="0" w:firstRowLastColumn="0" w:lastRowFirstColumn="0" w:lastRowLastColumn="0"/>
              <w:rPr>
                <w:noProof/>
              </w:rPr>
            </w:pPr>
            <w:r>
              <w:rPr>
                <w:noProof/>
              </w:rPr>
              <w:t>élaborer des recommandations pour les futures modifications législatives nécessaires à la mise en œuvre du plan d’action, sur la base d’une participation structurée des parties prenantes.</w:t>
            </w:r>
          </w:p>
          <w:p w14:paraId="04A33C88" w14:textId="4A66045F" w:rsidR="0023462A" w:rsidRDefault="00A550FA">
            <w:pPr>
              <w:pStyle w:val="P68B1DB1-Normal41"/>
              <w:spacing w:after="120"/>
              <w:cnfStyle w:val="000000000000" w:firstRow="0" w:lastRow="0" w:firstColumn="0" w:lastColumn="0" w:oddVBand="0" w:evenVBand="0" w:oddHBand="0" w:evenHBand="0" w:firstRowFirstColumn="0" w:firstRowLastColumn="0" w:lastRowFirstColumn="0" w:lastRowLastColumn="0"/>
              <w:rPr>
                <w:noProof/>
              </w:rPr>
            </w:pPr>
            <w:r>
              <w:rPr>
                <w:noProof/>
              </w:rPr>
              <w:t>Outre l’adoption du plan d’action, des activités de communication sont menées sur la gestion durable de l’eau.</w:t>
            </w:r>
          </w:p>
        </w:tc>
      </w:tr>
      <w:tr w:rsidR="00A52B72" w14:paraId="27A64AB6" w14:textId="77777777" w:rsidTr="009C289F">
        <w:trPr>
          <w:jc w:val="center"/>
        </w:trPr>
        <w:tc>
          <w:tcPr>
            <w:cnfStyle w:val="001000000000" w:firstRow="0" w:lastRow="0" w:firstColumn="1" w:lastColumn="0" w:oddVBand="0" w:evenVBand="0" w:oddHBand="0" w:evenHBand="0" w:firstRowFirstColumn="0" w:firstRowLastColumn="0" w:lastRowFirstColumn="0" w:lastRowLastColumn="0"/>
            <w:tcW w:w="1135" w:type="dxa"/>
            <w:shd w:val="clear" w:color="auto" w:fill="C6EFCE"/>
            <w:vAlign w:val="center"/>
          </w:tcPr>
          <w:p w14:paraId="18C26488" w14:textId="47286A93" w:rsidR="0023462A" w:rsidRDefault="00A550FA">
            <w:pPr>
              <w:pStyle w:val="P68B1DB1-Normal32"/>
              <w:spacing w:after="120"/>
              <w:rPr>
                <w:b w:val="0"/>
                <w:bCs w:val="0"/>
                <w:noProof/>
              </w:rPr>
            </w:pPr>
            <w:r>
              <w:rPr>
                <w:noProof/>
              </w:rPr>
              <w:t>17</w:t>
            </w:r>
          </w:p>
        </w:tc>
        <w:tc>
          <w:tcPr>
            <w:tcW w:w="1417" w:type="dxa"/>
            <w:shd w:val="clear" w:color="auto" w:fill="C6EFCE"/>
            <w:vAlign w:val="center"/>
          </w:tcPr>
          <w:p w14:paraId="74976150" w14:textId="30C66E2B"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C4.R1 Sensibilisation - eau</w:t>
            </w:r>
          </w:p>
        </w:tc>
        <w:tc>
          <w:tcPr>
            <w:tcW w:w="704" w:type="dxa"/>
            <w:shd w:val="clear" w:color="auto" w:fill="C6EFCE"/>
            <w:vAlign w:val="center"/>
          </w:tcPr>
          <w:p w14:paraId="6E7D24D5"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Objectif</w:t>
            </w:r>
          </w:p>
        </w:tc>
        <w:tc>
          <w:tcPr>
            <w:tcW w:w="992" w:type="dxa"/>
            <w:shd w:val="clear" w:color="auto" w:fill="C6EFCE"/>
            <w:vAlign w:val="center"/>
          </w:tcPr>
          <w:p w14:paraId="51FAF970" w14:textId="2736EF12" w:rsidR="0023462A" w:rsidRDefault="00A550FA">
            <w:pPr>
              <w:pStyle w:val="P68B1DB1-Normal41"/>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Nombre d’hectares d’interventions de rétention d’eau </w:t>
            </w:r>
          </w:p>
        </w:tc>
        <w:tc>
          <w:tcPr>
            <w:tcW w:w="1559" w:type="dxa"/>
            <w:shd w:val="clear" w:color="auto" w:fill="C6EFCE"/>
            <w:vAlign w:val="center"/>
          </w:tcPr>
          <w:p w14:paraId="2440137B"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 </w:t>
            </w:r>
          </w:p>
        </w:tc>
        <w:tc>
          <w:tcPr>
            <w:tcW w:w="1134" w:type="dxa"/>
            <w:shd w:val="clear" w:color="auto" w:fill="C6EFCE"/>
            <w:vAlign w:val="center"/>
          </w:tcPr>
          <w:p w14:paraId="49382EB3"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Nombre d'hectares</w:t>
            </w:r>
          </w:p>
        </w:tc>
        <w:tc>
          <w:tcPr>
            <w:tcW w:w="1423" w:type="dxa"/>
            <w:shd w:val="clear" w:color="auto" w:fill="C6EFCE"/>
            <w:vAlign w:val="center"/>
          </w:tcPr>
          <w:p w14:paraId="0B645AC7"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0</w:t>
            </w:r>
          </w:p>
        </w:tc>
        <w:tc>
          <w:tcPr>
            <w:tcW w:w="850" w:type="dxa"/>
            <w:shd w:val="clear" w:color="auto" w:fill="C6EFCE"/>
            <w:vAlign w:val="center"/>
          </w:tcPr>
          <w:p w14:paraId="23FB3E4A" w14:textId="7CBB8B21"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18 000</w:t>
            </w:r>
          </w:p>
        </w:tc>
        <w:tc>
          <w:tcPr>
            <w:tcW w:w="987" w:type="dxa"/>
            <w:shd w:val="clear" w:color="auto" w:fill="C6EFCE"/>
            <w:vAlign w:val="center"/>
          </w:tcPr>
          <w:p w14:paraId="789166FC" w14:textId="1589F93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T2</w:t>
            </w:r>
          </w:p>
        </w:tc>
        <w:tc>
          <w:tcPr>
            <w:tcW w:w="993" w:type="dxa"/>
            <w:shd w:val="clear" w:color="auto" w:fill="C6EFCE"/>
            <w:vAlign w:val="center"/>
          </w:tcPr>
          <w:p w14:paraId="7D28C409" w14:textId="692A6900"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069" w:type="dxa"/>
            <w:shd w:val="clear" w:color="auto" w:fill="C6EFCE"/>
            <w:vAlign w:val="center"/>
          </w:tcPr>
          <w:p w14:paraId="1FF57C17" w14:textId="3313E5C1" w:rsidR="0023462A" w:rsidRDefault="00A550FA">
            <w:pPr>
              <w:pStyle w:val="P68B1DB1-Normal41"/>
              <w:spacing w:after="120"/>
              <w:jc w:val="both"/>
              <w:cnfStyle w:val="000000000000" w:firstRow="0" w:lastRow="0" w:firstColumn="0" w:lastColumn="0" w:oddVBand="0" w:evenVBand="0" w:oddHBand="0" w:evenHBand="0" w:firstRowFirstColumn="0" w:firstRowLastColumn="0" w:lastRowFirstColumn="0" w:lastRowLastColumn="0"/>
              <w:rPr>
                <w:noProof/>
              </w:rPr>
            </w:pPr>
            <w:r>
              <w:rPr>
                <w:noProof/>
              </w:rPr>
              <w:t>Au moins 18 000 hectares de terres agricoles ont participé au programme «De l’eau au paysage», dans le cadre duquel des interventions contrôlées de rétention d’eau doivent être réalisées ou évaluées comme réalisables par l’autorité responsable de l’eau.</w:t>
            </w:r>
          </w:p>
        </w:tc>
      </w:tr>
      <w:tr w:rsidR="00A52B72" w14:paraId="66AA41B4" w14:textId="5A622652" w:rsidTr="009C289F">
        <w:trPr>
          <w:jc w:val="center"/>
        </w:trPr>
        <w:tc>
          <w:tcPr>
            <w:cnfStyle w:val="001000000000" w:firstRow="0" w:lastRow="0" w:firstColumn="1" w:lastColumn="0" w:oddVBand="0" w:evenVBand="0" w:oddHBand="0" w:evenHBand="0" w:firstRowFirstColumn="0" w:firstRowLastColumn="0" w:lastRowFirstColumn="0" w:lastRowLastColumn="0"/>
            <w:tcW w:w="1135" w:type="dxa"/>
            <w:shd w:val="clear" w:color="auto" w:fill="C6EFCE"/>
            <w:vAlign w:val="center"/>
          </w:tcPr>
          <w:p w14:paraId="289B1B1D" w14:textId="6DA7A1C3" w:rsidR="0023462A" w:rsidRDefault="00A550FA">
            <w:pPr>
              <w:pStyle w:val="P68B1DB1-Normal32"/>
              <w:spacing w:after="120"/>
              <w:rPr>
                <w:b w:val="0"/>
                <w:noProof/>
              </w:rPr>
            </w:pPr>
            <w:r>
              <w:rPr>
                <w:noProof/>
              </w:rPr>
              <w:t>18</w:t>
            </w:r>
          </w:p>
        </w:tc>
        <w:tc>
          <w:tcPr>
            <w:tcW w:w="1417" w:type="dxa"/>
            <w:shd w:val="clear" w:color="auto" w:fill="C6EFCE"/>
            <w:vAlign w:val="center"/>
          </w:tcPr>
          <w:p w14:paraId="616C014C" w14:textId="52F59E24"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C4.I1 Protection de la nature</w:t>
            </w:r>
          </w:p>
        </w:tc>
        <w:tc>
          <w:tcPr>
            <w:tcW w:w="704" w:type="dxa"/>
            <w:shd w:val="clear" w:color="auto" w:fill="C6EFCE"/>
            <w:vAlign w:val="center"/>
          </w:tcPr>
          <w:p w14:paraId="077AB1AE" w14:textId="5212D47F"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Étape</w:t>
            </w:r>
          </w:p>
        </w:tc>
        <w:tc>
          <w:tcPr>
            <w:tcW w:w="992" w:type="dxa"/>
            <w:shd w:val="clear" w:color="auto" w:fill="C6EFCE"/>
            <w:vAlign w:val="center"/>
          </w:tcPr>
          <w:p w14:paraId="08FF175D" w14:textId="121A935C" w:rsidR="0023462A" w:rsidRDefault="00A550FA">
            <w:pPr>
              <w:pStyle w:val="P68B1DB1-Normal41"/>
              <w:spacing w:after="120"/>
              <w:cnfStyle w:val="000000000000" w:firstRow="0" w:lastRow="0" w:firstColumn="0" w:lastColumn="0" w:oddVBand="0" w:evenVBand="0" w:oddHBand="0" w:evenHBand="0" w:firstRowFirstColumn="0" w:firstRowLastColumn="0" w:lastRowFirstColumn="0" w:lastRowLastColumn="0"/>
              <w:rPr>
                <w:noProof/>
              </w:rPr>
            </w:pPr>
            <w:r>
              <w:rPr>
                <w:noProof/>
              </w:rPr>
              <w:t>Livraison de la station de pompage de Kvassay – Phase 2</w:t>
            </w:r>
          </w:p>
        </w:tc>
        <w:tc>
          <w:tcPr>
            <w:tcW w:w="1559" w:type="dxa"/>
            <w:shd w:val="clear" w:color="auto" w:fill="C6EFCE"/>
            <w:vAlign w:val="center"/>
          </w:tcPr>
          <w:p w14:paraId="3D2FF246" w14:textId="29E216F3" w:rsidR="0023462A" w:rsidRDefault="00A550FA">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Mise en service de la station de pompage de Kvassay</w:t>
            </w:r>
          </w:p>
        </w:tc>
        <w:tc>
          <w:tcPr>
            <w:tcW w:w="1134" w:type="dxa"/>
            <w:shd w:val="clear" w:color="auto" w:fill="C6EFCE"/>
            <w:vAlign w:val="center"/>
          </w:tcPr>
          <w:p w14:paraId="736E36B3" w14:textId="621D2C27" w:rsidR="0023462A" w:rsidRDefault="0023462A">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423" w:type="dxa"/>
            <w:shd w:val="clear" w:color="auto" w:fill="C6EFCE"/>
            <w:vAlign w:val="center"/>
          </w:tcPr>
          <w:p w14:paraId="663577F9" w14:textId="1433B547" w:rsidR="0023462A" w:rsidRDefault="0023462A">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50" w:type="dxa"/>
            <w:shd w:val="clear" w:color="auto" w:fill="C6EFCE"/>
            <w:vAlign w:val="center"/>
          </w:tcPr>
          <w:p w14:paraId="2C486A8B" w14:textId="1EBE27DB" w:rsidR="0023462A" w:rsidRDefault="0023462A">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87" w:type="dxa"/>
            <w:shd w:val="clear" w:color="auto" w:fill="C6EFCE"/>
            <w:vAlign w:val="center"/>
          </w:tcPr>
          <w:p w14:paraId="712C1D3A" w14:textId="5EB1954E"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T2</w:t>
            </w:r>
          </w:p>
        </w:tc>
        <w:tc>
          <w:tcPr>
            <w:tcW w:w="993" w:type="dxa"/>
            <w:shd w:val="clear" w:color="auto" w:fill="C6EFCE"/>
            <w:vAlign w:val="center"/>
          </w:tcPr>
          <w:p w14:paraId="446A25E4" w14:textId="4637D65B"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069" w:type="dxa"/>
            <w:shd w:val="clear" w:color="auto" w:fill="C6EFCE"/>
            <w:vAlign w:val="center"/>
          </w:tcPr>
          <w:p w14:paraId="27AE5972" w14:textId="35DFE713" w:rsidR="0023462A" w:rsidRDefault="00A550FA">
            <w:pPr>
              <w:pStyle w:val="P68B1DB1-Normal41"/>
              <w:spacing w:after="120"/>
              <w:cnfStyle w:val="000000000000" w:firstRow="0" w:lastRow="0" w:firstColumn="0" w:lastColumn="0" w:oddVBand="0" w:evenVBand="0" w:oddHBand="0" w:evenHBand="0" w:firstRowFirstColumn="0" w:firstRowLastColumn="0" w:lastRowFirstColumn="0" w:lastRowLastColumn="0"/>
              <w:rPr>
                <w:noProof/>
              </w:rPr>
            </w:pPr>
            <w:r>
              <w:rPr>
                <w:noProof/>
              </w:rPr>
              <w:t>Mise en service de la structure d'aspiration côté Danube, des quatre pompes à hélice ainsi que de leurs équipements mécaniques et électriques, du système d'alimentation électrique à haute tension et du système de commande, constituant la deuxième phase du projet de station de pompage de Kvassay. Réalisation d'un examen environnemental préalable.</w:t>
            </w:r>
          </w:p>
        </w:tc>
      </w:tr>
      <w:tr w:rsidR="00A52B72" w14:paraId="73D5ABED" w14:textId="77777777" w:rsidTr="009C289F">
        <w:trPr>
          <w:trHeight w:val="60"/>
          <w:jc w:val="center"/>
        </w:trPr>
        <w:tc>
          <w:tcPr>
            <w:cnfStyle w:val="001000000000" w:firstRow="0" w:lastRow="0" w:firstColumn="1" w:lastColumn="0" w:oddVBand="0" w:evenVBand="0" w:oddHBand="0" w:evenHBand="0" w:firstRowFirstColumn="0" w:firstRowLastColumn="0" w:lastRowFirstColumn="0" w:lastRowLastColumn="0"/>
            <w:tcW w:w="1135" w:type="dxa"/>
            <w:shd w:val="clear" w:color="auto" w:fill="C6EFCE"/>
            <w:vAlign w:val="center"/>
          </w:tcPr>
          <w:p w14:paraId="13ED91DB" w14:textId="69B0A130" w:rsidR="0023462A" w:rsidRDefault="00A550FA">
            <w:pPr>
              <w:pStyle w:val="P68B1DB1-Normal32"/>
              <w:spacing w:after="120"/>
              <w:jc w:val="both"/>
              <w:rPr>
                <w:b w:val="0"/>
                <w:noProof/>
              </w:rPr>
            </w:pPr>
            <w:r>
              <w:rPr>
                <w:noProof/>
              </w:rPr>
              <w:t>19</w:t>
            </w:r>
          </w:p>
        </w:tc>
        <w:tc>
          <w:tcPr>
            <w:tcW w:w="1417" w:type="dxa"/>
            <w:shd w:val="clear" w:color="auto" w:fill="C6EFCE"/>
            <w:vAlign w:val="center"/>
          </w:tcPr>
          <w:p w14:paraId="1C0144FE" w14:textId="1D6E1248"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C4.R2 Réglementation interne de la transition vers une économie circulaire</w:t>
            </w:r>
          </w:p>
        </w:tc>
        <w:tc>
          <w:tcPr>
            <w:tcW w:w="704" w:type="dxa"/>
            <w:shd w:val="clear" w:color="auto" w:fill="C6EFCE"/>
            <w:vAlign w:val="center"/>
          </w:tcPr>
          <w:p w14:paraId="77C09438" w14:textId="2516895B" w:rsidR="0023462A" w:rsidRDefault="00A550FA">
            <w:pPr>
              <w:pStyle w:val="P68B1DB1-Normal32"/>
              <w:spacing w:after="120"/>
              <w:jc w:val="both"/>
              <w:cnfStyle w:val="000000000000" w:firstRow="0" w:lastRow="0" w:firstColumn="0" w:lastColumn="0" w:oddVBand="0" w:evenVBand="0" w:oddHBand="0" w:evenHBand="0" w:firstRowFirstColumn="0" w:firstRowLastColumn="0" w:lastRowFirstColumn="0" w:lastRowLastColumn="0"/>
              <w:rPr>
                <w:noProof/>
              </w:rPr>
            </w:pPr>
            <w:r>
              <w:rPr>
                <w:noProof/>
              </w:rPr>
              <w:t>Étape</w:t>
            </w:r>
          </w:p>
        </w:tc>
        <w:tc>
          <w:tcPr>
            <w:tcW w:w="992" w:type="dxa"/>
            <w:shd w:val="clear" w:color="auto" w:fill="C6EFCE"/>
            <w:vAlign w:val="center"/>
          </w:tcPr>
          <w:p w14:paraId="32032147" w14:textId="6CA022BA"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Entrée en vigueur du ou des actes juridiques nécessaires à la mise en œuvre des pratiques de gestion des déchets et adoption d’un plan national de gestion des déchets</w:t>
            </w:r>
          </w:p>
        </w:tc>
        <w:tc>
          <w:tcPr>
            <w:tcW w:w="1559" w:type="dxa"/>
            <w:shd w:val="clear" w:color="auto" w:fill="C6EFCE"/>
            <w:vAlign w:val="center"/>
          </w:tcPr>
          <w:p w14:paraId="3D20813A" w14:textId="56611C06" w:rsidR="0023462A" w:rsidRDefault="00A550FA">
            <w:pPr>
              <w:pStyle w:val="P68B1DB1-Normal32"/>
              <w:spacing w:after="120"/>
              <w:jc w:val="both"/>
              <w:cnfStyle w:val="000000000000" w:firstRow="0" w:lastRow="0" w:firstColumn="0" w:lastColumn="0" w:oddVBand="0" w:evenVBand="0" w:oddHBand="0" w:evenHBand="0" w:firstRowFirstColumn="0" w:firstRowLastColumn="0" w:lastRowFirstColumn="0" w:lastRowLastColumn="0"/>
              <w:rPr>
                <w:noProof/>
              </w:rPr>
            </w:pPr>
            <w:r>
              <w:rPr>
                <w:noProof/>
              </w:rPr>
              <w:t xml:space="preserve">Disposition des actes juridiques indiquant l’entrée en vigueur et l’adoption respectives d’un plan national de gestion des déchets </w:t>
            </w:r>
          </w:p>
        </w:tc>
        <w:tc>
          <w:tcPr>
            <w:tcW w:w="1134" w:type="dxa"/>
            <w:shd w:val="clear" w:color="auto" w:fill="C6EFCE"/>
            <w:vAlign w:val="center"/>
          </w:tcPr>
          <w:p w14:paraId="230A5F25" w14:textId="77777777" w:rsidR="0023462A" w:rsidRDefault="0023462A">
            <w:pPr>
              <w:spacing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423" w:type="dxa"/>
            <w:shd w:val="clear" w:color="auto" w:fill="C6EFCE"/>
            <w:vAlign w:val="center"/>
          </w:tcPr>
          <w:p w14:paraId="5FF0D672" w14:textId="77777777" w:rsidR="0023462A" w:rsidRDefault="0023462A">
            <w:pPr>
              <w:spacing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50" w:type="dxa"/>
            <w:shd w:val="clear" w:color="auto" w:fill="C6EFCE"/>
            <w:vAlign w:val="center"/>
          </w:tcPr>
          <w:p w14:paraId="355FC29C" w14:textId="77777777" w:rsidR="0023462A" w:rsidRDefault="0023462A">
            <w:pPr>
              <w:spacing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87" w:type="dxa"/>
            <w:shd w:val="clear" w:color="auto" w:fill="C6EFCE"/>
            <w:vAlign w:val="center"/>
          </w:tcPr>
          <w:p w14:paraId="35B9A36E" w14:textId="38248DBF" w:rsidR="0023462A" w:rsidRDefault="00A550FA">
            <w:pPr>
              <w:pStyle w:val="P68B1DB1-Normal32"/>
              <w:spacing w:after="120"/>
              <w:jc w:val="both"/>
              <w:cnfStyle w:val="000000000000" w:firstRow="0" w:lastRow="0" w:firstColumn="0" w:lastColumn="0" w:oddVBand="0" w:evenVBand="0" w:oddHBand="0" w:evenHBand="0" w:firstRowFirstColumn="0" w:firstRowLastColumn="0" w:lastRowFirstColumn="0" w:lastRowLastColumn="0"/>
              <w:rPr>
                <w:noProof/>
              </w:rPr>
            </w:pPr>
            <w:r>
              <w:rPr>
                <w:noProof/>
              </w:rPr>
              <w:t>T2</w:t>
            </w:r>
          </w:p>
        </w:tc>
        <w:tc>
          <w:tcPr>
            <w:tcW w:w="993" w:type="dxa"/>
            <w:shd w:val="clear" w:color="auto" w:fill="C6EFCE"/>
            <w:vAlign w:val="center"/>
          </w:tcPr>
          <w:p w14:paraId="2DBF74C0" w14:textId="6D5EB406" w:rsidR="0023462A" w:rsidRDefault="00A550FA">
            <w:pPr>
              <w:pStyle w:val="P68B1DB1-Normal32"/>
              <w:spacing w:after="120"/>
              <w:jc w:val="both"/>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069" w:type="dxa"/>
            <w:shd w:val="clear" w:color="auto" w:fill="C6EFCE"/>
            <w:vAlign w:val="center"/>
          </w:tcPr>
          <w:p w14:paraId="209C7FC1"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rFonts w:eastAsiaTheme="minorHAnsi"/>
                <w:noProof/>
              </w:rPr>
            </w:pPr>
            <w:r>
              <w:rPr>
                <w:noProof/>
              </w:rPr>
              <w:t xml:space="preserve">Entrée en vigueur du ou des actes juridiques régissant respectivement les éléments suivants: </w:t>
            </w:r>
          </w:p>
          <w:p w14:paraId="2EDDC643" w14:textId="59A8D8A0" w:rsidR="0023462A" w:rsidRDefault="00A550FA">
            <w:pPr>
              <w:pStyle w:val="P68B1DB1-ListParagraph43"/>
              <w:numPr>
                <w:ilvl w:val="0"/>
                <w:numId w:val="10"/>
              </w:numPr>
              <w:spacing w:after="120"/>
              <w:contextualSpacing w:val="0"/>
              <w:cnfStyle w:val="000000000000" w:firstRow="0" w:lastRow="0" w:firstColumn="0" w:lastColumn="0" w:oddVBand="0" w:evenVBand="0" w:oddHBand="0" w:evenHBand="0" w:firstRowFirstColumn="0" w:firstRowLastColumn="0" w:lastRowFirstColumn="0" w:lastRowLastColumn="0"/>
              <w:rPr>
                <w:noProof/>
              </w:rPr>
            </w:pPr>
            <w:r>
              <w:rPr>
                <w:noProof/>
              </w:rPr>
              <w:t>La mise en place et les règles régissant le système de consigne pour les bouteilles de boissons;</w:t>
            </w:r>
          </w:p>
          <w:p w14:paraId="17BF1514" w14:textId="65E8D60D" w:rsidR="0023462A" w:rsidRDefault="00A550FA">
            <w:pPr>
              <w:pStyle w:val="P68B1DB1-ListParagraph43"/>
              <w:numPr>
                <w:ilvl w:val="0"/>
                <w:numId w:val="10"/>
              </w:numPr>
              <w:spacing w:after="120"/>
              <w:contextualSpacing w:val="0"/>
              <w:cnfStyle w:val="000000000000" w:firstRow="0" w:lastRow="0" w:firstColumn="0" w:lastColumn="0" w:oddVBand="0" w:evenVBand="0" w:oddHBand="0" w:evenHBand="0" w:firstRowFirstColumn="0" w:firstRowLastColumn="0" w:lastRowFirstColumn="0" w:lastRowLastColumn="0"/>
              <w:rPr>
                <w:noProof/>
              </w:rPr>
            </w:pPr>
            <w:r>
              <w:rPr>
                <w:noProof/>
              </w:rPr>
              <w:t>la réduction de l’incidence environnementale de certains produits en plastique (y compris les mesures concernant les produits en plastique à usage unique);</w:t>
            </w:r>
          </w:p>
          <w:p w14:paraId="18985A7D" w14:textId="77777777" w:rsidR="0023462A" w:rsidRDefault="00A550FA">
            <w:pPr>
              <w:pStyle w:val="P68B1DB1-ListParagraph43"/>
              <w:numPr>
                <w:ilvl w:val="0"/>
                <w:numId w:val="10"/>
              </w:numPr>
              <w:spacing w:after="120"/>
              <w:contextualSpacing w:val="0"/>
              <w:cnfStyle w:val="000000000000" w:firstRow="0" w:lastRow="0" w:firstColumn="0" w:lastColumn="0" w:oddVBand="0" w:evenVBand="0" w:oddHBand="0" w:evenHBand="0" w:firstRowFirstColumn="0" w:firstRowLastColumn="0" w:lastRowFirstColumn="0" w:lastRowLastColumn="0"/>
              <w:rPr>
                <w:noProof/>
              </w:rPr>
            </w:pPr>
            <w:r>
              <w:rPr>
                <w:noProof/>
              </w:rPr>
              <w:t>les règles relatives à la responsabilité élargie des producteurs;</w:t>
            </w:r>
          </w:p>
          <w:p w14:paraId="10C4CD37" w14:textId="6D674EA7" w:rsidR="0023462A" w:rsidRDefault="00A550FA">
            <w:pPr>
              <w:pStyle w:val="P68B1DB1-ListParagraph43"/>
              <w:numPr>
                <w:ilvl w:val="0"/>
                <w:numId w:val="10"/>
              </w:numPr>
              <w:spacing w:after="120"/>
              <w:contextualSpacing w:val="0"/>
              <w:cnfStyle w:val="000000000000" w:firstRow="0" w:lastRow="0" w:firstColumn="0" w:lastColumn="0" w:oddVBand="0" w:evenVBand="0" w:oddHBand="0" w:evenHBand="0" w:firstRowFirstColumn="0" w:firstRowLastColumn="0" w:lastRowFirstColumn="0" w:lastRowLastColumn="0"/>
              <w:rPr>
                <w:noProof/>
              </w:rPr>
            </w:pPr>
            <w:r>
              <w:rPr>
                <w:noProof/>
              </w:rPr>
              <w:t xml:space="preserve">L'enlèvement des déchets abandonnés des biens immobiliers et leur transport jusqu'au lieu de traitement des déchets. </w:t>
            </w:r>
          </w:p>
          <w:p w14:paraId="24EEAFA9" w14:textId="652D29A3"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Adoption d’un plan national de gestion des déchets établissant un cadre pour la transition vers une économie circulaire et la prévention des déchets.</w:t>
            </w:r>
          </w:p>
        </w:tc>
      </w:tr>
      <w:tr w:rsidR="00A52B72" w14:paraId="24EFBC44" w14:textId="77777777" w:rsidTr="009C289F">
        <w:trPr>
          <w:trHeight w:val="60"/>
          <w:jc w:val="center"/>
        </w:trPr>
        <w:tc>
          <w:tcPr>
            <w:cnfStyle w:val="001000000000" w:firstRow="0" w:lastRow="0" w:firstColumn="1" w:lastColumn="0" w:oddVBand="0" w:evenVBand="0" w:oddHBand="0" w:evenHBand="0" w:firstRowFirstColumn="0" w:firstRowLastColumn="0" w:lastRowFirstColumn="0" w:lastRowLastColumn="0"/>
            <w:tcW w:w="1135" w:type="dxa"/>
            <w:shd w:val="clear" w:color="auto" w:fill="C6EFCE"/>
            <w:vAlign w:val="center"/>
          </w:tcPr>
          <w:p w14:paraId="44C3655B" w14:textId="10A33BF1" w:rsidR="0023462A" w:rsidRDefault="00A550FA">
            <w:pPr>
              <w:pStyle w:val="P68B1DB1-Normal32"/>
              <w:spacing w:after="120"/>
              <w:jc w:val="both"/>
              <w:rPr>
                <w:b w:val="0"/>
                <w:noProof/>
              </w:rPr>
            </w:pPr>
            <w:r>
              <w:rPr>
                <w:noProof/>
              </w:rPr>
              <w:t>20</w:t>
            </w:r>
          </w:p>
        </w:tc>
        <w:tc>
          <w:tcPr>
            <w:tcW w:w="1417" w:type="dxa"/>
            <w:shd w:val="clear" w:color="auto" w:fill="C6EFCE"/>
            <w:vAlign w:val="center"/>
          </w:tcPr>
          <w:p w14:paraId="1714395D" w14:textId="4A34FDCB"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C4.R3: Plan d'action pour les activités locales de sensibilisation </w:t>
            </w:r>
          </w:p>
        </w:tc>
        <w:tc>
          <w:tcPr>
            <w:tcW w:w="704" w:type="dxa"/>
            <w:shd w:val="clear" w:color="auto" w:fill="C6EFCE"/>
            <w:vAlign w:val="center"/>
          </w:tcPr>
          <w:p w14:paraId="7DE96E70" w14:textId="05BF23B5" w:rsidR="0023462A" w:rsidRDefault="00A550FA">
            <w:pPr>
              <w:pStyle w:val="P68B1DB1-Normal32"/>
              <w:spacing w:after="120"/>
              <w:jc w:val="both"/>
              <w:cnfStyle w:val="000000000000" w:firstRow="0" w:lastRow="0" w:firstColumn="0" w:lastColumn="0" w:oddVBand="0" w:evenVBand="0" w:oddHBand="0" w:evenHBand="0" w:firstRowFirstColumn="0" w:firstRowLastColumn="0" w:lastRowFirstColumn="0" w:lastRowLastColumn="0"/>
              <w:rPr>
                <w:noProof/>
              </w:rPr>
            </w:pPr>
            <w:r>
              <w:rPr>
                <w:noProof/>
              </w:rPr>
              <w:t>Étape</w:t>
            </w:r>
          </w:p>
        </w:tc>
        <w:tc>
          <w:tcPr>
            <w:tcW w:w="992" w:type="dxa"/>
            <w:shd w:val="clear" w:color="auto" w:fill="C6EFCE"/>
            <w:vAlign w:val="center"/>
          </w:tcPr>
          <w:p w14:paraId="7F3EADBA" w14:textId="613F4B5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Adoption d'un plan d'action national en matière de communication</w:t>
            </w:r>
          </w:p>
        </w:tc>
        <w:tc>
          <w:tcPr>
            <w:tcW w:w="1559" w:type="dxa"/>
            <w:shd w:val="clear" w:color="auto" w:fill="C6EFCE"/>
            <w:vAlign w:val="center"/>
          </w:tcPr>
          <w:p w14:paraId="229BC044" w14:textId="0A85CD4A" w:rsidR="0023462A" w:rsidRDefault="00A550FA">
            <w:pPr>
              <w:pStyle w:val="P68B1DB1-Normal32"/>
              <w:spacing w:after="120"/>
              <w:jc w:val="both"/>
              <w:cnfStyle w:val="000000000000" w:firstRow="0" w:lastRow="0" w:firstColumn="0" w:lastColumn="0" w:oddVBand="0" w:evenVBand="0" w:oddHBand="0" w:evenHBand="0" w:firstRowFirstColumn="0" w:firstRowLastColumn="0" w:lastRowFirstColumn="0" w:lastRowLastColumn="0"/>
              <w:rPr>
                <w:noProof/>
              </w:rPr>
            </w:pPr>
            <w:r>
              <w:rPr>
                <w:noProof/>
              </w:rPr>
              <w:t>Adoption d'un plan d'action national en matière de communication</w:t>
            </w:r>
          </w:p>
        </w:tc>
        <w:tc>
          <w:tcPr>
            <w:tcW w:w="1134" w:type="dxa"/>
            <w:shd w:val="clear" w:color="auto" w:fill="C6EFCE"/>
            <w:vAlign w:val="center"/>
          </w:tcPr>
          <w:p w14:paraId="4C2BC8BE" w14:textId="77777777" w:rsidR="0023462A" w:rsidRDefault="0023462A">
            <w:pPr>
              <w:spacing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423" w:type="dxa"/>
            <w:shd w:val="clear" w:color="auto" w:fill="C6EFCE"/>
            <w:vAlign w:val="center"/>
          </w:tcPr>
          <w:p w14:paraId="46C10B46" w14:textId="77777777" w:rsidR="0023462A" w:rsidRDefault="0023462A">
            <w:pPr>
              <w:spacing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50" w:type="dxa"/>
            <w:shd w:val="clear" w:color="auto" w:fill="C6EFCE"/>
            <w:vAlign w:val="center"/>
          </w:tcPr>
          <w:p w14:paraId="76DA45A2" w14:textId="77777777" w:rsidR="0023462A" w:rsidRDefault="0023462A">
            <w:pPr>
              <w:spacing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87" w:type="dxa"/>
            <w:shd w:val="clear" w:color="auto" w:fill="C6EFCE"/>
            <w:vAlign w:val="center"/>
          </w:tcPr>
          <w:p w14:paraId="2EAE4373" w14:textId="543A2AB0" w:rsidR="0023462A" w:rsidRDefault="00A550FA">
            <w:pPr>
              <w:pStyle w:val="P68B1DB1-Normal32"/>
              <w:spacing w:after="120"/>
              <w:jc w:val="both"/>
              <w:cnfStyle w:val="000000000000" w:firstRow="0" w:lastRow="0" w:firstColumn="0" w:lastColumn="0" w:oddVBand="0" w:evenVBand="0" w:oddHBand="0" w:evenHBand="0" w:firstRowFirstColumn="0" w:firstRowLastColumn="0" w:lastRowFirstColumn="0" w:lastRowLastColumn="0"/>
              <w:rPr>
                <w:noProof/>
              </w:rPr>
            </w:pPr>
            <w:r>
              <w:rPr>
                <w:noProof/>
              </w:rPr>
              <w:t>T2</w:t>
            </w:r>
          </w:p>
        </w:tc>
        <w:tc>
          <w:tcPr>
            <w:tcW w:w="993" w:type="dxa"/>
            <w:shd w:val="clear" w:color="auto" w:fill="C6EFCE"/>
            <w:vAlign w:val="center"/>
          </w:tcPr>
          <w:p w14:paraId="6E5E6652" w14:textId="568472DC" w:rsidR="0023462A" w:rsidRDefault="00A550FA">
            <w:pPr>
              <w:pStyle w:val="P68B1DB1-Normal32"/>
              <w:spacing w:after="120"/>
              <w:jc w:val="both"/>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069" w:type="dxa"/>
            <w:shd w:val="clear" w:color="auto" w:fill="C6EFCE"/>
            <w:vAlign w:val="center"/>
          </w:tcPr>
          <w:p w14:paraId="368845EF" w14:textId="64DF2349"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Adoption du plan d'action national de communication fournissant un cadre de communication pour informer le grand public sur les niveaux supérieurs de hiérarchie des déchets. </w:t>
            </w:r>
          </w:p>
        </w:tc>
      </w:tr>
    </w:tbl>
    <w:p w14:paraId="70782E2B" w14:textId="77777777" w:rsidR="0023462A" w:rsidRDefault="0023462A">
      <w:pPr>
        <w:spacing w:after="120" w:line="240" w:lineRule="auto"/>
        <w:rPr>
          <w:rFonts w:ascii="Times New Roman" w:hAnsi="Times New Roman" w:cs="Times New Roman"/>
          <w:noProof/>
          <w:sz w:val="24"/>
          <w:szCs w:val="24"/>
        </w:rPr>
        <w:sectPr w:rsidR="0023462A" w:rsidSect="009030B8">
          <w:headerReference w:type="even" r:id="rId60"/>
          <w:headerReference w:type="default" r:id="rId61"/>
          <w:footerReference w:type="even" r:id="rId62"/>
          <w:footerReference w:type="default" r:id="rId63"/>
          <w:headerReference w:type="first" r:id="rId64"/>
          <w:footerReference w:type="first" r:id="rId65"/>
          <w:pgSz w:w="16839" w:h="11907" w:orient="landscape"/>
          <w:pgMar w:top="1134" w:right="1134" w:bottom="1134" w:left="1134" w:header="567" w:footer="567" w:gutter="0"/>
          <w:cols w:space="708"/>
          <w:docGrid w:linePitch="360"/>
        </w:sectPr>
      </w:pPr>
    </w:p>
    <w:p w14:paraId="4D901218" w14:textId="3BE2F0C6" w:rsidR="0023462A" w:rsidRDefault="00A550FA">
      <w:pPr>
        <w:pStyle w:val="P68B1DB1-Normal44"/>
        <w:keepNext/>
        <w:spacing w:after="120" w:line="240" w:lineRule="auto"/>
        <w:jc w:val="both"/>
        <w:outlineLvl w:val="1"/>
        <w:rPr>
          <w:noProof/>
        </w:rPr>
      </w:pPr>
      <w:r>
        <w:rPr>
          <w:noProof/>
        </w:rPr>
        <w:t xml:space="preserve">E. Élément 5: TRANSPORTS VERTS DURABLES </w:t>
      </w:r>
    </w:p>
    <w:p w14:paraId="13168420" w14:textId="7AE16863" w:rsidR="0023462A" w:rsidRDefault="00A550FA">
      <w:pPr>
        <w:pStyle w:val="P68B1DB1-Text145"/>
        <w:keepNext w:val="0"/>
        <w:spacing w:before="0" w:after="120" w:line="240" w:lineRule="auto"/>
        <w:rPr>
          <w:noProof/>
        </w:rPr>
      </w:pPr>
      <w:r>
        <w:rPr>
          <w:noProof/>
        </w:rPr>
        <w:t>Ce volet du plan hongrois pour la reprise et la résilience répond à la nécessité de renforcer la contribution du secteur des transports à la réduction des émissions de gaz à effet de serre et de polluants, d’accélérer la modernisation du réseau de transport et du matériel roulant, d’accroître l’attractivité des modes de transport durables, en particulier les transports publics, et d’améliorer la cohésion sociale et territoriale.</w:t>
      </w:r>
    </w:p>
    <w:p w14:paraId="61D769CF" w14:textId="18B701D2" w:rsidR="0023462A" w:rsidRDefault="00A550FA">
      <w:pPr>
        <w:pStyle w:val="P68B1DB1-Text146"/>
        <w:keepNext w:val="0"/>
        <w:spacing w:before="0" w:after="120" w:line="240" w:lineRule="auto"/>
        <w:rPr>
          <w:noProof/>
        </w:rPr>
      </w:pPr>
      <w:r>
        <w:rPr>
          <w:noProof/>
        </w:rPr>
        <w:t>L’objectif de ce volet est de promouvoir la mobilité durable, de renforcer les transports publics à faible intensité de carbone, de réduire les externalités négatives des transports (en particulier la congestion et les émissions) et de fournir des modes de transport accessibles, principalement par un renforcement des infrastructures et des véhicules de transport public. Les mesures de ce volet devraient conduire à une réduction des émissions dues aux transports en encourageant l’utilisation de modes de transport urbains et suburbains respectueux de l’environnement et, plus généralement, en renforçant les alternatives aux voitures particulières. Les transports publics devraient être rendus plus attrayants, ce qui conduirait un plus grand nombre d'utilisateurs à passer de la voiture privée aux transports publics. Une infrastructure ferroviaire plus robuste devrait également faciliter le transfert modal du fret. À cette fin, ce volet comprend des réformes et des investissements qui promeuvent le transport durable grâce à la modernisation d’importantes lignes ferroviaires, à l’achat d’autobus et de tramways à émissions nulles pour les transports publics, à l’amélioration de la surveillance du marché ferroviaire et à l’introduction d’une législation relative aux tarifs des transports publics. Le volet comprend également la création d’une société du matériel roulant (ROSCO) afin de catalyser le renouvellement du matériel roulant hongrois et de jeter les bases d’une gestion plus efficace des services ferroviaires.</w:t>
      </w:r>
    </w:p>
    <w:p w14:paraId="42B46115" w14:textId="342129BC" w:rsidR="0023462A" w:rsidRDefault="00A550FA">
      <w:pPr>
        <w:pStyle w:val="P68B1DB1-Text146"/>
        <w:keepNext w:val="0"/>
        <w:spacing w:before="0" w:after="120" w:line="240" w:lineRule="auto"/>
        <w:rPr>
          <w:noProof/>
        </w:rPr>
      </w:pPr>
      <w:r>
        <w:rPr>
          <w:noProof/>
        </w:rPr>
        <w:t>Ce volet contribue à donner suite aux recommandations par pays visant à axer la politique économique liée aux investissements sur les infrastructures de transport, en tenant compte des disparités régionales, et à concentrer les investissements sur la transition écologique, en particulier les transports durables (recommandation par pays no 3 en 2019 et 2020) et sur la réduction de la dépendance à l’égard des combustibles fossiles dans les transports en intensifiant les efforts en matière d’efficacité énergétique, en particulier par l’électrification (recommandation par pays no 6 en 2022).</w:t>
      </w:r>
    </w:p>
    <w:p w14:paraId="0EC5F1F8" w14:textId="35FD50DB" w:rsidR="0023462A" w:rsidRDefault="00A550FA">
      <w:pPr>
        <w:pStyle w:val="P68B1DB1-Text145"/>
        <w:keepNext w:val="0"/>
        <w:spacing w:before="0" w:after="120" w:line="240" w:lineRule="auto"/>
        <w:rPr>
          <w:noProof/>
        </w:rPr>
      </w:pPr>
      <w:r>
        <w:rPr>
          <w:noProof/>
        </w:rPr>
        <w:t xml:space="preserve">Aucune mesure relevant de cette composante ne devrait causer de préjudice important aux objectifs environnementaux au sens de l’article 17 du règlement (UE) 2020/852, compte tenu de la description des mesures et des mesures d’atténuation énoncées dans le plan conformément aux orientations techniques DNSH (2021/C58/01). </w:t>
      </w:r>
    </w:p>
    <w:p w14:paraId="5AE06B2B" w14:textId="77777777" w:rsidR="0023462A" w:rsidRDefault="00A550FA">
      <w:pPr>
        <w:pStyle w:val="P68B1DB1-Heading310"/>
        <w:spacing w:before="0" w:after="120"/>
        <w:rPr>
          <w:noProof/>
        </w:rPr>
      </w:pPr>
      <w:r>
        <w:rPr>
          <w:noProof/>
        </w:rPr>
        <w:t xml:space="preserve">E.1. </w:t>
      </w:r>
      <w:r>
        <w:rPr>
          <w:noProof/>
        </w:rPr>
        <w:tab/>
        <w:t>Description des réformes et des investissements pour le soutien financier non remboursable</w:t>
      </w:r>
    </w:p>
    <w:p w14:paraId="608D40E4" w14:textId="314AFFF8" w:rsidR="0023462A" w:rsidRDefault="00A550FA">
      <w:pPr>
        <w:pStyle w:val="P68B1DB1-Heading411"/>
        <w:spacing w:before="0" w:after="120" w:line="240" w:lineRule="auto"/>
        <w:rPr>
          <w:noProof/>
        </w:rPr>
      </w:pPr>
      <w:r>
        <w:rPr>
          <w:noProof/>
        </w:rPr>
        <w:t xml:space="preserve">C5.I1 : Développement d'une ligne de chemin de fer de banlieue </w:t>
      </w:r>
    </w:p>
    <w:p w14:paraId="6EEBC786" w14:textId="360E11D1" w:rsidR="0023462A" w:rsidRDefault="00A550FA">
      <w:pPr>
        <w:pStyle w:val="P68B1DB1-Normal12"/>
        <w:spacing w:after="120" w:line="240" w:lineRule="auto"/>
        <w:jc w:val="both"/>
        <w:rPr>
          <w:rFonts w:ascii="Times New Roman" w:hAnsi="Times New Roman" w:cs="Times New Roman"/>
          <w:b/>
          <w:bCs/>
          <w:noProof/>
          <w:szCs w:val="24"/>
        </w:rPr>
      </w:pPr>
      <w:r>
        <w:rPr>
          <w:rFonts w:ascii="Times New Roman" w:hAnsi="Times New Roman"/>
          <w:noProof/>
        </w:rPr>
        <w:t xml:space="preserve">L’objectif de la mesure est d’orienter le trafic vers des modes à faibles émissions de CO2. </w:t>
      </w:r>
      <w:r>
        <w:rPr>
          <w:rFonts w:ascii="Times New Roman" w:hAnsi="Times New Roman"/>
          <w:noProof/>
          <w:szCs w:val="20"/>
        </w:rPr>
        <w:t xml:space="preserve">La </w:t>
      </w:r>
      <w:r>
        <w:rPr>
          <w:rFonts w:ascii="Times New Roman" w:hAnsi="Times New Roman"/>
          <w:noProof/>
        </w:rPr>
        <w:t xml:space="preserve">mesure </w:t>
      </w:r>
      <w:r>
        <w:rPr>
          <w:rFonts w:ascii="Times New Roman" w:hAnsi="Times New Roman" w:cs="Times New Roman"/>
          <w:noProof/>
          <w:szCs w:val="24"/>
        </w:rPr>
        <w:t>consiste</w:t>
      </w:r>
      <w:r>
        <w:rPr>
          <w:rFonts w:ascii="Times New Roman" w:hAnsi="Times New Roman"/>
          <w:noProof/>
          <w:szCs w:val="20"/>
        </w:rPr>
        <w:t xml:space="preserve"> en des </w:t>
      </w:r>
      <w:r>
        <w:rPr>
          <w:rFonts w:ascii="Times New Roman" w:hAnsi="Times New Roman"/>
          <w:noProof/>
        </w:rPr>
        <w:t>travaux sur un tronçon</w:t>
      </w:r>
      <w:r>
        <w:rPr>
          <w:rFonts w:ascii="Times New Roman" w:hAnsi="Times New Roman"/>
          <w:noProof/>
          <w:szCs w:val="20"/>
        </w:rPr>
        <w:t xml:space="preserve"> de chemin de fer.</w:t>
      </w:r>
    </w:p>
    <w:p w14:paraId="2587BDAF" w14:textId="215E3112" w:rsidR="0023462A" w:rsidRDefault="00A550FA">
      <w:pPr>
        <w:pStyle w:val="P68B1DB1-Heading411"/>
        <w:spacing w:before="0" w:after="120" w:line="240" w:lineRule="auto"/>
        <w:rPr>
          <w:rFonts w:eastAsiaTheme="minorHAnsi"/>
          <w:noProof/>
        </w:rPr>
      </w:pPr>
      <w:r>
        <w:rPr>
          <w:noProof/>
        </w:rPr>
        <w:t>C5.I2 : Commutation de la congestion du réseau ferroviaire sur le corridor RTE-T</w:t>
      </w:r>
    </w:p>
    <w:p w14:paraId="4B074032" w14:textId="3502211F" w:rsidR="0023462A" w:rsidRDefault="00A550FA">
      <w:pPr>
        <w:pStyle w:val="P68B1DB1-Text147"/>
        <w:keepNext w:val="0"/>
        <w:spacing w:before="0" w:after="120" w:line="240" w:lineRule="auto"/>
        <w:rPr>
          <w:rFonts w:ascii="Times New Roman" w:hAnsi="Times New Roman"/>
          <w:noProof/>
        </w:rPr>
      </w:pPr>
      <w:r>
        <w:rPr>
          <w:rFonts w:ascii="Times New Roman" w:hAnsi="Times New Roman"/>
          <w:noProof/>
        </w:rPr>
        <w:t xml:space="preserve">L’objectif de la mesure est d’orienter le trafic vers des modes à faibles émissions de CO2 et d’améliorer l’utilisation du transport de marchandises et de passagers sur de longues distances. La mesure </w:t>
      </w:r>
      <w:r>
        <w:rPr>
          <w:rFonts w:ascii="Times New Roman" w:hAnsi="Times New Roman" w:cs="Times New Roman"/>
          <w:noProof/>
          <w:szCs w:val="24"/>
        </w:rPr>
        <w:t>consiste</w:t>
      </w:r>
      <w:r>
        <w:rPr>
          <w:rFonts w:ascii="Times New Roman" w:hAnsi="Times New Roman"/>
          <w:noProof/>
        </w:rPr>
        <w:t xml:space="preserve"> en des travaux sur un tronçon de chemin de fer. </w:t>
      </w:r>
    </w:p>
    <w:p w14:paraId="0F942B14" w14:textId="77777777" w:rsidR="0023462A" w:rsidRDefault="00A550FA">
      <w:pPr>
        <w:pStyle w:val="P68B1DB1-Heading411"/>
        <w:spacing w:before="0" w:after="120" w:line="240" w:lineRule="auto"/>
        <w:rPr>
          <w:rFonts w:eastAsiaTheme="minorHAnsi"/>
          <w:noProof/>
        </w:rPr>
      </w:pPr>
      <w:r>
        <w:rPr>
          <w:noProof/>
        </w:rPr>
        <w:t>C5.I3 : Développement du transport par autobus à émissions nulles</w:t>
      </w:r>
    </w:p>
    <w:p w14:paraId="42455184" w14:textId="643FF036" w:rsidR="0023462A" w:rsidRDefault="00A550FA">
      <w:pPr>
        <w:pStyle w:val="P68B1DB1-Text146"/>
        <w:keepNext w:val="0"/>
        <w:spacing w:before="0" w:after="120" w:line="240" w:lineRule="auto"/>
        <w:rPr>
          <w:noProof/>
        </w:rPr>
      </w:pPr>
      <w:r>
        <w:rPr>
          <w:noProof/>
        </w:rPr>
        <w:t xml:space="preserve">L’objectif de la mesure est de renouveler et de décarboner le parc de transports publics en Hongrie grâce à la mise à disposition d’autobus à émissions nulles. </w:t>
      </w:r>
    </w:p>
    <w:p w14:paraId="5ED2BA7A" w14:textId="3A3E0427" w:rsidR="0023462A" w:rsidRDefault="00A550FA">
      <w:pPr>
        <w:pStyle w:val="P68B1DB1-Normal34"/>
        <w:spacing w:after="120" w:line="240" w:lineRule="auto"/>
        <w:jc w:val="both"/>
        <w:rPr>
          <w:noProof/>
        </w:rPr>
      </w:pPr>
      <w:r>
        <w:rPr>
          <w:noProof/>
        </w:rPr>
        <w:t xml:space="preserve">La mesure consiste en la livraison de 187 bus à émissions nulles/électriques. </w:t>
      </w:r>
    </w:p>
    <w:p w14:paraId="0E09547E" w14:textId="78323224" w:rsidR="0023462A" w:rsidRDefault="00A550FA">
      <w:pPr>
        <w:pStyle w:val="P68B1DB1-Heading411"/>
        <w:spacing w:before="0" w:after="120" w:line="240" w:lineRule="auto"/>
        <w:rPr>
          <w:rFonts w:eastAsiaTheme="minorHAnsi"/>
          <w:noProof/>
        </w:rPr>
      </w:pPr>
      <w:r>
        <w:rPr>
          <w:noProof/>
        </w:rPr>
        <w:t xml:space="preserve">C5.I4 : Développement d'un système de tramway et de trolleybus </w:t>
      </w:r>
    </w:p>
    <w:p w14:paraId="7197F515" w14:textId="38BA9773" w:rsidR="0023462A" w:rsidRDefault="00A550FA">
      <w:pPr>
        <w:pStyle w:val="P68B1DB1-Normal12"/>
        <w:spacing w:after="120" w:line="240" w:lineRule="auto"/>
        <w:jc w:val="both"/>
        <w:rPr>
          <w:rFonts w:ascii="Times New Roman" w:hAnsi="Times New Roman" w:cs="Times New Roman"/>
          <w:noProof/>
          <w:szCs w:val="24"/>
        </w:rPr>
      </w:pPr>
      <w:r>
        <w:rPr>
          <w:rFonts w:ascii="Times New Roman" w:hAnsi="Times New Roman"/>
          <w:noProof/>
          <w:szCs w:val="20"/>
        </w:rPr>
        <w:t xml:space="preserve">L’objectif de la </w:t>
      </w:r>
      <w:r>
        <w:rPr>
          <w:rFonts w:ascii="Times New Roman" w:hAnsi="Times New Roman"/>
          <w:noProof/>
        </w:rPr>
        <w:t>mesure</w:t>
      </w:r>
      <w:r>
        <w:rPr>
          <w:rFonts w:ascii="Times New Roman" w:hAnsi="Times New Roman"/>
          <w:noProof/>
          <w:szCs w:val="20"/>
        </w:rPr>
        <w:t xml:space="preserve"> est d’améliorer les infrastructures de transport.</w:t>
      </w:r>
      <w:r>
        <w:rPr>
          <w:rFonts w:ascii="Times New Roman" w:hAnsi="Times New Roman" w:cs="Times New Roman"/>
          <w:noProof/>
          <w:szCs w:val="24"/>
        </w:rPr>
        <w:t xml:space="preserve"> </w:t>
      </w:r>
    </w:p>
    <w:p w14:paraId="6BB16761" w14:textId="6303F656" w:rsidR="0023462A" w:rsidRDefault="00A550FA">
      <w:pPr>
        <w:pStyle w:val="P68B1DB1-Normal36"/>
        <w:spacing w:after="120" w:line="240" w:lineRule="auto"/>
        <w:jc w:val="both"/>
        <w:rPr>
          <w:rFonts w:cs="Times New Roman"/>
          <w:noProof/>
        </w:rPr>
      </w:pPr>
      <w:r>
        <w:rPr>
          <w:noProof/>
        </w:rPr>
        <w:t xml:space="preserve">La mesure consiste en la remise ou la production de tramways et la livraison de trolleybus. </w:t>
      </w:r>
    </w:p>
    <w:p w14:paraId="598C077A" w14:textId="5ECA4A7C" w:rsidR="0023462A" w:rsidRDefault="00A550FA">
      <w:pPr>
        <w:pStyle w:val="P68B1DB1-Heading411"/>
        <w:spacing w:before="0" w:after="120" w:line="240" w:lineRule="auto"/>
        <w:rPr>
          <w:noProof/>
        </w:rPr>
      </w:pPr>
      <w:r>
        <w:rPr>
          <w:noProof/>
        </w:rPr>
        <w:t>C5.I5 : Travaux sur le tronçon ferroviaire</w:t>
      </w:r>
    </w:p>
    <w:p w14:paraId="22DA8A7F" w14:textId="39D77DB6" w:rsidR="0023462A" w:rsidRDefault="00A550FA">
      <w:pPr>
        <w:pStyle w:val="P68B1DB1-Normal48"/>
        <w:spacing w:after="120" w:line="240" w:lineRule="auto"/>
        <w:jc w:val="both"/>
        <w:rPr>
          <w:noProof/>
        </w:rPr>
      </w:pPr>
      <w:r>
        <w:rPr>
          <w:noProof/>
        </w:rPr>
        <w:t xml:space="preserve">L’objectif de la mesure est d’électrifier les tronçons ferroviaires. </w:t>
      </w:r>
    </w:p>
    <w:p w14:paraId="4744E05A" w14:textId="0403FF89" w:rsidR="0023462A" w:rsidRDefault="00A550FA">
      <w:pPr>
        <w:pStyle w:val="P68B1DB1-Normal48"/>
        <w:spacing w:after="120" w:line="240" w:lineRule="auto"/>
        <w:jc w:val="both"/>
        <w:rPr>
          <w:noProof/>
        </w:rPr>
      </w:pPr>
      <w:r>
        <w:rPr>
          <w:noProof/>
        </w:rPr>
        <w:t>La mesure consiste en des travaux de (re)construction liés au tronçon ferroviaire «Szeged-Rendező – Röszke – Frontière du pays» et à la connexion des lignes ferroviaires 136 et 140.</w:t>
      </w:r>
    </w:p>
    <w:p w14:paraId="385FAF0B" w14:textId="6B1D966A" w:rsidR="0023462A" w:rsidRDefault="00A550FA">
      <w:pPr>
        <w:pStyle w:val="P68B1DB1-Heading411"/>
        <w:spacing w:before="0" w:after="120" w:line="240" w:lineRule="auto"/>
        <w:rPr>
          <w:rFonts w:eastAsia="Times New Roman"/>
          <w:noProof/>
        </w:rPr>
      </w:pPr>
      <w:r>
        <w:rPr>
          <w:noProof/>
        </w:rPr>
        <w:t xml:space="preserve">C5.I6 : Stimuler l’adoption des véhicules électriques par les entreprises </w:t>
      </w:r>
    </w:p>
    <w:p w14:paraId="68339EEC" w14:textId="692050AC" w:rsidR="0023462A" w:rsidRDefault="00A550FA">
      <w:pPr>
        <w:pStyle w:val="P68B1DB1-Normal48"/>
        <w:spacing w:after="120" w:line="240" w:lineRule="auto"/>
        <w:jc w:val="both"/>
        <w:rPr>
          <w:noProof/>
        </w:rPr>
      </w:pPr>
      <w:r>
        <w:rPr>
          <w:noProof/>
        </w:rPr>
        <w:t xml:space="preserve">L’objectif de cette mesure est d’accroître l’adoption des véhicules électriques par les entreprises en fournissant un soutien financier sous la forme de subventions. </w:t>
      </w:r>
    </w:p>
    <w:p w14:paraId="49CB0460" w14:textId="7CCD2FCF" w:rsidR="0023462A" w:rsidRDefault="00A550FA">
      <w:pPr>
        <w:pStyle w:val="P68B1DB1-Normal48"/>
        <w:spacing w:after="120" w:line="240" w:lineRule="auto"/>
        <w:jc w:val="both"/>
        <w:rPr>
          <w:noProof/>
        </w:rPr>
      </w:pPr>
      <w:r>
        <w:rPr>
          <w:noProof/>
        </w:rPr>
        <w:t>La mesure consiste en un soutien financier aux entreprises pour l’achat d’au moins 10 000 véhicules électriques.</w:t>
      </w:r>
    </w:p>
    <w:p w14:paraId="1BFE3CBD" w14:textId="1263BFF6" w:rsidR="0023462A" w:rsidRDefault="00A550FA">
      <w:pPr>
        <w:pStyle w:val="P68B1DB1-Heading411"/>
        <w:spacing w:before="0" w:after="120" w:line="240" w:lineRule="auto"/>
        <w:rPr>
          <w:rFonts w:eastAsia="Calibri"/>
          <w:noProof/>
        </w:rPr>
      </w:pPr>
      <w:r>
        <w:rPr>
          <w:noProof/>
        </w:rPr>
        <w:t>C5.I7: Mise en place d’un instrument financier pour accroître le déploiement des bornes de recharge pour véhicules électriques (VE)</w:t>
      </w:r>
    </w:p>
    <w:p w14:paraId="036CE1E0" w14:textId="4EBAC057" w:rsidR="0023462A" w:rsidRDefault="00A550FA">
      <w:pPr>
        <w:pStyle w:val="P68B1DB1-Normal48"/>
        <w:spacing w:after="120" w:line="240" w:lineRule="auto"/>
        <w:jc w:val="both"/>
        <w:rPr>
          <w:rFonts w:eastAsia="Calibri"/>
          <w:noProof/>
        </w:rPr>
      </w:pPr>
      <w:r>
        <w:rPr>
          <w:noProof/>
        </w:rPr>
        <w:t xml:space="preserve">La mesure consiste en un investissement public dans une facilité, afin d’encourager l’investissement privé et d’améliorer l’accès au financement dans le secteur hongrois de la mobilité électrique en développant l’infrastructure de recharge pour les véhicules électriques. La facilité fonctionne en fournissant un soutien combiné sous forme de prêts et de subventions directement au secteur privé, ainsi qu’aux entités du secteur public exerçant des activités similaires. </w:t>
      </w:r>
    </w:p>
    <w:p w14:paraId="0321FF3B" w14:textId="77777777" w:rsidR="0023462A" w:rsidRDefault="00A550FA">
      <w:pPr>
        <w:pStyle w:val="P68B1DB1-Normal48"/>
        <w:spacing w:after="120" w:line="240" w:lineRule="auto"/>
        <w:jc w:val="both"/>
        <w:rPr>
          <w:rFonts w:eastAsia="Calibri"/>
          <w:noProof/>
        </w:rPr>
      </w:pPr>
      <w:r>
        <w:rPr>
          <w:noProof/>
        </w:rPr>
        <w:t>La facilité est gérée par la Banque hongroise de développement (Magyar</w:t>
      </w:r>
      <w:r>
        <w:rPr>
          <w:i/>
          <w:noProof/>
        </w:rPr>
        <w:t xml:space="preserve"> Fejlesztési Bank Zrt.</w:t>
      </w:r>
      <w:r>
        <w:rPr>
          <w:noProof/>
        </w:rPr>
        <w:t xml:space="preserve"> – MFB) en tant que partenaire chargé de la mise en œuvre. La facilité comprend la gamme de produits suivante:</w:t>
      </w:r>
    </w:p>
    <w:p w14:paraId="4A493E65" w14:textId="02A5F8C5" w:rsidR="0023462A" w:rsidRDefault="00A550FA">
      <w:pPr>
        <w:pStyle w:val="P68B1DB1-Normal48"/>
        <w:keepNext/>
        <w:numPr>
          <w:ilvl w:val="0"/>
          <w:numId w:val="52"/>
        </w:numPr>
        <w:spacing w:after="120" w:line="240" w:lineRule="auto"/>
        <w:jc w:val="both"/>
        <w:rPr>
          <w:rFonts w:eastAsia="Calibri"/>
          <w:noProof/>
        </w:rPr>
      </w:pPr>
      <w:r>
        <w:rPr>
          <w:noProof/>
        </w:rPr>
        <w:t>Aide combinée sous forme de prêt et de subvention pour l'installation de bornes de recharge. La part des subventions et des prêts est déterminée sur la base des critères suivants:</w:t>
      </w:r>
    </w:p>
    <w:p w14:paraId="76EB78DD" w14:textId="77777777" w:rsidR="0023462A" w:rsidRDefault="00A550FA">
      <w:pPr>
        <w:pStyle w:val="P68B1DB1-Normal48"/>
        <w:keepNext/>
        <w:numPr>
          <w:ilvl w:val="1"/>
          <w:numId w:val="52"/>
        </w:numPr>
        <w:spacing w:after="120" w:line="240" w:lineRule="auto"/>
        <w:jc w:val="both"/>
        <w:rPr>
          <w:rFonts w:eastAsia="Calibri"/>
          <w:noProof/>
        </w:rPr>
      </w:pPr>
      <w:r>
        <w:rPr>
          <w:noProof/>
        </w:rPr>
        <w:t>la carte des aides d’État à finalité régionale, telle qu’elle figure à l’article 36 bis du règlement général d’exemption par catégorie (RGEC);</w:t>
      </w:r>
    </w:p>
    <w:p w14:paraId="4288B4C4" w14:textId="6FBC964A" w:rsidR="0023462A" w:rsidRDefault="00A550FA">
      <w:pPr>
        <w:pStyle w:val="P68B1DB1-Normal48"/>
        <w:keepNext/>
        <w:numPr>
          <w:ilvl w:val="1"/>
          <w:numId w:val="52"/>
        </w:numPr>
        <w:spacing w:after="120" w:line="240" w:lineRule="auto"/>
        <w:jc w:val="both"/>
        <w:rPr>
          <w:rFonts w:eastAsia="Calibri"/>
          <w:noProof/>
        </w:rPr>
      </w:pPr>
      <w:r>
        <w:rPr>
          <w:noProof/>
        </w:rPr>
        <w:t>la taille de l’entreprise qui demande à bénéficier de la facilité. Plus l’entreprise est petite, plus la part de l’aide sous forme de subvention est élevée;</w:t>
      </w:r>
    </w:p>
    <w:p w14:paraId="118B8E0F" w14:textId="4B9D964F" w:rsidR="0023462A" w:rsidRDefault="00A550FA">
      <w:pPr>
        <w:pStyle w:val="P68B1DB1-Normal48"/>
        <w:keepNext/>
        <w:numPr>
          <w:ilvl w:val="1"/>
          <w:numId w:val="52"/>
        </w:numPr>
        <w:spacing w:after="120" w:line="240" w:lineRule="auto"/>
        <w:jc w:val="both"/>
        <w:rPr>
          <w:rFonts w:eastAsia="Calibri"/>
          <w:noProof/>
        </w:rPr>
      </w:pPr>
      <w:r>
        <w:rPr>
          <w:noProof/>
        </w:rPr>
        <w:t>les bornes de recharge pour véhicules utilitaires lourds (VHD) à installer par les bénéficiaires finals. En particulier, plus le ratio des stations de véhicules utilitaires lourds est élevé, plus la part de l’aide accordée est élevée.</w:t>
      </w:r>
    </w:p>
    <w:p w14:paraId="31D59A89" w14:textId="77777777" w:rsidR="0023462A" w:rsidRDefault="00A550FA">
      <w:pPr>
        <w:pStyle w:val="P68B1DB1-Normal48"/>
        <w:spacing w:after="120" w:line="240" w:lineRule="auto"/>
        <w:jc w:val="both"/>
        <w:rPr>
          <w:rFonts w:eastAsia="Calibri"/>
          <w:noProof/>
        </w:rPr>
      </w:pPr>
      <w:r>
        <w:rPr>
          <w:noProof/>
        </w:rPr>
        <w:t>Afin de mettre en œuvre l’investissement dans la facilité, la Hongrie et la MFB signent un accord de mise en œuvre qui comprend les éléments suivants:</w:t>
      </w:r>
    </w:p>
    <w:p w14:paraId="6A963F60" w14:textId="3846D9A3" w:rsidR="0023462A" w:rsidRDefault="00A550FA">
      <w:pPr>
        <w:pStyle w:val="P68B1DB1-Normal48"/>
        <w:numPr>
          <w:ilvl w:val="0"/>
          <w:numId w:val="107"/>
        </w:numPr>
        <w:spacing w:after="120" w:line="240" w:lineRule="auto"/>
        <w:jc w:val="both"/>
        <w:rPr>
          <w:rFonts w:eastAsia="Times New Roman"/>
          <w:noProof/>
        </w:rPr>
      </w:pPr>
      <w:r>
        <w:rPr>
          <w:noProof/>
        </w:rPr>
        <w:t>Description du processus décisionnel de la facilité: La décision initiale d’investissement de la facilité est prise par un comité d’investissement ou un autre organe directeur équivalent et approuvée à la majorité des voix des membres indépendants du gouvernement. La décision d’investissement finale de la facilité se limite à l’approbation (sans modifications) ou à l’exercice d’un droit de veto sur une décision d’investissement proposée par le comité d’investissement ou un organe directeur équivalent.</w:t>
      </w:r>
    </w:p>
    <w:p w14:paraId="20B6AFE2" w14:textId="09785161" w:rsidR="0023462A" w:rsidRDefault="00A550FA">
      <w:pPr>
        <w:pStyle w:val="P68B1DB1-Normal34"/>
        <w:numPr>
          <w:ilvl w:val="0"/>
          <w:numId w:val="107"/>
        </w:numPr>
        <w:spacing w:after="120" w:line="240" w:lineRule="auto"/>
        <w:jc w:val="both"/>
        <w:rPr>
          <w:rFonts w:eastAsia="Calibri"/>
          <w:noProof/>
        </w:rPr>
      </w:pPr>
      <w:r>
        <w:rPr>
          <w:noProof/>
        </w:rPr>
        <w:t>Les principales exigences de la politique d'investissement associée,</w:t>
      </w:r>
      <w:r>
        <w:rPr>
          <w:b/>
          <w:noProof/>
        </w:rPr>
        <w:t xml:space="preserve"> </w:t>
      </w:r>
      <w:r>
        <w:rPr>
          <w:noProof/>
        </w:rPr>
        <w:t>qui comprennent:</w:t>
      </w:r>
    </w:p>
    <w:p w14:paraId="1B8626E7" w14:textId="77777777" w:rsidR="0023462A" w:rsidRDefault="00A550FA">
      <w:pPr>
        <w:pStyle w:val="P68B1DB1-Normal34"/>
        <w:numPr>
          <w:ilvl w:val="2"/>
          <w:numId w:val="108"/>
        </w:numPr>
        <w:spacing w:after="120" w:line="240" w:lineRule="auto"/>
        <w:jc w:val="both"/>
        <w:rPr>
          <w:rFonts w:eastAsia="Calibri"/>
          <w:noProof/>
        </w:rPr>
      </w:pPr>
      <w:r>
        <w:rPr>
          <w:noProof/>
        </w:rPr>
        <w:t>Description du produit financier et des bénéficiaires finaux éligibles.</w:t>
      </w:r>
    </w:p>
    <w:p w14:paraId="048F2F6F" w14:textId="77777777" w:rsidR="0023462A" w:rsidRDefault="00A550FA">
      <w:pPr>
        <w:pStyle w:val="P68B1DB1-Normal34"/>
        <w:numPr>
          <w:ilvl w:val="2"/>
          <w:numId w:val="108"/>
        </w:numPr>
        <w:spacing w:after="120" w:line="240" w:lineRule="auto"/>
        <w:jc w:val="both"/>
        <w:rPr>
          <w:rFonts w:eastAsia="Calibri"/>
          <w:noProof/>
        </w:rPr>
      </w:pPr>
      <w:r>
        <w:rPr>
          <w:noProof/>
        </w:rPr>
        <w:t>L’exigence selon laquelle tous les investissements soutenus sont économiquement viables</w:t>
      </w:r>
      <w:r>
        <w:rPr>
          <w:b/>
          <w:noProof/>
        </w:rPr>
        <w:t>.</w:t>
      </w:r>
    </w:p>
    <w:p w14:paraId="289948C7" w14:textId="5E388C56" w:rsidR="0023462A" w:rsidRDefault="00A550FA">
      <w:pPr>
        <w:pStyle w:val="P68B1DB1-Normal34"/>
        <w:numPr>
          <w:ilvl w:val="2"/>
          <w:numId w:val="108"/>
        </w:numPr>
        <w:spacing w:after="120" w:line="240" w:lineRule="auto"/>
        <w:jc w:val="both"/>
        <w:rPr>
          <w:rFonts w:eastAsia="Calibri"/>
          <w:noProof/>
        </w:rPr>
      </w:pPr>
      <w:r>
        <w:rPr>
          <w:noProof/>
        </w:rPr>
        <w:t>L’obligation de respecter le principe consistant à «ne pas causer de préjudice important» (DNSH) énoncé dans les orientations techniques DNSH (2021/C58/01). En particulier, la politique d'investissement exclut de l'éligibilité la liste suivante d'activités et d'actifs: (i) les activités et les actifs liés aux combustibles fossiles, y compris l’utilisation en aval,</w:t>
      </w:r>
      <w:r w:rsidRPr="008B7BE6">
        <w:rPr>
          <w:noProof/>
          <w:vertAlign w:val="superscript"/>
        </w:rPr>
        <w:footnoteReference w:id="2"/>
      </w:r>
      <w:r>
        <w:rPr>
          <w:noProof/>
        </w:rPr>
        <w:t>(ii) les activités et les actifs relevant du système d’échange de quotas d’émission de l’UE (SEQE) permettant d’atteindre des émissions de gaz à effet de serre prévues qui ne sont pas inférieures aux référentiels applicables,</w:t>
      </w:r>
      <w:r w:rsidRPr="008B7BE6">
        <w:rPr>
          <w:noProof/>
          <w:vertAlign w:val="superscript"/>
        </w:rPr>
        <w:footnoteReference w:id="3"/>
      </w:r>
      <w:r>
        <w:rPr>
          <w:noProof/>
        </w:rPr>
        <w:t>(iii) les activités et les actifs liés aux décharges de déchets, aux incinérateurs</w:t>
      </w:r>
      <w:r w:rsidRPr="008B7BE6">
        <w:rPr>
          <w:noProof/>
          <w:vertAlign w:val="superscript"/>
        </w:rPr>
        <w:footnoteReference w:id="4"/>
      </w:r>
      <w:r>
        <w:rPr>
          <w:noProof/>
        </w:rPr>
        <w:t xml:space="preserve"> et aux usines de traitement biologique mécanique.</w:t>
      </w:r>
      <w:r w:rsidRPr="008B7BE6">
        <w:rPr>
          <w:noProof/>
          <w:vertAlign w:val="superscript"/>
        </w:rPr>
        <w:footnoteReference w:id="5"/>
      </w:r>
      <w:r>
        <w:rPr>
          <w:noProof/>
        </w:rPr>
        <w:t xml:space="preserve"> </w:t>
      </w:r>
    </w:p>
    <w:p w14:paraId="10629C20" w14:textId="625C727E" w:rsidR="0023462A" w:rsidRDefault="00A550FA">
      <w:pPr>
        <w:pStyle w:val="P68B1DB1-Normal34"/>
        <w:numPr>
          <w:ilvl w:val="2"/>
          <w:numId w:val="108"/>
        </w:numPr>
        <w:spacing w:after="120" w:line="240" w:lineRule="auto"/>
        <w:jc w:val="both"/>
        <w:rPr>
          <w:rFonts w:eastAsia="Calibri"/>
          <w:noProof/>
        </w:rPr>
      </w:pPr>
      <w:r>
        <w:rPr>
          <w:noProof/>
        </w:rPr>
        <w:t>L’exigence selon laquelle les bénéficiaires finaux de la facilité ne reçoivent pas de soutien d’autres instruments de l’Union pour couvrir le même coût.</w:t>
      </w:r>
    </w:p>
    <w:p w14:paraId="03F82DE7" w14:textId="393B2F98" w:rsidR="0023462A" w:rsidRDefault="00A550FA">
      <w:pPr>
        <w:pStyle w:val="P68B1DB1-ListParagraph35"/>
        <w:numPr>
          <w:ilvl w:val="0"/>
          <w:numId w:val="107"/>
        </w:numPr>
        <w:spacing w:after="120" w:line="240" w:lineRule="auto"/>
        <w:contextualSpacing w:val="0"/>
        <w:rPr>
          <w:noProof/>
        </w:rPr>
      </w:pPr>
      <w:r>
        <w:rPr>
          <w:noProof/>
        </w:rPr>
        <w:t>Le montant couvert par l’accord de mise en œuvre, la structure des frais pour le partenaire chargé de la mise en œuvre et l’obligation de réinvestir tout remboursement conformément à la politique d’investissement de la facilité.</w:t>
      </w:r>
    </w:p>
    <w:p w14:paraId="02F8793D" w14:textId="71DB4522" w:rsidR="0023462A" w:rsidRDefault="00A550FA">
      <w:pPr>
        <w:pStyle w:val="P68B1DB1-ListParagraph35"/>
        <w:numPr>
          <w:ilvl w:val="0"/>
          <w:numId w:val="107"/>
        </w:numPr>
        <w:spacing w:after="120" w:line="240" w:lineRule="auto"/>
        <w:contextualSpacing w:val="0"/>
        <w:rPr>
          <w:rFonts w:eastAsia="Calibri"/>
          <w:noProof/>
        </w:rPr>
      </w:pPr>
      <w:r>
        <w:rPr>
          <w:noProof/>
        </w:rPr>
        <w:t>Exigences en matière de surveillance, d'audit et de contrôle, y compris:</w:t>
      </w:r>
    </w:p>
    <w:p w14:paraId="114FD3AF" w14:textId="1118201A" w:rsidR="0023462A" w:rsidRDefault="00A550FA">
      <w:pPr>
        <w:pStyle w:val="P68B1DB1-Normal48"/>
        <w:numPr>
          <w:ilvl w:val="0"/>
          <w:numId w:val="109"/>
        </w:numPr>
        <w:spacing w:after="120" w:line="240" w:lineRule="auto"/>
        <w:jc w:val="both"/>
        <w:rPr>
          <w:rFonts w:eastAsia="Calibri"/>
          <w:noProof/>
        </w:rPr>
      </w:pPr>
      <w:r>
        <w:rPr>
          <w:noProof/>
        </w:rPr>
        <w:t>Description du système de suivi du partenaire chargé de la mise en œuvre pour rendre compte de l’investissement mobilisé.</w:t>
      </w:r>
    </w:p>
    <w:p w14:paraId="3E788EBC" w14:textId="31B86EED" w:rsidR="0023462A" w:rsidRDefault="00A550FA">
      <w:pPr>
        <w:pStyle w:val="P68B1DB1-Normal48"/>
        <w:numPr>
          <w:ilvl w:val="0"/>
          <w:numId w:val="109"/>
        </w:numPr>
        <w:spacing w:after="120" w:line="240" w:lineRule="auto"/>
        <w:jc w:val="both"/>
        <w:rPr>
          <w:rFonts w:eastAsia="Calibri"/>
          <w:noProof/>
        </w:rPr>
      </w:pPr>
      <w:r>
        <w:rPr>
          <w:noProof/>
        </w:rPr>
        <w:t xml:space="preserve">Description des procédures du partenaire chargé de la mise en œuvre qui garantiront la prévention, la détection et la correction de la fraude, de la corruption et des conflits d’intérêts. </w:t>
      </w:r>
    </w:p>
    <w:p w14:paraId="32088895" w14:textId="77777777" w:rsidR="0023462A" w:rsidRDefault="00A550FA">
      <w:pPr>
        <w:pStyle w:val="P68B1DB1-Normal48"/>
        <w:numPr>
          <w:ilvl w:val="0"/>
          <w:numId w:val="109"/>
        </w:numPr>
        <w:spacing w:after="120" w:line="240" w:lineRule="auto"/>
        <w:jc w:val="both"/>
        <w:rPr>
          <w:rFonts w:eastAsia="Calibri"/>
          <w:noProof/>
        </w:rPr>
      </w:pPr>
      <w:r>
        <w:rPr>
          <w:noProof/>
        </w:rPr>
        <w:t>L’obligation de vérifier l’éligibilité de chaque opération conformément aux exigences énoncées dans l’accord de mise en œuvre avant de s’engager à financer une opération.</w:t>
      </w:r>
    </w:p>
    <w:p w14:paraId="0C6C7E25" w14:textId="77777777" w:rsidR="0023462A" w:rsidRDefault="00A550FA">
      <w:pPr>
        <w:pStyle w:val="P68B1DB1-Normal48"/>
        <w:numPr>
          <w:ilvl w:val="0"/>
          <w:numId w:val="109"/>
        </w:numPr>
        <w:spacing w:after="120" w:line="240" w:lineRule="auto"/>
        <w:jc w:val="both"/>
        <w:rPr>
          <w:rFonts w:eastAsia="Calibri"/>
          <w:noProof/>
        </w:rPr>
      </w:pPr>
      <w:r>
        <w:rPr>
          <w:noProof/>
        </w:rPr>
        <w:t xml:space="preserve">L’obligation de réaliser des audits ex post fondés sur les risques conformément à un plan d’audit de l’OFM. Ces audits vérifient i) l’efficacité des systèmes de contrôle, y compris la détection de la fraude, de la corruption et des conflits d’intérêts; ii) le respect du principe consistant à «ne pas causer de préjudice important», des règles en matière d’aides d’État et des exigences relatives aux objectifs climatiques; et iii) que l’exigence selon laquelle les bénéficiaires finaux de la facilité n’ont pas reçu d’aide d’autres instruments de l’Union pour couvrir le même coût soit respectée. Les audits vérifient également la légalité des opérations et le respect des conditions de l’accord de mise en œuvre applicable. </w:t>
      </w:r>
    </w:p>
    <w:p w14:paraId="20DBE2F4" w14:textId="077BF912" w:rsidR="0023462A" w:rsidRDefault="00A550FA">
      <w:pPr>
        <w:pStyle w:val="P68B1DB1-Normal34"/>
        <w:numPr>
          <w:ilvl w:val="0"/>
          <w:numId w:val="107"/>
        </w:numPr>
        <w:spacing w:after="120" w:line="240" w:lineRule="auto"/>
        <w:jc w:val="both"/>
        <w:rPr>
          <w:rFonts w:eastAsia="Calibri"/>
          <w:noProof/>
        </w:rPr>
      </w:pPr>
      <w:r>
        <w:rPr>
          <w:noProof/>
        </w:rPr>
        <w:t xml:space="preserve">Exigences applicables aux investissements climatiques réalisés par le partenaire chargé de la mise en œuvre: Au moins 19 418 569 EUR de l’investissement de la FRR dans la facilité contribuent à la réalisation des objectifs en matière de changement climatique conformément à l’annexe VI du règlement FRR. </w:t>
      </w:r>
    </w:p>
    <w:p w14:paraId="186E8AE9" w14:textId="57BC1894" w:rsidR="0023462A" w:rsidRDefault="00A550FA">
      <w:pPr>
        <w:pStyle w:val="P68B1DB1-Heading411"/>
        <w:spacing w:before="0" w:after="120" w:line="240" w:lineRule="auto"/>
        <w:rPr>
          <w:noProof/>
        </w:rPr>
      </w:pPr>
      <w:r>
        <w:rPr>
          <w:noProof/>
        </w:rPr>
        <w:t xml:space="preserve">C5.R1 : Réforme tarifaire </w:t>
      </w:r>
    </w:p>
    <w:p w14:paraId="63D3C2D1" w14:textId="561163A8" w:rsidR="0023462A" w:rsidRDefault="00A550FA">
      <w:pPr>
        <w:pStyle w:val="P68B1DB1-Text146"/>
        <w:spacing w:before="0" w:after="120" w:line="240" w:lineRule="auto"/>
        <w:rPr>
          <w:noProof/>
        </w:rPr>
      </w:pPr>
      <w:r>
        <w:rPr>
          <w:noProof/>
        </w:rPr>
        <w:t xml:space="preserve">L'objectif de cette mesure est d'encourager l'utilisation des transports publics. </w:t>
      </w:r>
    </w:p>
    <w:p w14:paraId="4DE5B247" w14:textId="63A3058D" w:rsidR="0023462A" w:rsidRDefault="00A550FA">
      <w:pPr>
        <w:pStyle w:val="P68B1DB1-Text146"/>
        <w:spacing w:before="0" w:after="120" w:line="240" w:lineRule="auto"/>
        <w:rPr>
          <w:noProof/>
        </w:rPr>
      </w:pPr>
      <w:r>
        <w:rPr>
          <w:noProof/>
        </w:rPr>
        <w:t xml:space="preserve">La mesure consiste en l’entrée en vigueur d’un ou de plusieurs actes juridiques relatifs aux réductions sur les voyages dans le transport public de voyageurs. </w:t>
      </w:r>
    </w:p>
    <w:p w14:paraId="389CEF8C" w14:textId="77777777" w:rsidR="0023462A" w:rsidRDefault="0023462A">
      <w:pPr>
        <w:pStyle w:val="Text1"/>
        <w:spacing w:before="0" w:after="120" w:line="240" w:lineRule="auto"/>
        <w:rPr>
          <w:rFonts w:ascii="Times New Roman" w:hAnsi="Times New Roman"/>
          <w:noProof/>
          <w:sz w:val="24"/>
          <w:szCs w:val="24"/>
        </w:rPr>
      </w:pPr>
    </w:p>
    <w:p w14:paraId="65933C38" w14:textId="77777777" w:rsidR="0023462A" w:rsidRDefault="0023462A">
      <w:pPr>
        <w:pStyle w:val="Text1"/>
        <w:keepNext w:val="0"/>
        <w:spacing w:before="0" w:after="120" w:line="240" w:lineRule="auto"/>
        <w:rPr>
          <w:rFonts w:ascii="Times New Roman" w:hAnsi="Times New Roman" w:cs="Times New Roman"/>
          <w:noProof/>
          <w:sz w:val="24"/>
          <w:szCs w:val="24"/>
        </w:rPr>
      </w:pPr>
    </w:p>
    <w:p w14:paraId="5C7A2096" w14:textId="77777777" w:rsidR="0023462A" w:rsidRDefault="0023462A">
      <w:pPr>
        <w:pStyle w:val="Text1"/>
        <w:keepNext w:val="0"/>
        <w:spacing w:before="0" w:after="120" w:line="240" w:lineRule="auto"/>
        <w:rPr>
          <w:rFonts w:ascii="Times New Roman" w:hAnsi="Times New Roman" w:cs="Times New Roman"/>
          <w:noProof/>
          <w:sz w:val="24"/>
          <w:szCs w:val="24"/>
        </w:rPr>
      </w:pPr>
    </w:p>
    <w:p w14:paraId="5440F814" w14:textId="77777777" w:rsidR="0023462A" w:rsidRDefault="0023462A">
      <w:pPr>
        <w:spacing w:after="120" w:line="240" w:lineRule="auto"/>
        <w:rPr>
          <w:rFonts w:ascii="Times New Roman" w:hAnsi="Times New Roman" w:cs="Times New Roman"/>
          <w:b/>
          <w:noProof/>
          <w:sz w:val="24"/>
          <w:szCs w:val="24"/>
          <w:u w:val="single"/>
        </w:rPr>
        <w:sectPr w:rsidR="0023462A" w:rsidSect="009030B8">
          <w:headerReference w:type="even" r:id="rId66"/>
          <w:headerReference w:type="default" r:id="rId67"/>
          <w:footerReference w:type="even" r:id="rId68"/>
          <w:footerReference w:type="default" r:id="rId69"/>
          <w:headerReference w:type="first" r:id="rId70"/>
          <w:footerReference w:type="first" r:id="rId71"/>
          <w:pgSz w:w="11907" w:h="16839"/>
          <w:pgMar w:top="1134" w:right="1134" w:bottom="1134" w:left="1134" w:header="567" w:footer="567" w:gutter="0"/>
          <w:cols w:space="708"/>
          <w:docGrid w:linePitch="360"/>
        </w:sectPr>
      </w:pPr>
    </w:p>
    <w:p w14:paraId="5B79EC15" w14:textId="77777777" w:rsidR="0023462A" w:rsidRDefault="00A550FA">
      <w:pPr>
        <w:pStyle w:val="P68B1DB1-Heading310"/>
        <w:spacing w:before="0" w:after="120"/>
        <w:rPr>
          <w:noProof/>
        </w:rPr>
      </w:pPr>
      <w:r>
        <w:rPr>
          <w:noProof/>
        </w:rPr>
        <w:t xml:space="preserve">E.2. </w:t>
      </w:r>
      <w:r>
        <w:rPr>
          <w:noProof/>
        </w:rPr>
        <w:tab/>
        <w:t>Étapes, cibles, indicateurs et calendrier pour le suivi et la mise en œuvre du soutien financier non remboursable</w:t>
      </w:r>
    </w:p>
    <w:tbl>
      <w:tblPr>
        <w:tblW w:w="15065" w:type="dxa"/>
        <w:jc w:val="center"/>
        <w:tblLayout w:type="fixed"/>
        <w:tblLook w:val="04A0" w:firstRow="1" w:lastRow="0" w:firstColumn="1" w:lastColumn="0" w:noHBand="0" w:noVBand="1"/>
      </w:tblPr>
      <w:tblGrid>
        <w:gridCol w:w="988"/>
        <w:gridCol w:w="1744"/>
        <w:gridCol w:w="1096"/>
        <w:gridCol w:w="1129"/>
        <w:gridCol w:w="1134"/>
        <w:gridCol w:w="1417"/>
        <w:gridCol w:w="992"/>
        <w:gridCol w:w="1134"/>
        <w:gridCol w:w="1134"/>
        <w:gridCol w:w="709"/>
        <w:gridCol w:w="3588"/>
      </w:tblGrid>
      <w:tr w:rsidR="0023462A" w14:paraId="6A3ADE58" w14:textId="77777777" w:rsidTr="009C289F">
        <w:trPr>
          <w:trHeight w:val="945"/>
          <w:tblHeader/>
          <w:jc w:val="center"/>
        </w:trPr>
        <w:tc>
          <w:tcPr>
            <w:tcW w:w="988"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6F62D325" w14:textId="77777777" w:rsidR="0023462A" w:rsidRDefault="00A550FA">
            <w:pPr>
              <w:pStyle w:val="P68B1DB1-Normal37"/>
              <w:spacing w:after="120" w:line="240" w:lineRule="auto"/>
              <w:jc w:val="center"/>
              <w:rPr>
                <w:noProof/>
              </w:rPr>
            </w:pPr>
            <w:r>
              <w:rPr>
                <w:noProof/>
              </w:rPr>
              <w:t>Numéro séquentiel</w:t>
            </w:r>
          </w:p>
        </w:tc>
        <w:tc>
          <w:tcPr>
            <w:tcW w:w="1744"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3D4B1366" w14:textId="77777777" w:rsidR="0023462A" w:rsidRDefault="00A550FA">
            <w:pPr>
              <w:pStyle w:val="P68B1DB1-Normal37"/>
              <w:spacing w:after="120" w:line="240" w:lineRule="auto"/>
              <w:jc w:val="center"/>
              <w:rPr>
                <w:rFonts w:eastAsiaTheme="minorHAnsi"/>
                <w:noProof/>
              </w:rPr>
            </w:pPr>
            <w:r>
              <w:rPr>
                <w:noProof/>
              </w:rPr>
              <w:t>Mesure connexe (réforme ou investissement)</w:t>
            </w:r>
          </w:p>
        </w:tc>
        <w:tc>
          <w:tcPr>
            <w:tcW w:w="1096"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04340BB2" w14:textId="77777777" w:rsidR="0023462A" w:rsidRDefault="00A550FA">
            <w:pPr>
              <w:pStyle w:val="P68B1DB1-Normal37"/>
              <w:spacing w:after="120" w:line="240" w:lineRule="auto"/>
              <w:jc w:val="center"/>
              <w:rPr>
                <w:rFonts w:eastAsiaTheme="minorHAnsi"/>
                <w:noProof/>
              </w:rPr>
            </w:pPr>
            <w:r>
              <w:rPr>
                <w:noProof/>
              </w:rPr>
              <w:t>Étape/</w:t>
            </w:r>
          </w:p>
          <w:p w14:paraId="5BB164C2" w14:textId="77777777" w:rsidR="0023462A" w:rsidRDefault="00A550FA">
            <w:pPr>
              <w:pStyle w:val="P68B1DB1-Normal37"/>
              <w:spacing w:after="120" w:line="240" w:lineRule="auto"/>
              <w:jc w:val="center"/>
              <w:rPr>
                <w:rFonts w:eastAsiaTheme="minorHAnsi"/>
                <w:noProof/>
              </w:rPr>
            </w:pPr>
            <w:r>
              <w:rPr>
                <w:noProof/>
              </w:rPr>
              <w:t>Objectif</w:t>
            </w:r>
          </w:p>
        </w:tc>
        <w:tc>
          <w:tcPr>
            <w:tcW w:w="1129"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3F73500D" w14:textId="77777777" w:rsidR="0023462A" w:rsidRDefault="00A550FA">
            <w:pPr>
              <w:pStyle w:val="P68B1DB1-Normal37"/>
              <w:spacing w:after="120" w:line="240" w:lineRule="auto"/>
              <w:jc w:val="center"/>
              <w:rPr>
                <w:rFonts w:eastAsiaTheme="minorHAnsi"/>
                <w:noProof/>
              </w:rPr>
            </w:pPr>
            <w:r>
              <w:rPr>
                <w:noProof/>
              </w:rPr>
              <w:t>Nom</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45D2D9F0" w14:textId="4AF8CF74" w:rsidR="0023462A" w:rsidRDefault="00A550FA">
            <w:pPr>
              <w:pStyle w:val="P68B1DB1-Normal32"/>
              <w:spacing w:after="120" w:line="240" w:lineRule="auto"/>
              <w:jc w:val="center"/>
              <w:rPr>
                <w:rFonts w:eastAsiaTheme="minorHAnsi"/>
                <w:b/>
                <w:noProof/>
              </w:rPr>
            </w:pPr>
            <w:r>
              <w:rPr>
                <w:b/>
                <w:noProof/>
              </w:rPr>
              <w:t>Indicateurs qualitatifs</w:t>
            </w:r>
            <w:r>
              <w:rPr>
                <w:noProof/>
              </w:rPr>
              <w:br/>
            </w:r>
            <w:r>
              <w:rPr>
                <w:b/>
                <w:noProof/>
              </w:rPr>
              <w:t>(pour les jalons)</w:t>
            </w:r>
          </w:p>
        </w:tc>
        <w:tc>
          <w:tcPr>
            <w:tcW w:w="3543"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44FFB683" w14:textId="77777777" w:rsidR="0023462A" w:rsidRDefault="00A550FA">
            <w:pPr>
              <w:pStyle w:val="P68B1DB1-Normal37"/>
              <w:spacing w:after="120" w:line="240" w:lineRule="auto"/>
              <w:jc w:val="center"/>
              <w:rPr>
                <w:rFonts w:eastAsiaTheme="minorHAnsi"/>
                <w:noProof/>
              </w:rPr>
            </w:pPr>
            <w:r>
              <w:rPr>
                <w:noProof/>
              </w:rPr>
              <w:t>Indicateurs quantitatifs (pour les objectifs)</w:t>
            </w:r>
          </w:p>
        </w:tc>
        <w:tc>
          <w:tcPr>
            <w:tcW w:w="1843"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21098FC4" w14:textId="77777777" w:rsidR="0023462A" w:rsidRDefault="00A550FA">
            <w:pPr>
              <w:pStyle w:val="P68B1DB1-Normal37"/>
              <w:spacing w:after="120" w:line="240" w:lineRule="auto"/>
              <w:jc w:val="center"/>
              <w:rPr>
                <w:rFonts w:eastAsiaTheme="minorHAnsi"/>
                <w:noProof/>
              </w:rPr>
            </w:pPr>
            <w:r>
              <w:rPr>
                <w:noProof/>
              </w:rPr>
              <w:t>Calendrier indicatif d'achèvement</w:t>
            </w:r>
          </w:p>
        </w:tc>
        <w:tc>
          <w:tcPr>
            <w:tcW w:w="3588"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06DD1352" w14:textId="77777777" w:rsidR="0023462A" w:rsidRDefault="00A550FA">
            <w:pPr>
              <w:pStyle w:val="P68B1DB1-Normal37"/>
              <w:spacing w:after="120" w:line="240" w:lineRule="auto"/>
              <w:jc w:val="center"/>
              <w:rPr>
                <w:rFonts w:eastAsiaTheme="minorHAnsi"/>
                <w:noProof/>
              </w:rPr>
            </w:pPr>
            <w:r>
              <w:rPr>
                <w:noProof/>
              </w:rPr>
              <w:t>Description de chaque jalon et cible</w:t>
            </w:r>
          </w:p>
        </w:tc>
      </w:tr>
      <w:tr w:rsidR="0023462A" w14:paraId="2E58695D" w14:textId="77777777" w:rsidTr="009C289F">
        <w:trPr>
          <w:trHeight w:val="557"/>
          <w:tblHeader/>
          <w:jc w:val="center"/>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6F70C097" w14:textId="77777777" w:rsidR="0023462A" w:rsidRDefault="0023462A">
            <w:pPr>
              <w:spacing w:after="120" w:line="240" w:lineRule="auto"/>
              <w:jc w:val="center"/>
              <w:rPr>
                <w:rFonts w:ascii="Times New Roman" w:hAnsi="Times New Roman" w:cs="Times New Roman"/>
                <w:b/>
                <w:noProof/>
                <w:sz w:val="18"/>
                <w:szCs w:val="18"/>
              </w:rPr>
            </w:pPr>
          </w:p>
        </w:tc>
        <w:tc>
          <w:tcPr>
            <w:tcW w:w="1744" w:type="dxa"/>
            <w:vMerge/>
            <w:tcBorders>
              <w:top w:val="single" w:sz="4" w:space="0" w:color="auto"/>
              <w:left w:val="single" w:sz="4" w:space="0" w:color="auto"/>
              <w:bottom w:val="single" w:sz="4" w:space="0" w:color="auto"/>
              <w:right w:val="single" w:sz="4" w:space="0" w:color="auto"/>
            </w:tcBorders>
            <w:vAlign w:val="center"/>
            <w:hideMark/>
          </w:tcPr>
          <w:p w14:paraId="53994CE7" w14:textId="77777777" w:rsidR="0023462A" w:rsidRDefault="0023462A">
            <w:pPr>
              <w:spacing w:after="120" w:line="240" w:lineRule="auto"/>
              <w:jc w:val="center"/>
              <w:rPr>
                <w:rFonts w:ascii="Times New Roman" w:hAnsi="Times New Roman" w:cs="Times New Roman"/>
                <w:b/>
                <w:noProof/>
                <w:sz w:val="18"/>
                <w:szCs w:val="18"/>
              </w:rPr>
            </w:pPr>
          </w:p>
        </w:tc>
        <w:tc>
          <w:tcPr>
            <w:tcW w:w="1096" w:type="dxa"/>
            <w:vMerge/>
            <w:tcBorders>
              <w:top w:val="single" w:sz="4" w:space="0" w:color="auto"/>
              <w:left w:val="single" w:sz="4" w:space="0" w:color="auto"/>
              <w:bottom w:val="single" w:sz="4" w:space="0" w:color="auto"/>
              <w:right w:val="single" w:sz="4" w:space="0" w:color="auto"/>
            </w:tcBorders>
            <w:vAlign w:val="center"/>
            <w:hideMark/>
          </w:tcPr>
          <w:p w14:paraId="3B28110F" w14:textId="77777777" w:rsidR="0023462A" w:rsidRDefault="0023462A">
            <w:pPr>
              <w:spacing w:after="120" w:line="240" w:lineRule="auto"/>
              <w:jc w:val="center"/>
              <w:rPr>
                <w:rFonts w:ascii="Times New Roman" w:hAnsi="Times New Roman" w:cs="Times New Roman"/>
                <w:b/>
                <w:noProof/>
                <w:sz w:val="18"/>
                <w:szCs w:val="18"/>
              </w:rPr>
            </w:pPr>
          </w:p>
        </w:tc>
        <w:tc>
          <w:tcPr>
            <w:tcW w:w="1129" w:type="dxa"/>
            <w:vMerge/>
            <w:tcBorders>
              <w:top w:val="single" w:sz="4" w:space="0" w:color="auto"/>
              <w:left w:val="single" w:sz="4" w:space="0" w:color="auto"/>
              <w:bottom w:val="single" w:sz="4" w:space="0" w:color="auto"/>
              <w:right w:val="single" w:sz="4" w:space="0" w:color="auto"/>
            </w:tcBorders>
            <w:vAlign w:val="center"/>
            <w:hideMark/>
          </w:tcPr>
          <w:p w14:paraId="0B234FCF" w14:textId="77777777" w:rsidR="0023462A" w:rsidRDefault="0023462A">
            <w:pPr>
              <w:spacing w:after="120" w:line="240" w:lineRule="auto"/>
              <w:jc w:val="center"/>
              <w:rPr>
                <w:rFonts w:ascii="Times New Roman" w:hAnsi="Times New Roman" w:cs="Times New Roman"/>
                <w:b/>
                <w:noProof/>
                <w:sz w:val="18"/>
                <w:szCs w:val="18"/>
              </w:rPr>
            </w:pPr>
          </w:p>
        </w:tc>
        <w:tc>
          <w:tcPr>
            <w:tcW w:w="1134" w:type="dxa"/>
            <w:vMerge/>
            <w:tcBorders>
              <w:top w:val="single" w:sz="4" w:space="0" w:color="auto"/>
              <w:left w:val="single" w:sz="4" w:space="0" w:color="auto"/>
            </w:tcBorders>
            <w:vAlign w:val="center"/>
            <w:hideMark/>
          </w:tcPr>
          <w:p w14:paraId="64B96621" w14:textId="77777777" w:rsidR="0023462A" w:rsidRDefault="0023462A">
            <w:pPr>
              <w:spacing w:after="120" w:line="240" w:lineRule="auto"/>
              <w:jc w:val="center"/>
              <w:rPr>
                <w:rFonts w:ascii="Times New Roman" w:hAnsi="Times New Roman" w:cs="Times New Roman"/>
                <w:b/>
                <w:noProof/>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378FE717" w14:textId="77777777" w:rsidR="0023462A" w:rsidRDefault="00A550FA">
            <w:pPr>
              <w:pStyle w:val="P68B1DB1-Normal37"/>
              <w:spacing w:after="120" w:line="240" w:lineRule="auto"/>
              <w:jc w:val="center"/>
              <w:rPr>
                <w:rFonts w:eastAsiaTheme="minorHAnsi"/>
                <w:noProof/>
              </w:rPr>
            </w:pPr>
            <w:r>
              <w:rPr>
                <w:noProof/>
              </w:rPr>
              <w:t>Unité de mesure</w:t>
            </w:r>
          </w:p>
        </w:tc>
        <w:tc>
          <w:tcPr>
            <w:tcW w:w="992"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26A134CC" w14:textId="77777777" w:rsidR="0023462A" w:rsidRDefault="00A550FA">
            <w:pPr>
              <w:pStyle w:val="P68B1DB1-Normal37"/>
              <w:spacing w:after="120" w:line="240" w:lineRule="auto"/>
              <w:jc w:val="center"/>
              <w:rPr>
                <w:rFonts w:eastAsiaTheme="minorHAnsi"/>
                <w:noProof/>
              </w:rPr>
            </w:pPr>
            <w:r>
              <w:rPr>
                <w:noProof/>
              </w:rPr>
              <w:t>Données de référence</w:t>
            </w:r>
          </w:p>
        </w:tc>
        <w:tc>
          <w:tcPr>
            <w:tcW w:w="1134"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11734EFA" w14:textId="77777777" w:rsidR="0023462A" w:rsidRDefault="00A550FA">
            <w:pPr>
              <w:pStyle w:val="P68B1DB1-Normal37"/>
              <w:spacing w:after="120" w:line="240" w:lineRule="auto"/>
              <w:jc w:val="center"/>
              <w:rPr>
                <w:rFonts w:eastAsiaTheme="minorHAnsi"/>
                <w:noProof/>
              </w:rPr>
            </w:pPr>
            <w:r>
              <w:rPr>
                <w:noProof/>
              </w:rPr>
              <w:t>Objectif</w:t>
            </w:r>
          </w:p>
        </w:tc>
        <w:tc>
          <w:tcPr>
            <w:tcW w:w="1134"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0FA990A2" w14:textId="77777777" w:rsidR="0023462A" w:rsidRDefault="00A550FA">
            <w:pPr>
              <w:pStyle w:val="P68B1DB1-Normal37"/>
              <w:spacing w:after="120" w:line="240" w:lineRule="auto"/>
              <w:jc w:val="center"/>
              <w:rPr>
                <w:rFonts w:eastAsiaTheme="minorHAnsi"/>
                <w:noProof/>
              </w:rPr>
            </w:pPr>
            <w:r>
              <w:rPr>
                <w:noProof/>
              </w:rPr>
              <w:t>Trimestre</w:t>
            </w:r>
          </w:p>
        </w:tc>
        <w:tc>
          <w:tcPr>
            <w:tcW w:w="709"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771E5916" w14:textId="77777777" w:rsidR="0023462A" w:rsidRDefault="00A550FA">
            <w:pPr>
              <w:pStyle w:val="P68B1DB1-Normal37"/>
              <w:spacing w:after="120" w:line="240" w:lineRule="auto"/>
              <w:jc w:val="center"/>
              <w:rPr>
                <w:rFonts w:eastAsiaTheme="minorHAnsi"/>
                <w:noProof/>
              </w:rPr>
            </w:pPr>
            <w:r>
              <w:rPr>
                <w:noProof/>
              </w:rPr>
              <w:t>Année</w:t>
            </w:r>
          </w:p>
        </w:tc>
        <w:tc>
          <w:tcPr>
            <w:tcW w:w="3588" w:type="dxa"/>
            <w:vMerge/>
            <w:tcBorders>
              <w:top w:val="single" w:sz="4" w:space="0" w:color="auto"/>
              <w:bottom w:val="single" w:sz="4" w:space="0" w:color="auto"/>
              <w:right w:val="single" w:sz="4" w:space="0" w:color="auto"/>
            </w:tcBorders>
            <w:vAlign w:val="center"/>
            <w:hideMark/>
          </w:tcPr>
          <w:p w14:paraId="624C90B5" w14:textId="77777777" w:rsidR="0023462A" w:rsidRDefault="0023462A">
            <w:pPr>
              <w:spacing w:after="120" w:line="240" w:lineRule="auto"/>
              <w:rPr>
                <w:rFonts w:ascii="Times New Roman" w:hAnsi="Times New Roman" w:cs="Times New Roman"/>
                <w:b/>
                <w:noProof/>
                <w:sz w:val="18"/>
                <w:szCs w:val="18"/>
              </w:rPr>
            </w:pPr>
          </w:p>
        </w:tc>
      </w:tr>
      <w:tr w:rsidR="0023462A" w14:paraId="0617045A" w14:textId="77777777" w:rsidTr="009C289F">
        <w:trPr>
          <w:trHeight w:val="7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0E429F" w14:textId="0018EDEF" w:rsidR="0023462A" w:rsidRDefault="00A550FA">
            <w:pPr>
              <w:pStyle w:val="P68B1DB1-Normal32"/>
              <w:spacing w:after="120" w:line="240" w:lineRule="auto"/>
              <w:rPr>
                <w:noProof/>
              </w:rPr>
            </w:pPr>
            <w:r>
              <w:rPr>
                <w:noProof/>
              </w:rPr>
              <w:t>21</w:t>
            </w:r>
          </w:p>
        </w:tc>
        <w:tc>
          <w:tcPr>
            <w:tcW w:w="1744" w:type="dxa"/>
            <w:tcBorders>
              <w:top w:val="single" w:sz="4" w:space="0" w:color="auto"/>
              <w:left w:val="nil"/>
              <w:bottom w:val="single" w:sz="4" w:space="0" w:color="auto"/>
              <w:right w:val="single" w:sz="4" w:space="0" w:color="auto"/>
            </w:tcBorders>
            <w:shd w:val="clear" w:color="auto" w:fill="C6EFCE"/>
            <w:vAlign w:val="center"/>
          </w:tcPr>
          <w:p w14:paraId="691E873B" w14:textId="490945C2" w:rsidR="0023462A" w:rsidRDefault="00A550FA">
            <w:pPr>
              <w:pStyle w:val="P68B1DB1-Normal32"/>
              <w:spacing w:after="120" w:line="240" w:lineRule="auto"/>
              <w:rPr>
                <w:noProof/>
              </w:rPr>
            </w:pPr>
            <w:r>
              <w:rPr>
                <w:noProof/>
              </w:rPr>
              <w:t>C5.I1 Développement d'une ligne de chemin de fer de banlieue</w:t>
            </w:r>
          </w:p>
        </w:tc>
        <w:tc>
          <w:tcPr>
            <w:tcW w:w="1096" w:type="dxa"/>
            <w:tcBorders>
              <w:top w:val="single" w:sz="4" w:space="0" w:color="auto"/>
              <w:left w:val="nil"/>
              <w:bottom w:val="single" w:sz="4" w:space="0" w:color="auto"/>
              <w:right w:val="single" w:sz="4" w:space="0" w:color="auto"/>
            </w:tcBorders>
            <w:shd w:val="clear" w:color="auto" w:fill="C6EFCE"/>
            <w:noWrap/>
            <w:vAlign w:val="center"/>
          </w:tcPr>
          <w:p w14:paraId="5336C87C" w14:textId="65476AA6" w:rsidR="0023462A" w:rsidRDefault="00A550FA">
            <w:pPr>
              <w:pStyle w:val="P68B1DB1-Normal32"/>
              <w:spacing w:after="120" w:line="240" w:lineRule="auto"/>
              <w:rPr>
                <w:noProof/>
              </w:rPr>
            </w:pPr>
            <w:r>
              <w:rPr>
                <w:noProof/>
              </w:rPr>
              <w:t>Étape</w:t>
            </w:r>
          </w:p>
        </w:tc>
        <w:tc>
          <w:tcPr>
            <w:tcW w:w="1129" w:type="dxa"/>
            <w:tcBorders>
              <w:top w:val="single" w:sz="4" w:space="0" w:color="auto"/>
              <w:left w:val="nil"/>
              <w:bottom w:val="single" w:sz="4" w:space="0" w:color="auto"/>
              <w:right w:val="single" w:sz="4" w:space="0" w:color="auto"/>
            </w:tcBorders>
            <w:shd w:val="clear" w:color="auto" w:fill="C6EFCE"/>
            <w:vAlign w:val="center"/>
          </w:tcPr>
          <w:p w14:paraId="77B62605" w14:textId="46117E2C" w:rsidR="0023462A" w:rsidRDefault="00A550FA">
            <w:pPr>
              <w:pStyle w:val="P68B1DB1-Normal32"/>
              <w:spacing w:after="120" w:line="240" w:lineRule="auto"/>
              <w:rPr>
                <w:noProof/>
              </w:rPr>
            </w:pPr>
            <w:r>
              <w:rPr>
                <w:noProof/>
              </w:rPr>
              <w:t>Travaux relatifs au tronçon ferroviaire Debrecen-Balmazújváros </w:t>
            </w:r>
          </w:p>
        </w:tc>
        <w:tc>
          <w:tcPr>
            <w:tcW w:w="1134" w:type="dxa"/>
            <w:tcBorders>
              <w:top w:val="single" w:sz="4" w:space="0" w:color="auto"/>
              <w:left w:val="nil"/>
              <w:bottom w:val="single" w:sz="4" w:space="0" w:color="auto"/>
              <w:right w:val="single" w:sz="4" w:space="0" w:color="auto"/>
            </w:tcBorders>
            <w:shd w:val="clear" w:color="auto" w:fill="C6EFCE"/>
            <w:vAlign w:val="center"/>
          </w:tcPr>
          <w:p w14:paraId="21DD7A04" w14:textId="2EBE8ADC" w:rsidR="0023462A" w:rsidRDefault="00A550FA">
            <w:pPr>
              <w:pStyle w:val="P68B1DB1-Normal32"/>
              <w:spacing w:after="120" w:line="240" w:lineRule="auto"/>
              <w:rPr>
                <w:noProof/>
              </w:rPr>
            </w:pPr>
            <w:r>
              <w:rPr>
                <w:noProof/>
              </w:rPr>
              <w:t>Protocole(s) de transfert et d'acceptation</w:t>
            </w:r>
          </w:p>
        </w:tc>
        <w:tc>
          <w:tcPr>
            <w:tcW w:w="1417" w:type="dxa"/>
            <w:tcBorders>
              <w:top w:val="single" w:sz="4" w:space="0" w:color="auto"/>
              <w:left w:val="nil"/>
              <w:bottom w:val="single" w:sz="4" w:space="0" w:color="auto"/>
              <w:right w:val="single" w:sz="4" w:space="0" w:color="auto"/>
            </w:tcBorders>
            <w:shd w:val="clear" w:color="auto" w:fill="C6EFCE"/>
            <w:noWrap/>
            <w:vAlign w:val="center"/>
          </w:tcPr>
          <w:p w14:paraId="489EAA05" w14:textId="10C1D8A6" w:rsidR="0023462A" w:rsidRDefault="0023462A">
            <w:pPr>
              <w:spacing w:after="120" w:line="240" w:lineRule="auto"/>
              <w:jc w:val="center"/>
              <w:rPr>
                <w:rFonts w:ascii="Times New Roman"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noWrap/>
            <w:vAlign w:val="center"/>
          </w:tcPr>
          <w:p w14:paraId="09ED4EFF" w14:textId="327F6DD7" w:rsidR="0023462A" w:rsidRDefault="0023462A">
            <w:pPr>
              <w:spacing w:after="120" w:line="240" w:lineRule="auto"/>
              <w:jc w:val="center"/>
              <w:rPr>
                <w:rFonts w:ascii="Times New Roman"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6FFC438E" w14:textId="6055F72A" w:rsidR="0023462A" w:rsidRDefault="0023462A">
            <w:pPr>
              <w:spacing w:after="120" w:line="240" w:lineRule="auto"/>
              <w:jc w:val="center"/>
              <w:rPr>
                <w:rFonts w:ascii="Times New Roman"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vAlign w:val="center"/>
          </w:tcPr>
          <w:p w14:paraId="3BB8A442" w14:textId="576C9907" w:rsidR="0023462A" w:rsidRDefault="00A550FA">
            <w:pPr>
              <w:pStyle w:val="P68B1DB1-Normal32"/>
              <w:spacing w:after="120" w:line="240" w:lineRule="auto"/>
              <w:jc w:val="center"/>
              <w:rPr>
                <w:noProof/>
              </w:rPr>
            </w:pPr>
            <w:r>
              <w:rPr>
                <w:noProof/>
              </w:rPr>
              <w:t>T2</w:t>
            </w:r>
          </w:p>
        </w:tc>
        <w:tc>
          <w:tcPr>
            <w:tcW w:w="709" w:type="dxa"/>
            <w:tcBorders>
              <w:top w:val="nil"/>
              <w:left w:val="nil"/>
              <w:bottom w:val="single" w:sz="4" w:space="0" w:color="auto"/>
              <w:right w:val="single" w:sz="4" w:space="0" w:color="auto"/>
            </w:tcBorders>
            <w:shd w:val="clear" w:color="auto" w:fill="C6EFCE"/>
            <w:vAlign w:val="center"/>
          </w:tcPr>
          <w:p w14:paraId="3582539D" w14:textId="4F5FD0D9" w:rsidR="0023462A" w:rsidRDefault="00A550FA">
            <w:pPr>
              <w:pStyle w:val="P68B1DB1-Normal32"/>
              <w:spacing w:after="120" w:line="240" w:lineRule="auto"/>
              <w:jc w:val="center"/>
              <w:rPr>
                <w:noProof/>
              </w:rPr>
            </w:pPr>
            <w:r>
              <w:rPr>
                <w:noProof/>
              </w:rPr>
              <w:t>2026</w:t>
            </w:r>
          </w:p>
        </w:tc>
        <w:tc>
          <w:tcPr>
            <w:tcW w:w="3588" w:type="dxa"/>
            <w:tcBorders>
              <w:top w:val="single" w:sz="4" w:space="0" w:color="auto"/>
              <w:left w:val="nil"/>
              <w:bottom w:val="single" w:sz="4" w:space="0" w:color="auto"/>
              <w:right w:val="single" w:sz="4" w:space="0" w:color="auto"/>
            </w:tcBorders>
            <w:shd w:val="clear" w:color="auto" w:fill="C6EFCE"/>
            <w:vAlign w:val="center"/>
          </w:tcPr>
          <w:p w14:paraId="69C5D562" w14:textId="5AF3365E" w:rsidR="0023462A" w:rsidRDefault="00A550FA">
            <w:pPr>
              <w:pStyle w:val="P68B1DB1-Normal32"/>
              <w:spacing w:after="120" w:line="240" w:lineRule="auto"/>
              <w:rPr>
                <w:noProof/>
              </w:rPr>
            </w:pPr>
            <w:r>
              <w:rPr>
                <w:noProof/>
              </w:rPr>
              <w:t>Protocole(s) technique(s) de remise et de réception des travaux de (re)construction de l'infrastructure ferroviaire entre Debrecen et Balmazújváros. </w:t>
            </w:r>
          </w:p>
          <w:p w14:paraId="63CE8D7E" w14:textId="77777777" w:rsidR="0023462A" w:rsidRDefault="0023462A">
            <w:pPr>
              <w:spacing w:after="120" w:line="240" w:lineRule="auto"/>
              <w:rPr>
                <w:rFonts w:ascii="Times New Roman" w:hAnsi="Times New Roman" w:cs="Times New Roman"/>
                <w:noProof/>
                <w:sz w:val="18"/>
                <w:szCs w:val="18"/>
              </w:rPr>
            </w:pPr>
          </w:p>
        </w:tc>
      </w:tr>
      <w:tr w:rsidR="0023462A" w14:paraId="1D7955E9" w14:textId="77777777" w:rsidTr="009C289F">
        <w:trPr>
          <w:trHeight w:val="410"/>
          <w:jc w:val="center"/>
        </w:trPr>
        <w:tc>
          <w:tcPr>
            <w:tcW w:w="988" w:type="dxa"/>
            <w:tcBorders>
              <w:top w:val="nil"/>
              <w:left w:val="single" w:sz="4" w:space="0" w:color="auto"/>
              <w:bottom w:val="single" w:sz="4" w:space="0" w:color="auto"/>
              <w:right w:val="single" w:sz="4" w:space="0" w:color="auto"/>
            </w:tcBorders>
            <w:shd w:val="clear" w:color="auto" w:fill="C6EFCE"/>
            <w:noWrap/>
            <w:vAlign w:val="center"/>
            <w:hideMark/>
          </w:tcPr>
          <w:p w14:paraId="4726C824" w14:textId="7C378C04" w:rsidR="0023462A" w:rsidRDefault="00A550FA">
            <w:pPr>
              <w:pStyle w:val="P68B1DB1-Normal32"/>
              <w:spacing w:after="120" w:line="240" w:lineRule="auto"/>
              <w:rPr>
                <w:noProof/>
              </w:rPr>
            </w:pPr>
            <w:r>
              <w:rPr>
                <w:noProof/>
              </w:rPr>
              <w:t>22</w:t>
            </w:r>
          </w:p>
        </w:tc>
        <w:tc>
          <w:tcPr>
            <w:tcW w:w="1744" w:type="dxa"/>
            <w:tcBorders>
              <w:top w:val="nil"/>
              <w:left w:val="nil"/>
              <w:bottom w:val="single" w:sz="4" w:space="0" w:color="auto"/>
              <w:right w:val="single" w:sz="4" w:space="0" w:color="auto"/>
            </w:tcBorders>
            <w:shd w:val="clear" w:color="auto" w:fill="C6EFCE"/>
            <w:vAlign w:val="center"/>
            <w:hideMark/>
          </w:tcPr>
          <w:p w14:paraId="35D8F095" w14:textId="77777777" w:rsidR="0023462A" w:rsidRDefault="00A550FA">
            <w:pPr>
              <w:pStyle w:val="P68B1DB1-Normal32"/>
              <w:spacing w:after="120" w:line="240" w:lineRule="auto"/>
              <w:rPr>
                <w:rFonts w:eastAsiaTheme="minorHAnsi"/>
                <w:noProof/>
              </w:rPr>
            </w:pPr>
            <w:r>
              <w:rPr>
                <w:noProof/>
              </w:rPr>
              <w:t>C5.I2 Commutation de la congestion du réseau ferroviaire sur le corridor RTE-T</w:t>
            </w:r>
          </w:p>
        </w:tc>
        <w:tc>
          <w:tcPr>
            <w:tcW w:w="1096" w:type="dxa"/>
            <w:tcBorders>
              <w:top w:val="nil"/>
              <w:left w:val="nil"/>
              <w:bottom w:val="single" w:sz="4" w:space="0" w:color="auto"/>
              <w:right w:val="single" w:sz="4" w:space="0" w:color="auto"/>
            </w:tcBorders>
            <w:shd w:val="clear" w:color="auto" w:fill="C6EFCE"/>
            <w:noWrap/>
            <w:vAlign w:val="center"/>
            <w:hideMark/>
          </w:tcPr>
          <w:p w14:paraId="5E92665C" w14:textId="690E20E7" w:rsidR="0023462A" w:rsidRDefault="00A550FA">
            <w:pPr>
              <w:pStyle w:val="P68B1DB1-Normal32"/>
              <w:spacing w:after="120" w:line="240" w:lineRule="auto"/>
              <w:rPr>
                <w:rFonts w:eastAsiaTheme="minorHAnsi"/>
                <w:noProof/>
              </w:rPr>
            </w:pPr>
            <w:r>
              <w:rPr>
                <w:noProof/>
              </w:rPr>
              <w:t>Étape</w:t>
            </w:r>
          </w:p>
        </w:tc>
        <w:tc>
          <w:tcPr>
            <w:tcW w:w="1129" w:type="dxa"/>
            <w:tcBorders>
              <w:top w:val="nil"/>
              <w:left w:val="nil"/>
              <w:bottom w:val="single" w:sz="4" w:space="0" w:color="auto"/>
              <w:right w:val="single" w:sz="4" w:space="0" w:color="auto"/>
            </w:tcBorders>
            <w:shd w:val="clear" w:color="auto" w:fill="C6EFCE"/>
            <w:vAlign w:val="center"/>
            <w:hideMark/>
          </w:tcPr>
          <w:p w14:paraId="316DB648" w14:textId="6DFB5B41" w:rsidR="0023462A" w:rsidRDefault="00A550FA">
            <w:pPr>
              <w:pStyle w:val="P68B1DB1-Normal32"/>
              <w:spacing w:after="120" w:line="240" w:lineRule="auto"/>
              <w:rPr>
                <w:noProof/>
              </w:rPr>
            </w:pPr>
            <w:r>
              <w:rPr>
                <w:noProof/>
              </w:rPr>
              <w:t>Travaux relatifs au tronçon ferroviaire Békéscsaba-Lőkösháza</w:t>
            </w:r>
          </w:p>
        </w:tc>
        <w:tc>
          <w:tcPr>
            <w:tcW w:w="1134" w:type="dxa"/>
            <w:tcBorders>
              <w:top w:val="nil"/>
              <w:left w:val="nil"/>
              <w:bottom w:val="single" w:sz="4" w:space="0" w:color="auto"/>
              <w:right w:val="single" w:sz="4" w:space="0" w:color="auto"/>
            </w:tcBorders>
            <w:shd w:val="clear" w:color="auto" w:fill="C6EFCE"/>
            <w:vAlign w:val="center"/>
            <w:hideMark/>
          </w:tcPr>
          <w:p w14:paraId="58F6C058" w14:textId="4F19FD8F" w:rsidR="0023462A" w:rsidRDefault="00A550FA">
            <w:pPr>
              <w:pStyle w:val="P68B1DB1-Normal32"/>
              <w:spacing w:after="120" w:line="240" w:lineRule="auto"/>
              <w:rPr>
                <w:noProof/>
              </w:rPr>
            </w:pPr>
            <w:r>
              <w:rPr>
                <w:noProof/>
              </w:rPr>
              <w:t>Protocole(s) de transfert et d'acceptation</w:t>
            </w:r>
          </w:p>
        </w:tc>
        <w:tc>
          <w:tcPr>
            <w:tcW w:w="1417" w:type="dxa"/>
            <w:tcBorders>
              <w:top w:val="nil"/>
              <w:left w:val="nil"/>
              <w:bottom w:val="single" w:sz="4" w:space="0" w:color="auto"/>
              <w:right w:val="single" w:sz="4" w:space="0" w:color="auto"/>
            </w:tcBorders>
            <w:shd w:val="clear" w:color="auto" w:fill="C6EFCE"/>
            <w:noWrap/>
            <w:vAlign w:val="center"/>
            <w:hideMark/>
          </w:tcPr>
          <w:p w14:paraId="0D3DE828" w14:textId="5EE8BB5B" w:rsidR="0023462A" w:rsidRDefault="0023462A">
            <w:pPr>
              <w:spacing w:after="120" w:line="240" w:lineRule="auto"/>
              <w:jc w:val="center"/>
              <w:rPr>
                <w:rFonts w:ascii="Times New Roman" w:eastAsiaTheme="minorHAnsi"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noWrap/>
            <w:vAlign w:val="center"/>
            <w:hideMark/>
          </w:tcPr>
          <w:p w14:paraId="1B00077F" w14:textId="77777777" w:rsidR="0023462A" w:rsidRDefault="0023462A">
            <w:pPr>
              <w:spacing w:after="120" w:line="240" w:lineRule="auto"/>
              <w:jc w:val="center"/>
              <w:rPr>
                <w:rFonts w:ascii="Times New Roman"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hideMark/>
          </w:tcPr>
          <w:p w14:paraId="6B2C591E" w14:textId="40B20930" w:rsidR="0023462A" w:rsidRDefault="0023462A">
            <w:pPr>
              <w:spacing w:after="120" w:line="240" w:lineRule="auto"/>
              <w:jc w:val="center"/>
              <w:rPr>
                <w:rFonts w:ascii="Times New Roman"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vAlign w:val="center"/>
            <w:hideMark/>
          </w:tcPr>
          <w:p w14:paraId="1F63C6C4" w14:textId="77777777" w:rsidR="0023462A" w:rsidRDefault="00A550FA">
            <w:pPr>
              <w:pStyle w:val="P68B1DB1-Normal32"/>
              <w:spacing w:after="120" w:line="240" w:lineRule="auto"/>
              <w:jc w:val="center"/>
              <w:rPr>
                <w:rFonts w:eastAsiaTheme="minorHAnsi"/>
                <w:noProof/>
              </w:rPr>
            </w:pPr>
            <w:r>
              <w:rPr>
                <w:noProof/>
              </w:rPr>
              <w:t>T2</w:t>
            </w:r>
          </w:p>
        </w:tc>
        <w:tc>
          <w:tcPr>
            <w:tcW w:w="709" w:type="dxa"/>
            <w:tcBorders>
              <w:top w:val="nil"/>
              <w:left w:val="nil"/>
              <w:bottom w:val="single" w:sz="4" w:space="0" w:color="auto"/>
              <w:right w:val="single" w:sz="4" w:space="0" w:color="auto"/>
            </w:tcBorders>
            <w:shd w:val="clear" w:color="auto" w:fill="C6EFCE"/>
            <w:vAlign w:val="center"/>
            <w:hideMark/>
          </w:tcPr>
          <w:p w14:paraId="51CD1236" w14:textId="77777777" w:rsidR="0023462A" w:rsidRDefault="00A550FA">
            <w:pPr>
              <w:pStyle w:val="P68B1DB1-Normal32"/>
              <w:spacing w:after="120" w:line="240" w:lineRule="auto"/>
              <w:jc w:val="center"/>
              <w:rPr>
                <w:rFonts w:eastAsiaTheme="minorHAnsi"/>
                <w:noProof/>
              </w:rPr>
            </w:pPr>
            <w:r>
              <w:rPr>
                <w:noProof/>
              </w:rPr>
              <w:t>2026</w:t>
            </w:r>
          </w:p>
        </w:tc>
        <w:tc>
          <w:tcPr>
            <w:tcW w:w="3588" w:type="dxa"/>
            <w:tcBorders>
              <w:top w:val="nil"/>
              <w:left w:val="nil"/>
              <w:bottom w:val="single" w:sz="4" w:space="0" w:color="auto"/>
              <w:right w:val="single" w:sz="4" w:space="0" w:color="auto"/>
            </w:tcBorders>
            <w:shd w:val="clear" w:color="auto" w:fill="C6EFCE"/>
            <w:vAlign w:val="center"/>
            <w:hideMark/>
          </w:tcPr>
          <w:p w14:paraId="4340869F" w14:textId="0BEE718E" w:rsidR="0023462A" w:rsidRDefault="00A550FA">
            <w:pPr>
              <w:pStyle w:val="P68B1DB1-Normal32"/>
              <w:spacing w:after="120" w:line="240" w:lineRule="auto"/>
              <w:rPr>
                <w:noProof/>
              </w:rPr>
            </w:pPr>
            <w:r>
              <w:rPr>
                <w:noProof/>
              </w:rPr>
              <w:t>Protocole(s) technique(s) de remise et de réception des travaux de (re)construction de l'infrastructure ferroviaire entre Békéscsaba et Lőkösháza.</w:t>
            </w:r>
          </w:p>
        </w:tc>
      </w:tr>
      <w:tr w:rsidR="0023462A" w14:paraId="323651DE" w14:textId="77777777" w:rsidTr="009C289F">
        <w:trPr>
          <w:trHeight w:val="930"/>
          <w:jc w:val="center"/>
        </w:trPr>
        <w:tc>
          <w:tcPr>
            <w:tcW w:w="988" w:type="dxa"/>
            <w:tcBorders>
              <w:top w:val="nil"/>
              <w:left w:val="single" w:sz="4" w:space="0" w:color="auto"/>
              <w:bottom w:val="single" w:sz="4" w:space="0" w:color="auto"/>
              <w:right w:val="single" w:sz="4" w:space="0" w:color="auto"/>
            </w:tcBorders>
            <w:shd w:val="clear" w:color="auto" w:fill="C6EFCE"/>
            <w:noWrap/>
            <w:vAlign w:val="center"/>
            <w:hideMark/>
          </w:tcPr>
          <w:p w14:paraId="74DFE8F1" w14:textId="7A036132" w:rsidR="0023462A" w:rsidRDefault="00A550FA">
            <w:pPr>
              <w:pStyle w:val="P68B1DB1-Normal32"/>
              <w:spacing w:after="120" w:line="240" w:lineRule="auto"/>
              <w:rPr>
                <w:noProof/>
              </w:rPr>
            </w:pPr>
            <w:r>
              <w:rPr>
                <w:noProof/>
              </w:rPr>
              <w:t>23</w:t>
            </w:r>
          </w:p>
        </w:tc>
        <w:tc>
          <w:tcPr>
            <w:tcW w:w="1744" w:type="dxa"/>
            <w:tcBorders>
              <w:top w:val="nil"/>
              <w:left w:val="nil"/>
              <w:bottom w:val="single" w:sz="4" w:space="0" w:color="auto"/>
              <w:right w:val="single" w:sz="4" w:space="0" w:color="auto"/>
            </w:tcBorders>
            <w:shd w:val="clear" w:color="auto" w:fill="C6EFCE"/>
            <w:vAlign w:val="center"/>
            <w:hideMark/>
          </w:tcPr>
          <w:p w14:paraId="4CF86CCC" w14:textId="77777777" w:rsidR="0023462A" w:rsidRDefault="00A550FA">
            <w:pPr>
              <w:pStyle w:val="P68B1DB1-Normal32"/>
              <w:spacing w:after="120" w:line="240" w:lineRule="auto"/>
              <w:rPr>
                <w:rFonts w:eastAsiaTheme="minorHAnsi"/>
                <w:noProof/>
              </w:rPr>
            </w:pPr>
            <w:r>
              <w:rPr>
                <w:noProof/>
              </w:rPr>
              <w:t>C5.I3 Développement du transport par autobus à émissions nulles</w:t>
            </w:r>
          </w:p>
        </w:tc>
        <w:tc>
          <w:tcPr>
            <w:tcW w:w="1096" w:type="dxa"/>
            <w:tcBorders>
              <w:top w:val="nil"/>
              <w:left w:val="nil"/>
              <w:bottom w:val="single" w:sz="4" w:space="0" w:color="auto"/>
              <w:right w:val="single" w:sz="4" w:space="0" w:color="auto"/>
            </w:tcBorders>
            <w:shd w:val="clear" w:color="auto" w:fill="C6EFCE"/>
            <w:noWrap/>
            <w:vAlign w:val="center"/>
            <w:hideMark/>
          </w:tcPr>
          <w:p w14:paraId="7172A2B3" w14:textId="77777777" w:rsidR="0023462A" w:rsidRDefault="00A550FA">
            <w:pPr>
              <w:pStyle w:val="P68B1DB1-Normal32"/>
              <w:spacing w:after="120" w:line="240" w:lineRule="auto"/>
              <w:rPr>
                <w:rFonts w:eastAsiaTheme="minorHAnsi"/>
                <w:noProof/>
              </w:rPr>
            </w:pPr>
            <w:r>
              <w:rPr>
                <w:noProof/>
              </w:rPr>
              <w:t>Objectif</w:t>
            </w:r>
          </w:p>
        </w:tc>
        <w:tc>
          <w:tcPr>
            <w:tcW w:w="1129" w:type="dxa"/>
            <w:tcBorders>
              <w:top w:val="nil"/>
              <w:left w:val="nil"/>
              <w:bottom w:val="single" w:sz="4" w:space="0" w:color="auto"/>
              <w:right w:val="single" w:sz="4" w:space="0" w:color="auto"/>
            </w:tcBorders>
            <w:shd w:val="clear" w:color="auto" w:fill="C6EFCE"/>
            <w:vAlign w:val="center"/>
            <w:hideMark/>
          </w:tcPr>
          <w:p w14:paraId="55D8B000" w14:textId="4DDA3349" w:rsidR="0023462A" w:rsidRDefault="00A550FA">
            <w:pPr>
              <w:pStyle w:val="P68B1DB1-Normal32"/>
              <w:spacing w:after="120" w:line="240" w:lineRule="auto"/>
              <w:rPr>
                <w:noProof/>
              </w:rPr>
            </w:pPr>
            <w:r>
              <w:rPr>
                <w:noProof/>
              </w:rPr>
              <w:t>Livraison de bus à émissions nulles/électriques</w:t>
            </w:r>
          </w:p>
        </w:tc>
        <w:tc>
          <w:tcPr>
            <w:tcW w:w="1134" w:type="dxa"/>
            <w:tcBorders>
              <w:top w:val="nil"/>
              <w:left w:val="nil"/>
              <w:bottom w:val="single" w:sz="4" w:space="0" w:color="auto"/>
              <w:right w:val="single" w:sz="4" w:space="0" w:color="auto"/>
            </w:tcBorders>
            <w:shd w:val="clear" w:color="auto" w:fill="C6EFCE"/>
            <w:vAlign w:val="center"/>
            <w:hideMark/>
          </w:tcPr>
          <w:p w14:paraId="74E4DD51" w14:textId="0B32B2B9" w:rsidR="0023462A" w:rsidRDefault="00A550FA">
            <w:pPr>
              <w:pStyle w:val="P68B1DB1-Normal32"/>
              <w:spacing w:after="120" w:line="240" w:lineRule="auto"/>
              <w:rPr>
                <w:noProof/>
                <w:highlight w:val="yellow"/>
              </w:rPr>
            </w:pPr>
            <w:r>
              <w:rPr>
                <w:noProof/>
              </w:rPr>
              <w:t xml:space="preserve"> </w:t>
            </w:r>
          </w:p>
        </w:tc>
        <w:tc>
          <w:tcPr>
            <w:tcW w:w="1417" w:type="dxa"/>
            <w:tcBorders>
              <w:top w:val="nil"/>
              <w:left w:val="nil"/>
              <w:bottom w:val="single" w:sz="4" w:space="0" w:color="auto"/>
              <w:right w:val="single" w:sz="4" w:space="0" w:color="auto"/>
            </w:tcBorders>
            <w:shd w:val="clear" w:color="auto" w:fill="C6EFCE"/>
            <w:noWrap/>
            <w:vAlign w:val="center"/>
            <w:hideMark/>
          </w:tcPr>
          <w:p w14:paraId="0B0B6D28" w14:textId="77777777" w:rsidR="0023462A" w:rsidRDefault="00A550FA">
            <w:pPr>
              <w:pStyle w:val="P68B1DB1-Normal32"/>
              <w:spacing w:after="120" w:line="240" w:lineRule="auto"/>
              <w:jc w:val="center"/>
              <w:rPr>
                <w:noProof/>
              </w:rPr>
            </w:pPr>
            <w:r>
              <w:rPr>
                <w:noProof/>
              </w:rPr>
              <w:t>Numéro</w:t>
            </w:r>
          </w:p>
        </w:tc>
        <w:tc>
          <w:tcPr>
            <w:tcW w:w="992" w:type="dxa"/>
            <w:tcBorders>
              <w:top w:val="nil"/>
              <w:left w:val="nil"/>
              <w:bottom w:val="single" w:sz="4" w:space="0" w:color="auto"/>
              <w:right w:val="single" w:sz="4" w:space="0" w:color="auto"/>
            </w:tcBorders>
            <w:shd w:val="clear" w:color="auto" w:fill="C6EFCE"/>
            <w:noWrap/>
            <w:vAlign w:val="center"/>
            <w:hideMark/>
          </w:tcPr>
          <w:p w14:paraId="50674D67" w14:textId="0EC615ED" w:rsidR="0023462A" w:rsidRDefault="00A550FA">
            <w:pPr>
              <w:pStyle w:val="P68B1DB1-Normal32"/>
              <w:spacing w:after="120" w:line="240" w:lineRule="auto"/>
              <w:jc w:val="center"/>
              <w:rPr>
                <w:noProof/>
              </w:rPr>
            </w:pPr>
            <w:r>
              <w:rPr>
                <w:noProof/>
              </w:rPr>
              <w:t>0</w:t>
            </w:r>
          </w:p>
        </w:tc>
        <w:tc>
          <w:tcPr>
            <w:tcW w:w="1134" w:type="dxa"/>
            <w:tcBorders>
              <w:top w:val="nil"/>
              <w:left w:val="nil"/>
              <w:bottom w:val="single" w:sz="4" w:space="0" w:color="auto"/>
              <w:right w:val="single" w:sz="4" w:space="0" w:color="auto"/>
            </w:tcBorders>
            <w:shd w:val="clear" w:color="auto" w:fill="C6EFCE"/>
            <w:noWrap/>
            <w:vAlign w:val="center"/>
            <w:hideMark/>
          </w:tcPr>
          <w:p w14:paraId="26115943" w14:textId="6043D294" w:rsidR="0023462A" w:rsidRDefault="00A550FA">
            <w:pPr>
              <w:pStyle w:val="P68B1DB1-Normal32"/>
              <w:spacing w:after="120" w:line="240" w:lineRule="auto"/>
              <w:jc w:val="center"/>
              <w:rPr>
                <w:noProof/>
              </w:rPr>
            </w:pPr>
            <w:r>
              <w:rPr>
                <w:noProof/>
              </w:rPr>
              <w:t>187</w:t>
            </w:r>
          </w:p>
        </w:tc>
        <w:tc>
          <w:tcPr>
            <w:tcW w:w="1134" w:type="dxa"/>
            <w:tcBorders>
              <w:top w:val="nil"/>
              <w:left w:val="nil"/>
              <w:bottom w:val="single" w:sz="4" w:space="0" w:color="auto"/>
              <w:right w:val="single" w:sz="4" w:space="0" w:color="auto"/>
            </w:tcBorders>
            <w:shd w:val="clear" w:color="auto" w:fill="C6EFCE"/>
            <w:vAlign w:val="center"/>
            <w:hideMark/>
          </w:tcPr>
          <w:p w14:paraId="029A27F3" w14:textId="46EE50E9" w:rsidR="0023462A" w:rsidRDefault="00A550FA">
            <w:pPr>
              <w:pStyle w:val="P68B1DB1-Normal32"/>
              <w:spacing w:after="120" w:line="240" w:lineRule="auto"/>
              <w:jc w:val="center"/>
              <w:rPr>
                <w:rFonts w:eastAsiaTheme="minorHAnsi"/>
                <w:noProof/>
              </w:rPr>
            </w:pPr>
            <w:r>
              <w:rPr>
                <w:noProof/>
              </w:rPr>
              <w:t>T2</w:t>
            </w:r>
          </w:p>
        </w:tc>
        <w:tc>
          <w:tcPr>
            <w:tcW w:w="709" w:type="dxa"/>
            <w:tcBorders>
              <w:top w:val="nil"/>
              <w:left w:val="nil"/>
              <w:bottom w:val="single" w:sz="4" w:space="0" w:color="auto"/>
              <w:right w:val="single" w:sz="4" w:space="0" w:color="auto"/>
            </w:tcBorders>
            <w:shd w:val="clear" w:color="auto" w:fill="C6EFCE"/>
            <w:vAlign w:val="center"/>
            <w:hideMark/>
          </w:tcPr>
          <w:p w14:paraId="6EFB4920" w14:textId="3FA2C8DF" w:rsidR="0023462A" w:rsidRDefault="00A550FA">
            <w:pPr>
              <w:pStyle w:val="P68B1DB1-Normal32"/>
              <w:spacing w:after="120" w:line="240" w:lineRule="auto"/>
              <w:jc w:val="center"/>
              <w:rPr>
                <w:rFonts w:eastAsiaTheme="minorHAnsi"/>
                <w:noProof/>
              </w:rPr>
            </w:pPr>
            <w:r>
              <w:rPr>
                <w:noProof/>
              </w:rPr>
              <w:t>2026</w:t>
            </w:r>
          </w:p>
        </w:tc>
        <w:tc>
          <w:tcPr>
            <w:tcW w:w="3588" w:type="dxa"/>
            <w:tcBorders>
              <w:top w:val="nil"/>
              <w:left w:val="nil"/>
              <w:bottom w:val="single" w:sz="4" w:space="0" w:color="auto"/>
              <w:right w:val="single" w:sz="4" w:space="0" w:color="auto"/>
            </w:tcBorders>
            <w:shd w:val="clear" w:color="auto" w:fill="C6EFCE"/>
            <w:vAlign w:val="center"/>
            <w:hideMark/>
          </w:tcPr>
          <w:p w14:paraId="79AFD552" w14:textId="03C5F30E" w:rsidR="0023462A" w:rsidRDefault="00A550FA">
            <w:pPr>
              <w:pStyle w:val="P68B1DB1-Normal32"/>
              <w:spacing w:after="120" w:line="240" w:lineRule="auto"/>
              <w:rPr>
                <w:noProof/>
              </w:rPr>
            </w:pPr>
            <w:r>
              <w:rPr>
                <w:noProof/>
              </w:rPr>
              <w:t>Livraison de 187 bus zéro émission/électriques.</w:t>
            </w:r>
          </w:p>
          <w:p w14:paraId="39314524" w14:textId="25EDFAA1" w:rsidR="0023462A" w:rsidRDefault="0023462A">
            <w:pPr>
              <w:spacing w:after="120" w:line="240" w:lineRule="auto"/>
              <w:rPr>
                <w:rFonts w:ascii="Times New Roman" w:hAnsi="Times New Roman" w:cs="Times New Roman"/>
                <w:noProof/>
                <w:sz w:val="18"/>
                <w:szCs w:val="18"/>
              </w:rPr>
            </w:pPr>
          </w:p>
        </w:tc>
      </w:tr>
      <w:tr w:rsidR="0023462A" w14:paraId="0946B03F" w14:textId="77777777" w:rsidTr="009C289F">
        <w:trPr>
          <w:trHeight w:val="79"/>
          <w:jc w:val="center"/>
        </w:trPr>
        <w:tc>
          <w:tcPr>
            <w:tcW w:w="988" w:type="dxa"/>
            <w:tcBorders>
              <w:top w:val="nil"/>
              <w:left w:val="single" w:sz="4" w:space="0" w:color="auto"/>
              <w:bottom w:val="single" w:sz="4" w:space="0" w:color="auto"/>
              <w:right w:val="single" w:sz="4" w:space="0" w:color="auto"/>
            </w:tcBorders>
            <w:shd w:val="clear" w:color="auto" w:fill="C6EFCE"/>
            <w:noWrap/>
            <w:vAlign w:val="center"/>
          </w:tcPr>
          <w:p w14:paraId="4DD7BAB8" w14:textId="6D83394D" w:rsidR="0023462A" w:rsidRDefault="00A550FA">
            <w:pPr>
              <w:pStyle w:val="P68B1DB1-Normal32"/>
              <w:spacing w:after="120" w:line="240" w:lineRule="auto"/>
              <w:rPr>
                <w:noProof/>
              </w:rPr>
            </w:pPr>
            <w:r>
              <w:rPr>
                <w:noProof/>
              </w:rPr>
              <w:t>24</w:t>
            </w:r>
          </w:p>
        </w:tc>
        <w:tc>
          <w:tcPr>
            <w:tcW w:w="1744" w:type="dxa"/>
            <w:tcBorders>
              <w:top w:val="single" w:sz="4" w:space="0" w:color="auto"/>
              <w:left w:val="nil"/>
              <w:bottom w:val="single" w:sz="4" w:space="0" w:color="auto"/>
              <w:right w:val="single" w:sz="4" w:space="0" w:color="auto"/>
            </w:tcBorders>
            <w:shd w:val="clear" w:color="auto" w:fill="C6EFCE"/>
            <w:vAlign w:val="center"/>
          </w:tcPr>
          <w:p w14:paraId="682305E0" w14:textId="5C0A0FD0" w:rsidR="0023462A" w:rsidRDefault="00A550FA">
            <w:pPr>
              <w:pStyle w:val="P68B1DB1-Normal32"/>
              <w:spacing w:after="120" w:line="240" w:lineRule="auto"/>
              <w:rPr>
                <w:rFonts w:eastAsiaTheme="minorHAnsi"/>
                <w:noProof/>
              </w:rPr>
            </w:pPr>
            <w:r>
              <w:rPr>
                <w:noProof/>
              </w:rPr>
              <w:t xml:space="preserve">C5.I4 Développement d'un système de tramway et de trolleybus </w:t>
            </w:r>
          </w:p>
        </w:tc>
        <w:tc>
          <w:tcPr>
            <w:tcW w:w="1096" w:type="dxa"/>
            <w:tcBorders>
              <w:top w:val="nil"/>
              <w:left w:val="nil"/>
              <w:bottom w:val="single" w:sz="4" w:space="0" w:color="auto"/>
              <w:right w:val="single" w:sz="4" w:space="0" w:color="auto"/>
            </w:tcBorders>
            <w:shd w:val="clear" w:color="auto" w:fill="C6EFCE"/>
            <w:noWrap/>
            <w:vAlign w:val="center"/>
          </w:tcPr>
          <w:p w14:paraId="22A5504C" w14:textId="5E3A306A" w:rsidR="0023462A" w:rsidRDefault="00A550FA">
            <w:pPr>
              <w:pStyle w:val="P68B1DB1-Normal32"/>
              <w:spacing w:after="120" w:line="240" w:lineRule="auto"/>
              <w:rPr>
                <w:rFonts w:eastAsiaTheme="minorHAnsi"/>
                <w:noProof/>
              </w:rPr>
            </w:pPr>
            <w:r>
              <w:rPr>
                <w:noProof/>
              </w:rPr>
              <w:t>Étape</w:t>
            </w:r>
          </w:p>
        </w:tc>
        <w:tc>
          <w:tcPr>
            <w:tcW w:w="1129" w:type="dxa"/>
            <w:tcBorders>
              <w:top w:val="single" w:sz="4" w:space="0" w:color="auto"/>
              <w:left w:val="nil"/>
              <w:bottom w:val="single" w:sz="4" w:space="0" w:color="auto"/>
              <w:right w:val="single" w:sz="4" w:space="0" w:color="auto"/>
            </w:tcBorders>
            <w:shd w:val="clear" w:color="auto" w:fill="C6EFCE"/>
            <w:vAlign w:val="center"/>
          </w:tcPr>
          <w:p w14:paraId="3B0638FE" w14:textId="6E4FF1C7" w:rsidR="0023462A" w:rsidRDefault="00A550FA">
            <w:pPr>
              <w:pStyle w:val="P68B1DB1-Normal32"/>
              <w:spacing w:after="120" w:line="240" w:lineRule="auto"/>
              <w:rPr>
                <w:noProof/>
              </w:rPr>
            </w:pPr>
            <w:r>
              <w:rPr>
                <w:noProof/>
              </w:rPr>
              <w:t>Tramway</w:t>
            </w:r>
          </w:p>
        </w:tc>
        <w:tc>
          <w:tcPr>
            <w:tcW w:w="1134" w:type="dxa"/>
            <w:tcBorders>
              <w:top w:val="nil"/>
              <w:left w:val="nil"/>
              <w:bottom w:val="single" w:sz="4" w:space="0" w:color="auto"/>
              <w:right w:val="single" w:sz="4" w:space="0" w:color="auto"/>
            </w:tcBorders>
            <w:shd w:val="clear" w:color="auto" w:fill="C6EFCE"/>
            <w:vAlign w:val="center"/>
          </w:tcPr>
          <w:p w14:paraId="78C549C1" w14:textId="79604392" w:rsidR="0023462A" w:rsidRDefault="00A550FA">
            <w:pPr>
              <w:pStyle w:val="P68B1DB1-Normal32"/>
              <w:spacing w:after="120" w:line="240" w:lineRule="auto"/>
              <w:rPr>
                <w:noProof/>
              </w:rPr>
            </w:pPr>
            <w:r>
              <w:rPr>
                <w:noProof/>
              </w:rPr>
              <w:t>Protocole(s) technique(s) de transfert/rapport(s) de production</w:t>
            </w:r>
          </w:p>
        </w:tc>
        <w:tc>
          <w:tcPr>
            <w:tcW w:w="1417" w:type="dxa"/>
            <w:tcBorders>
              <w:top w:val="nil"/>
              <w:left w:val="nil"/>
              <w:bottom w:val="single" w:sz="4" w:space="0" w:color="auto"/>
              <w:right w:val="single" w:sz="4" w:space="0" w:color="auto"/>
            </w:tcBorders>
            <w:shd w:val="clear" w:color="auto" w:fill="C6EFCE"/>
            <w:noWrap/>
            <w:vAlign w:val="center"/>
          </w:tcPr>
          <w:p w14:paraId="43AB5704" w14:textId="7D0D3BE9" w:rsidR="0023462A" w:rsidRDefault="0023462A">
            <w:pPr>
              <w:spacing w:after="120" w:line="240" w:lineRule="auto"/>
              <w:jc w:val="center"/>
              <w:rPr>
                <w:rFonts w:ascii="Times New Roman" w:eastAsiaTheme="minorHAnsi"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noWrap/>
            <w:vAlign w:val="center"/>
          </w:tcPr>
          <w:p w14:paraId="1F360F7E" w14:textId="7FC04DDB" w:rsidR="0023462A" w:rsidRDefault="0023462A">
            <w:pPr>
              <w:spacing w:after="120" w:line="240" w:lineRule="auto"/>
              <w:jc w:val="center"/>
              <w:rPr>
                <w:rFonts w:ascii="Times New Roman"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77FD22D8" w14:textId="0F77C046" w:rsidR="0023462A" w:rsidRDefault="0023462A">
            <w:pPr>
              <w:spacing w:after="120" w:line="240" w:lineRule="auto"/>
              <w:jc w:val="center"/>
              <w:rPr>
                <w:rFonts w:ascii="Times New Roman" w:eastAsiaTheme="minorHAns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vAlign w:val="center"/>
          </w:tcPr>
          <w:p w14:paraId="452EC303" w14:textId="77777777" w:rsidR="0023462A" w:rsidRDefault="00A550FA">
            <w:pPr>
              <w:pStyle w:val="P68B1DB1-Normal32"/>
              <w:spacing w:after="120" w:line="240" w:lineRule="auto"/>
              <w:jc w:val="center"/>
              <w:rPr>
                <w:rFonts w:eastAsiaTheme="minorHAnsi"/>
                <w:noProof/>
              </w:rPr>
            </w:pPr>
            <w:r>
              <w:rPr>
                <w:noProof/>
              </w:rPr>
              <w:t>T2</w:t>
            </w:r>
          </w:p>
        </w:tc>
        <w:tc>
          <w:tcPr>
            <w:tcW w:w="709" w:type="dxa"/>
            <w:tcBorders>
              <w:top w:val="nil"/>
              <w:left w:val="nil"/>
              <w:bottom w:val="single" w:sz="4" w:space="0" w:color="auto"/>
              <w:right w:val="single" w:sz="4" w:space="0" w:color="auto"/>
            </w:tcBorders>
            <w:shd w:val="clear" w:color="auto" w:fill="C6EFCE"/>
            <w:vAlign w:val="center"/>
          </w:tcPr>
          <w:p w14:paraId="2DFC1E63" w14:textId="77777777" w:rsidR="0023462A" w:rsidRDefault="00A550FA">
            <w:pPr>
              <w:pStyle w:val="P68B1DB1-Normal32"/>
              <w:spacing w:after="120" w:line="240" w:lineRule="auto"/>
              <w:jc w:val="center"/>
              <w:rPr>
                <w:rFonts w:eastAsiaTheme="minorHAnsi"/>
                <w:noProof/>
              </w:rPr>
            </w:pPr>
            <w:r>
              <w:rPr>
                <w:noProof/>
              </w:rPr>
              <w:t>2026</w:t>
            </w:r>
          </w:p>
        </w:tc>
        <w:tc>
          <w:tcPr>
            <w:tcW w:w="3588" w:type="dxa"/>
            <w:tcBorders>
              <w:top w:val="nil"/>
              <w:left w:val="nil"/>
              <w:bottom w:val="single" w:sz="4" w:space="0" w:color="auto"/>
              <w:right w:val="single" w:sz="4" w:space="0" w:color="auto"/>
            </w:tcBorders>
            <w:shd w:val="clear" w:color="auto" w:fill="C6EFCE"/>
            <w:vAlign w:val="center"/>
          </w:tcPr>
          <w:p w14:paraId="2B8ADCD5" w14:textId="50930617" w:rsidR="0023462A" w:rsidRDefault="00A550FA">
            <w:pPr>
              <w:pStyle w:val="P68B1DB1-Normal32"/>
              <w:spacing w:after="120" w:line="240" w:lineRule="auto"/>
              <w:rPr>
                <w:noProof/>
              </w:rPr>
            </w:pPr>
            <w:r>
              <w:rPr>
                <w:noProof/>
              </w:rPr>
              <w:t xml:space="preserve">Protocole(s) technique(s) de remise pour 41 trams et rapport(s) de production pour 4 trams. </w:t>
            </w:r>
          </w:p>
        </w:tc>
      </w:tr>
      <w:tr w:rsidR="0023462A" w14:paraId="51A77253" w14:textId="77777777" w:rsidTr="009C289F">
        <w:trPr>
          <w:trHeight w:val="79"/>
          <w:jc w:val="center"/>
        </w:trPr>
        <w:tc>
          <w:tcPr>
            <w:tcW w:w="988" w:type="dxa"/>
            <w:tcBorders>
              <w:top w:val="nil"/>
              <w:left w:val="single" w:sz="4" w:space="0" w:color="auto"/>
              <w:bottom w:val="single" w:sz="4" w:space="0" w:color="auto"/>
              <w:right w:val="single" w:sz="4" w:space="0" w:color="auto"/>
            </w:tcBorders>
            <w:shd w:val="clear" w:color="auto" w:fill="C6EFCE"/>
            <w:noWrap/>
            <w:vAlign w:val="center"/>
          </w:tcPr>
          <w:p w14:paraId="77E424B2" w14:textId="1D3016EA" w:rsidR="0023462A" w:rsidRDefault="00A550FA">
            <w:pPr>
              <w:pStyle w:val="P68B1DB1-Normal32"/>
              <w:spacing w:after="120" w:line="240" w:lineRule="auto"/>
              <w:rPr>
                <w:noProof/>
              </w:rPr>
            </w:pPr>
            <w:r>
              <w:rPr>
                <w:noProof/>
              </w:rPr>
              <w:t>25</w:t>
            </w:r>
          </w:p>
        </w:tc>
        <w:tc>
          <w:tcPr>
            <w:tcW w:w="1744" w:type="dxa"/>
            <w:tcBorders>
              <w:top w:val="nil"/>
              <w:left w:val="nil"/>
              <w:bottom w:val="single" w:sz="4" w:space="0" w:color="auto"/>
              <w:right w:val="single" w:sz="4" w:space="0" w:color="auto"/>
            </w:tcBorders>
            <w:shd w:val="clear" w:color="auto" w:fill="C6EFCE"/>
            <w:vAlign w:val="center"/>
          </w:tcPr>
          <w:p w14:paraId="0660A945" w14:textId="090D9374" w:rsidR="0023462A" w:rsidRDefault="00A550FA">
            <w:pPr>
              <w:pStyle w:val="P68B1DB1-Normal32"/>
              <w:spacing w:after="120" w:line="240" w:lineRule="auto"/>
              <w:rPr>
                <w:rFonts w:eastAsiaTheme="minorHAnsi"/>
                <w:noProof/>
              </w:rPr>
            </w:pPr>
            <w:r>
              <w:rPr>
                <w:noProof/>
              </w:rPr>
              <w:t xml:space="preserve">C5.I4 Développement d'un système de tramway et de trolleybus </w:t>
            </w:r>
          </w:p>
        </w:tc>
        <w:tc>
          <w:tcPr>
            <w:tcW w:w="1096" w:type="dxa"/>
            <w:tcBorders>
              <w:top w:val="nil"/>
              <w:left w:val="nil"/>
              <w:bottom w:val="single" w:sz="4" w:space="0" w:color="auto"/>
              <w:right w:val="single" w:sz="4" w:space="0" w:color="auto"/>
            </w:tcBorders>
            <w:shd w:val="clear" w:color="auto" w:fill="C6EFCE"/>
            <w:noWrap/>
            <w:vAlign w:val="center"/>
          </w:tcPr>
          <w:p w14:paraId="454A5F0F" w14:textId="6A9FB6F7" w:rsidR="0023462A" w:rsidRDefault="00A550FA">
            <w:pPr>
              <w:pStyle w:val="P68B1DB1-Normal32"/>
              <w:spacing w:after="120" w:line="240" w:lineRule="auto"/>
              <w:rPr>
                <w:rFonts w:eastAsiaTheme="minorHAnsi"/>
                <w:noProof/>
              </w:rPr>
            </w:pPr>
            <w:r>
              <w:rPr>
                <w:noProof/>
              </w:rPr>
              <w:t>Étape</w:t>
            </w:r>
          </w:p>
        </w:tc>
        <w:tc>
          <w:tcPr>
            <w:tcW w:w="1129" w:type="dxa"/>
            <w:tcBorders>
              <w:top w:val="nil"/>
              <w:left w:val="nil"/>
              <w:bottom w:val="single" w:sz="4" w:space="0" w:color="auto"/>
              <w:right w:val="single" w:sz="4" w:space="0" w:color="auto"/>
            </w:tcBorders>
            <w:shd w:val="clear" w:color="auto" w:fill="C6EFCE"/>
            <w:vAlign w:val="center"/>
          </w:tcPr>
          <w:p w14:paraId="512D959E" w14:textId="069527B9" w:rsidR="0023462A" w:rsidRDefault="00A550FA">
            <w:pPr>
              <w:pStyle w:val="P68B1DB1-Normal32"/>
              <w:spacing w:after="120" w:line="240" w:lineRule="auto"/>
              <w:rPr>
                <w:noProof/>
              </w:rPr>
            </w:pPr>
            <w:r>
              <w:rPr>
                <w:noProof/>
              </w:rPr>
              <w:t xml:space="preserve">Trolleybus </w:t>
            </w:r>
          </w:p>
        </w:tc>
        <w:tc>
          <w:tcPr>
            <w:tcW w:w="1134" w:type="dxa"/>
            <w:tcBorders>
              <w:top w:val="nil"/>
              <w:left w:val="nil"/>
              <w:bottom w:val="single" w:sz="4" w:space="0" w:color="auto"/>
              <w:right w:val="single" w:sz="4" w:space="0" w:color="auto"/>
            </w:tcBorders>
            <w:shd w:val="clear" w:color="auto" w:fill="C6EFCE"/>
            <w:vAlign w:val="center"/>
          </w:tcPr>
          <w:p w14:paraId="5CD1C010" w14:textId="58EBE313" w:rsidR="0023462A" w:rsidRDefault="00A550FA">
            <w:pPr>
              <w:pStyle w:val="P68B1DB1-Normal32"/>
              <w:spacing w:after="120" w:line="240" w:lineRule="auto"/>
              <w:rPr>
                <w:noProof/>
              </w:rPr>
            </w:pPr>
            <w:r>
              <w:rPr>
                <w:noProof/>
              </w:rPr>
              <w:t>Protocole(s) technique(s) de transfert</w:t>
            </w:r>
          </w:p>
        </w:tc>
        <w:tc>
          <w:tcPr>
            <w:tcW w:w="1417" w:type="dxa"/>
            <w:tcBorders>
              <w:top w:val="nil"/>
              <w:left w:val="nil"/>
              <w:bottom w:val="single" w:sz="4" w:space="0" w:color="auto"/>
              <w:right w:val="single" w:sz="4" w:space="0" w:color="auto"/>
            </w:tcBorders>
            <w:shd w:val="clear" w:color="auto" w:fill="C6EFCE"/>
            <w:noWrap/>
            <w:vAlign w:val="center"/>
          </w:tcPr>
          <w:p w14:paraId="75C214B4" w14:textId="23219C41" w:rsidR="0023462A" w:rsidRDefault="0023462A">
            <w:pPr>
              <w:spacing w:after="120" w:line="240" w:lineRule="auto"/>
              <w:jc w:val="center"/>
              <w:rPr>
                <w:rFonts w:ascii="Times New Roman" w:eastAsiaTheme="minorHAnsi"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noWrap/>
            <w:vAlign w:val="center"/>
          </w:tcPr>
          <w:p w14:paraId="31A13700" w14:textId="77777777" w:rsidR="0023462A" w:rsidRDefault="0023462A">
            <w:pPr>
              <w:spacing w:after="120" w:line="240" w:lineRule="auto"/>
              <w:jc w:val="center"/>
              <w:rPr>
                <w:rFonts w:ascii="Times New Roman"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10C7CD59" w14:textId="5B743E5B" w:rsidR="0023462A" w:rsidRDefault="0023462A">
            <w:pPr>
              <w:spacing w:after="120" w:line="240" w:lineRule="auto"/>
              <w:jc w:val="center"/>
              <w:rPr>
                <w:rFonts w:ascii="Times New Roman"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vAlign w:val="center"/>
          </w:tcPr>
          <w:p w14:paraId="5C1D9AB5" w14:textId="77777777" w:rsidR="0023462A" w:rsidRDefault="00A550FA">
            <w:pPr>
              <w:pStyle w:val="P68B1DB1-Normal32"/>
              <w:spacing w:after="120" w:line="240" w:lineRule="auto"/>
              <w:jc w:val="center"/>
              <w:rPr>
                <w:rFonts w:eastAsiaTheme="minorHAnsi"/>
                <w:noProof/>
              </w:rPr>
            </w:pPr>
            <w:r>
              <w:rPr>
                <w:noProof/>
              </w:rPr>
              <w:t>T2</w:t>
            </w:r>
          </w:p>
        </w:tc>
        <w:tc>
          <w:tcPr>
            <w:tcW w:w="709" w:type="dxa"/>
            <w:tcBorders>
              <w:top w:val="nil"/>
              <w:left w:val="nil"/>
              <w:bottom w:val="single" w:sz="4" w:space="0" w:color="auto"/>
              <w:right w:val="single" w:sz="4" w:space="0" w:color="auto"/>
            </w:tcBorders>
            <w:shd w:val="clear" w:color="auto" w:fill="C6EFCE"/>
            <w:vAlign w:val="center"/>
          </w:tcPr>
          <w:p w14:paraId="76C5079D" w14:textId="77777777" w:rsidR="0023462A" w:rsidRDefault="00A550FA">
            <w:pPr>
              <w:pStyle w:val="P68B1DB1-Normal32"/>
              <w:spacing w:after="120" w:line="240" w:lineRule="auto"/>
              <w:jc w:val="center"/>
              <w:rPr>
                <w:rFonts w:eastAsiaTheme="minorHAnsi"/>
                <w:noProof/>
              </w:rPr>
            </w:pPr>
            <w:r>
              <w:rPr>
                <w:noProof/>
              </w:rPr>
              <w:t>2026</w:t>
            </w:r>
          </w:p>
        </w:tc>
        <w:tc>
          <w:tcPr>
            <w:tcW w:w="3588" w:type="dxa"/>
            <w:tcBorders>
              <w:top w:val="nil"/>
              <w:left w:val="nil"/>
              <w:bottom w:val="single" w:sz="4" w:space="0" w:color="auto"/>
              <w:right w:val="single" w:sz="4" w:space="0" w:color="auto"/>
            </w:tcBorders>
            <w:shd w:val="clear" w:color="auto" w:fill="C6EFCE"/>
            <w:vAlign w:val="center"/>
          </w:tcPr>
          <w:p w14:paraId="7FC20785" w14:textId="14B91D24" w:rsidR="0023462A" w:rsidRDefault="00A550FA">
            <w:pPr>
              <w:pStyle w:val="P68B1DB1-Normal32"/>
              <w:spacing w:after="120" w:line="240" w:lineRule="auto"/>
              <w:rPr>
                <w:noProof/>
              </w:rPr>
            </w:pPr>
            <w:r>
              <w:rPr>
                <w:noProof/>
              </w:rPr>
              <w:t>Protocole(s) technique(s) de transfert pour 48 trolleybus.</w:t>
            </w:r>
          </w:p>
        </w:tc>
      </w:tr>
      <w:tr w:rsidR="0023462A" w14:paraId="3A8BCA2B" w14:textId="77777777" w:rsidTr="009C289F">
        <w:trPr>
          <w:trHeight w:val="79"/>
          <w:jc w:val="center"/>
        </w:trPr>
        <w:tc>
          <w:tcPr>
            <w:tcW w:w="988" w:type="dxa"/>
            <w:tcBorders>
              <w:top w:val="nil"/>
              <w:left w:val="single" w:sz="4" w:space="0" w:color="auto"/>
              <w:bottom w:val="single" w:sz="4" w:space="0" w:color="auto"/>
              <w:right w:val="single" w:sz="4" w:space="0" w:color="auto"/>
            </w:tcBorders>
            <w:shd w:val="clear" w:color="auto" w:fill="C6EFCE"/>
            <w:noWrap/>
            <w:vAlign w:val="center"/>
          </w:tcPr>
          <w:p w14:paraId="4AE2195D" w14:textId="01B4D099" w:rsidR="0023462A" w:rsidRDefault="00A550FA">
            <w:pPr>
              <w:pStyle w:val="P68B1DB1-Normal32"/>
              <w:spacing w:after="120" w:line="240" w:lineRule="auto"/>
              <w:rPr>
                <w:noProof/>
              </w:rPr>
            </w:pPr>
            <w:r>
              <w:rPr>
                <w:noProof/>
              </w:rPr>
              <w:t>26</w:t>
            </w:r>
          </w:p>
        </w:tc>
        <w:tc>
          <w:tcPr>
            <w:tcW w:w="1744" w:type="dxa"/>
            <w:tcBorders>
              <w:top w:val="nil"/>
              <w:left w:val="nil"/>
              <w:bottom w:val="single" w:sz="4" w:space="0" w:color="auto"/>
              <w:right w:val="single" w:sz="4" w:space="0" w:color="auto"/>
            </w:tcBorders>
            <w:shd w:val="clear" w:color="auto" w:fill="C6EFCE"/>
            <w:vAlign w:val="center"/>
          </w:tcPr>
          <w:p w14:paraId="5EF3D029" w14:textId="410326D0" w:rsidR="0023462A" w:rsidRDefault="00A550FA">
            <w:pPr>
              <w:pStyle w:val="P68B1DB1-Normal32"/>
              <w:spacing w:after="120" w:line="240" w:lineRule="auto"/>
              <w:rPr>
                <w:noProof/>
              </w:rPr>
            </w:pPr>
            <w:r>
              <w:rPr>
                <w:noProof/>
              </w:rPr>
              <w:t>C5.I5 : Travaux sur le tronçon ferroviaire</w:t>
            </w:r>
          </w:p>
        </w:tc>
        <w:tc>
          <w:tcPr>
            <w:tcW w:w="1096" w:type="dxa"/>
            <w:tcBorders>
              <w:top w:val="nil"/>
              <w:left w:val="nil"/>
              <w:bottom w:val="single" w:sz="4" w:space="0" w:color="auto"/>
              <w:right w:val="single" w:sz="4" w:space="0" w:color="auto"/>
            </w:tcBorders>
            <w:shd w:val="clear" w:color="auto" w:fill="C6EFCE"/>
            <w:noWrap/>
            <w:vAlign w:val="center"/>
          </w:tcPr>
          <w:p w14:paraId="4A85AAC2" w14:textId="35FAFCA8" w:rsidR="0023462A" w:rsidRDefault="00A550FA">
            <w:pPr>
              <w:pStyle w:val="P68B1DB1-Normal32"/>
              <w:spacing w:after="120" w:line="240" w:lineRule="auto"/>
              <w:rPr>
                <w:noProof/>
              </w:rPr>
            </w:pPr>
            <w:r>
              <w:rPr>
                <w:noProof/>
              </w:rPr>
              <w:t>Étape</w:t>
            </w:r>
          </w:p>
        </w:tc>
        <w:tc>
          <w:tcPr>
            <w:tcW w:w="1129" w:type="dxa"/>
            <w:tcBorders>
              <w:top w:val="nil"/>
              <w:left w:val="nil"/>
              <w:bottom w:val="single" w:sz="4" w:space="0" w:color="auto"/>
              <w:right w:val="single" w:sz="4" w:space="0" w:color="auto"/>
            </w:tcBorders>
            <w:shd w:val="clear" w:color="auto" w:fill="C6EFCE"/>
            <w:vAlign w:val="center"/>
          </w:tcPr>
          <w:p w14:paraId="04F4A39B" w14:textId="30F4BFFF" w:rsidR="0023462A" w:rsidRDefault="00A550FA">
            <w:pPr>
              <w:pStyle w:val="P68B1DB1-Normal32"/>
              <w:spacing w:after="120" w:line="240" w:lineRule="auto"/>
              <w:rPr>
                <w:noProof/>
              </w:rPr>
            </w:pPr>
            <w:r>
              <w:rPr>
                <w:noProof/>
              </w:rPr>
              <w:t xml:space="preserve">Travaux liés au tronçon ferroviaire Szeged-Rendező - Röszke - Frontière du pays </w:t>
            </w:r>
          </w:p>
        </w:tc>
        <w:tc>
          <w:tcPr>
            <w:tcW w:w="1134" w:type="dxa"/>
            <w:tcBorders>
              <w:top w:val="nil"/>
              <w:left w:val="nil"/>
              <w:bottom w:val="single" w:sz="4" w:space="0" w:color="auto"/>
              <w:right w:val="single" w:sz="4" w:space="0" w:color="auto"/>
            </w:tcBorders>
            <w:shd w:val="clear" w:color="auto" w:fill="C6EFCE"/>
            <w:vAlign w:val="center"/>
          </w:tcPr>
          <w:p w14:paraId="38351D98" w14:textId="44A1C74E" w:rsidR="0023462A" w:rsidRDefault="00A550FA">
            <w:pPr>
              <w:pStyle w:val="P68B1DB1-Normal49"/>
              <w:spacing w:after="120" w:line="240" w:lineRule="auto"/>
              <w:rPr>
                <w:noProof/>
              </w:rPr>
            </w:pPr>
            <w:r>
              <w:rPr>
                <w:noProof/>
              </w:rPr>
              <w:t>Protocole(s) technique(s) de transfert</w:t>
            </w:r>
          </w:p>
        </w:tc>
        <w:tc>
          <w:tcPr>
            <w:tcW w:w="1417" w:type="dxa"/>
            <w:tcBorders>
              <w:top w:val="nil"/>
              <w:left w:val="nil"/>
              <w:bottom w:val="single" w:sz="4" w:space="0" w:color="auto"/>
              <w:right w:val="single" w:sz="4" w:space="0" w:color="auto"/>
            </w:tcBorders>
            <w:shd w:val="clear" w:color="auto" w:fill="C6EFCE"/>
            <w:noWrap/>
            <w:vAlign w:val="center"/>
          </w:tcPr>
          <w:p w14:paraId="68BD111B" w14:textId="2184B072" w:rsidR="0023462A" w:rsidRDefault="0023462A">
            <w:pPr>
              <w:spacing w:after="120" w:line="240" w:lineRule="auto"/>
              <w:jc w:val="center"/>
              <w:rPr>
                <w:rFonts w:ascii="Times New Roman"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noWrap/>
            <w:vAlign w:val="center"/>
          </w:tcPr>
          <w:p w14:paraId="38461E30" w14:textId="7A71CB05" w:rsidR="0023462A" w:rsidRDefault="0023462A">
            <w:pPr>
              <w:spacing w:after="120" w:line="240" w:lineRule="auto"/>
              <w:jc w:val="center"/>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7500E80F" w14:textId="7A867533" w:rsidR="0023462A" w:rsidRDefault="0023462A">
            <w:pPr>
              <w:spacing w:after="120" w:line="240" w:lineRule="auto"/>
              <w:jc w:val="center"/>
              <w:rPr>
                <w:rFonts w:ascii="Times New Roman"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vAlign w:val="center"/>
          </w:tcPr>
          <w:p w14:paraId="3ED3725F" w14:textId="77777777" w:rsidR="0023462A" w:rsidRDefault="00A550FA">
            <w:pPr>
              <w:pStyle w:val="P68B1DB1-Normal32"/>
              <w:spacing w:after="120" w:line="240" w:lineRule="auto"/>
              <w:jc w:val="center"/>
              <w:rPr>
                <w:noProof/>
              </w:rPr>
            </w:pPr>
            <w:r>
              <w:rPr>
                <w:noProof/>
              </w:rPr>
              <w:t>T2</w:t>
            </w:r>
          </w:p>
        </w:tc>
        <w:tc>
          <w:tcPr>
            <w:tcW w:w="709" w:type="dxa"/>
            <w:tcBorders>
              <w:top w:val="nil"/>
              <w:left w:val="nil"/>
              <w:bottom w:val="single" w:sz="4" w:space="0" w:color="auto"/>
              <w:right w:val="single" w:sz="4" w:space="0" w:color="auto"/>
            </w:tcBorders>
            <w:shd w:val="clear" w:color="auto" w:fill="C6EFCE"/>
            <w:vAlign w:val="center"/>
          </w:tcPr>
          <w:p w14:paraId="50D78825" w14:textId="77777777" w:rsidR="0023462A" w:rsidRDefault="00A550FA">
            <w:pPr>
              <w:pStyle w:val="P68B1DB1-Normal32"/>
              <w:spacing w:after="120" w:line="240" w:lineRule="auto"/>
              <w:jc w:val="center"/>
              <w:rPr>
                <w:noProof/>
              </w:rPr>
            </w:pPr>
            <w:r>
              <w:rPr>
                <w:noProof/>
              </w:rPr>
              <w:t>2026</w:t>
            </w:r>
          </w:p>
        </w:tc>
        <w:tc>
          <w:tcPr>
            <w:tcW w:w="3588" w:type="dxa"/>
            <w:tcBorders>
              <w:top w:val="nil"/>
              <w:left w:val="nil"/>
              <w:bottom w:val="single" w:sz="4" w:space="0" w:color="auto"/>
              <w:right w:val="single" w:sz="4" w:space="0" w:color="auto"/>
            </w:tcBorders>
            <w:shd w:val="clear" w:color="auto" w:fill="C6EFCE"/>
            <w:vAlign w:val="center"/>
          </w:tcPr>
          <w:p w14:paraId="778EC0EA" w14:textId="4BCDB018" w:rsidR="0023462A" w:rsidRDefault="00A550FA">
            <w:pPr>
              <w:pStyle w:val="P68B1DB1-Normal32"/>
              <w:spacing w:after="120" w:line="240" w:lineRule="auto"/>
              <w:rPr>
                <w:noProof/>
              </w:rPr>
            </w:pPr>
            <w:r>
              <w:rPr>
                <w:noProof/>
              </w:rPr>
              <w:t xml:space="preserve">Protocole(s) technique(s) de transfert pour les travaux de (re)construction liés au tronçon ferroviaire «Szeged-Rendező – Röszke – Frontière du pays» et au raccordement des lignes ferroviaires 136 et 140. </w:t>
            </w:r>
          </w:p>
        </w:tc>
      </w:tr>
      <w:tr w:rsidR="0023462A" w14:paraId="4D777EF9" w14:textId="77777777" w:rsidTr="009C289F">
        <w:trPr>
          <w:trHeight w:val="79"/>
          <w:jc w:val="center"/>
        </w:trPr>
        <w:tc>
          <w:tcPr>
            <w:tcW w:w="988" w:type="dxa"/>
            <w:tcBorders>
              <w:top w:val="nil"/>
              <w:left w:val="single" w:sz="4" w:space="0" w:color="auto"/>
              <w:bottom w:val="single" w:sz="4" w:space="0" w:color="auto"/>
              <w:right w:val="single" w:sz="4" w:space="0" w:color="auto"/>
            </w:tcBorders>
            <w:shd w:val="clear" w:color="auto" w:fill="C6EFCE"/>
            <w:noWrap/>
            <w:vAlign w:val="center"/>
          </w:tcPr>
          <w:p w14:paraId="3AF64E49" w14:textId="261AFE07" w:rsidR="0023462A" w:rsidRDefault="00A550FA">
            <w:pPr>
              <w:pStyle w:val="P68B1DB1-Normal32"/>
              <w:spacing w:after="120" w:line="240" w:lineRule="auto"/>
              <w:rPr>
                <w:noProof/>
              </w:rPr>
            </w:pPr>
            <w:r>
              <w:rPr>
                <w:noProof/>
              </w:rPr>
              <w:t>27</w:t>
            </w:r>
          </w:p>
        </w:tc>
        <w:tc>
          <w:tcPr>
            <w:tcW w:w="1744" w:type="dxa"/>
            <w:tcBorders>
              <w:top w:val="nil"/>
              <w:left w:val="nil"/>
              <w:bottom w:val="single" w:sz="4" w:space="0" w:color="auto"/>
              <w:right w:val="single" w:sz="4" w:space="0" w:color="auto"/>
            </w:tcBorders>
            <w:shd w:val="clear" w:color="auto" w:fill="C6EFCE"/>
            <w:vAlign w:val="center"/>
          </w:tcPr>
          <w:p w14:paraId="16260CE1" w14:textId="5779DA80" w:rsidR="0023462A" w:rsidRDefault="00A550FA">
            <w:pPr>
              <w:pStyle w:val="P68B1DB1-Normal32"/>
              <w:spacing w:after="120" w:line="240" w:lineRule="auto"/>
              <w:rPr>
                <w:noProof/>
              </w:rPr>
            </w:pPr>
            <w:r>
              <w:rPr>
                <w:noProof/>
              </w:rPr>
              <w:t>C5.I6 : Stimuler l’adoption des véhicules électriques par les entreprises</w:t>
            </w:r>
          </w:p>
        </w:tc>
        <w:tc>
          <w:tcPr>
            <w:tcW w:w="1096" w:type="dxa"/>
            <w:tcBorders>
              <w:top w:val="nil"/>
              <w:left w:val="nil"/>
              <w:bottom w:val="single" w:sz="4" w:space="0" w:color="auto"/>
              <w:right w:val="single" w:sz="4" w:space="0" w:color="auto"/>
            </w:tcBorders>
            <w:shd w:val="clear" w:color="auto" w:fill="C6EFCE"/>
            <w:noWrap/>
            <w:vAlign w:val="center"/>
          </w:tcPr>
          <w:p w14:paraId="4CC8DCB8" w14:textId="77777777" w:rsidR="0023462A" w:rsidRDefault="00A550FA">
            <w:pPr>
              <w:pStyle w:val="P68B1DB1-Normal32"/>
              <w:spacing w:after="120" w:line="240" w:lineRule="auto"/>
              <w:rPr>
                <w:noProof/>
              </w:rPr>
            </w:pPr>
            <w:r>
              <w:rPr>
                <w:noProof/>
              </w:rPr>
              <w:t>Objectif</w:t>
            </w:r>
          </w:p>
        </w:tc>
        <w:tc>
          <w:tcPr>
            <w:tcW w:w="1129" w:type="dxa"/>
            <w:tcBorders>
              <w:top w:val="nil"/>
              <w:left w:val="nil"/>
              <w:bottom w:val="single" w:sz="4" w:space="0" w:color="auto"/>
              <w:right w:val="single" w:sz="4" w:space="0" w:color="auto"/>
            </w:tcBorders>
            <w:shd w:val="clear" w:color="auto" w:fill="C6EFCE"/>
            <w:vAlign w:val="center"/>
          </w:tcPr>
          <w:p w14:paraId="50C85589" w14:textId="080514C5" w:rsidR="0023462A" w:rsidRDefault="00A550FA">
            <w:pPr>
              <w:pStyle w:val="P68B1DB1-Normal32"/>
              <w:spacing w:after="120" w:line="240" w:lineRule="auto"/>
              <w:rPr>
                <w:noProof/>
              </w:rPr>
            </w:pPr>
            <w:r>
              <w:rPr>
                <w:noProof/>
              </w:rPr>
              <w:t xml:space="preserve">Soutien financier à l'achat de véhicules électriques </w:t>
            </w:r>
          </w:p>
        </w:tc>
        <w:tc>
          <w:tcPr>
            <w:tcW w:w="1134" w:type="dxa"/>
            <w:tcBorders>
              <w:top w:val="nil"/>
              <w:left w:val="nil"/>
              <w:bottom w:val="single" w:sz="4" w:space="0" w:color="auto"/>
              <w:right w:val="single" w:sz="4" w:space="0" w:color="auto"/>
            </w:tcBorders>
            <w:shd w:val="clear" w:color="auto" w:fill="C6EFCE"/>
            <w:vAlign w:val="center"/>
          </w:tcPr>
          <w:p w14:paraId="308648AE" w14:textId="77777777" w:rsidR="0023462A" w:rsidRDefault="0023462A">
            <w:pPr>
              <w:spacing w:after="120" w:line="240" w:lineRule="auto"/>
              <w:jc w:val="center"/>
              <w:rPr>
                <w:rFonts w:ascii="Times New Roman" w:eastAsia="Calibri" w:hAnsi="Times New Roman" w:cs="Times New Roman"/>
                <w:noProof/>
                <w:sz w:val="18"/>
                <w:szCs w:val="18"/>
              </w:rPr>
            </w:pPr>
          </w:p>
        </w:tc>
        <w:tc>
          <w:tcPr>
            <w:tcW w:w="1417" w:type="dxa"/>
            <w:tcBorders>
              <w:top w:val="nil"/>
              <w:left w:val="nil"/>
              <w:bottom w:val="single" w:sz="4" w:space="0" w:color="auto"/>
              <w:right w:val="single" w:sz="4" w:space="0" w:color="auto"/>
            </w:tcBorders>
            <w:shd w:val="clear" w:color="auto" w:fill="C6EFCE"/>
            <w:noWrap/>
            <w:vAlign w:val="center"/>
          </w:tcPr>
          <w:p w14:paraId="2A9F01DF" w14:textId="77777777" w:rsidR="0023462A" w:rsidRDefault="00A550FA">
            <w:pPr>
              <w:pStyle w:val="P68B1DB1-Normal32"/>
              <w:spacing w:after="120" w:line="240" w:lineRule="auto"/>
              <w:jc w:val="center"/>
              <w:rPr>
                <w:noProof/>
              </w:rPr>
            </w:pPr>
            <w:r>
              <w:rPr>
                <w:noProof/>
              </w:rPr>
              <w:t>Numéro</w:t>
            </w:r>
          </w:p>
        </w:tc>
        <w:tc>
          <w:tcPr>
            <w:tcW w:w="992" w:type="dxa"/>
            <w:tcBorders>
              <w:top w:val="nil"/>
              <w:left w:val="nil"/>
              <w:bottom w:val="single" w:sz="4" w:space="0" w:color="auto"/>
              <w:right w:val="single" w:sz="4" w:space="0" w:color="auto"/>
            </w:tcBorders>
            <w:shd w:val="clear" w:color="auto" w:fill="C6EFCE"/>
            <w:noWrap/>
            <w:vAlign w:val="center"/>
          </w:tcPr>
          <w:p w14:paraId="31178681" w14:textId="77777777" w:rsidR="0023462A" w:rsidRDefault="00A550FA">
            <w:pPr>
              <w:pStyle w:val="P68B1DB1-Normal49"/>
              <w:spacing w:after="120" w:line="240" w:lineRule="auto"/>
              <w:jc w:val="center"/>
              <w:rPr>
                <w:noProof/>
              </w:rPr>
            </w:pPr>
            <w:r>
              <w:rPr>
                <w:noProof/>
              </w:rPr>
              <w:t>0</w:t>
            </w:r>
          </w:p>
        </w:tc>
        <w:tc>
          <w:tcPr>
            <w:tcW w:w="1134" w:type="dxa"/>
            <w:tcBorders>
              <w:top w:val="nil"/>
              <w:left w:val="nil"/>
              <w:bottom w:val="single" w:sz="4" w:space="0" w:color="auto"/>
              <w:right w:val="single" w:sz="4" w:space="0" w:color="auto"/>
            </w:tcBorders>
            <w:shd w:val="clear" w:color="auto" w:fill="C6EFCE"/>
            <w:noWrap/>
            <w:vAlign w:val="center"/>
          </w:tcPr>
          <w:p w14:paraId="6E8FC912" w14:textId="51D50192" w:rsidR="0023462A" w:rsidRDefault="00A550FA">
            <w:pPr>
              <w:pStyle w:val="P68B1DB1-Normal32"/>
              <w:spacing w:after="120" w:line="240" w:lineRule="auto"/>
              <w:jc w:val="center"/>
              <w:rPr>
                <w:noProof/>
              </w:rPr>
            </w:pPr>
            <w:r>
              <w:rPr>
                <w:noProof/>
              </w:rPr>
              <w:t>10 000</w:t>
            </w:r>
          </w:p>
        </w:tc>
        <w:tc>
          <w:tcPr>
            <w:tcW w:w="1134" w:type="dxa"/>
            <w:tcBorders>
              <w:top w:val="nil"/>
              <w:left w:val="nil"/>
              <w:bottom w:val="single" w:sz="4" w:space="0" w:color="auto"/>
              <w:right w:val="single" w:sz="4" w:space="0" w:color="auto"/>
            </w:tcBorders>
            <w:shd w:val="clear" w:color="auto" w:fill="C6EFCE"/>
            <w:vAlign w:val="center"/>
          </w:tcPr>
          <w:p w14:paraId="1D2198F3" w14:textId="77777777" w:rsidR="0023462A" w:rsidRDefault="00A550FA">
            <w:pPr>
              <w:pStyle w:val="P68B1DB1-Normal32"/>
              <w:spacing w:after="120" w:line="240" w:lineRule="auto"/>
              <w:jc w:val="center"/>
              <w:rPr>
                <w:noProof/>
              </w:rPr>
            </w:pPr>
            <w:r>
              <w:rPr>
                <w:noProof/>
              </w:rPr>
              <w:t>T2</w:t>
            </w:r>
          </w:p>
        </w:tc>
        <w:tc>
          <w:tcPr>
            <w:tcW w:w="709" w:type="dxa"/>
            <w:tcBorders>
              <w:top w:val="nil"/>
              <w:left w:val="nil"/>
              <w:bottom w:val="single" w:sz="4" w:space="0" w:color="auto"/>
              <w:right w:val="single" w:sz="4" w:space="0" w:color="auto"/>
            </w:tcBorders>
            <w:shd w:val="clear" w:color="auto" w:fill="C6EFCE"/>
            <w:vAlign w:val="center"/>
          </w:tcPr>
          <w:p w14:paraId="2CF55ADA" w14:textId="35DB5F0D" w:rsidR="0023462A" w:rsidRDefault="00A550FA">
            <w:pPr>
              <w:pStyle w:val="P68B1DB1-Normal32"/>
              <w:spacing w:after="120" w:line="240" w:lineRule="auto"/>
              <w:jc w:val="center"/>
              <w:rPr>
                <w:noProof/>
              </w:rPr>
            </w:pPr>
            <w:r>
              <w:rPr>
                <w:noProof/>
              </w:rPr>
              <w:t>2026</w:t>
            </w:r>
          </w:p>
        </w:tc>
        <w:tc>
          <w:tcPr>
            <w:tcW w:w="3588" w:type="dxa"/>
            <w:tcBorders>
              <w:top w:val="nil"/>
              <w:left w:val="nil"/>
              <w:bottom w:val="single" w:sz="4" w:space="0" w:color="auto"/>
              <w:right w:val="single" w:sz="4" w:space="0" w:color="auto"/>
            </w:tcBorders>
            <w:shd w:val="clear" w:color="auto" w:fill="C6EFCE"/>
            <w:vAlign w:val="center"/>
          </w:tcPr>
          <w:p w14:paraId="5BAB15FD" w14:textId="52C1E136" w:rsidR="0023462A" w:rsidRDefault="00A550FA">
            <w:pPr>
              <w:pStyle w:val="P68B1DB1-Normal32"/>
              <w:spacing w:after="120" w:line="240" w:lineRule="auto"/>
              <w:rPr>
                <w:noProof/>
              </w:rPr>
            </w:pPr>
            <w:r>
              <w:rPr>
                <w:noProof/>
              </w:rPr>
              <w:t xml:space="preserve">Versement de fonds aux entreprises pour l'achat d'au moins 10 000 véhicules électriques. </w:t>
            </w:r>
          </w:p>
        </w:tc>
      </w:tr>
      <w:tr w:rsidR="0023462A" w14:paraId="0F0CA8C4" w14:textId="77777777" w:rsidTr="009C289F">
        <w:trPr>
          <w:trHeight w:val="79"/>
          <w:jc w:val="center"/>
        </w:trPr>
        <w:tc>
          <w:tcPr>
            <w:tcW w:w="988" w:type="dxa"/>
            <w:tcBorders>
              <w:top w:val="nil"/>
              <w:left w:val="single" w:sz="4" w:space="0" w:color="auto"/>
              <w:bottom w:val="single" w:sz="4" w:space="0" w:color="auto"/>
              <w:right w:val="single" w:sz="4" w:space="0" w:color="auto"/>
            </w:tcBorders>
            <w:shd w:val="clear" w:color="auto" w:fill="C6EFCE"/>
            <w:noWrap/>
            <w:vAlign w:val="center"/>
          </w:tcPr>
          <w:p w14:paraId="7C4EFE28" w14:textId="3BCDB84F" w:rsidR="0023462A" w:rsidRDefault="00A550FA">
            <w:pPr>
              <w:pStyle w:val="P68B1DB1-Normal32"/>
              <w:spacing w:after="120" w:line="240" w:lineRule="auto"/>
              <w:rPr>
                <w:noProof/>
              </w:rPr>
            </w:pPr>
            <w:r>
              <w:rPr>
                <w:noProof/>
              </w:rPr>
              <w:t>28</w:t>
            </w:r>
          </w:p>
        </w:tc>
        <w:tc>
          <w:tcPr>
            <w:tcW w:w="1744" w:type="dxa"/>
            <w:tcBorders>
              <w:top w:val="nil"/>
              <w:left w:val="nil"/>
              <w:bottom w:val="single" w:sz="4" w:space="0" w:color="auto"/>
              <w:right w:val="single" w:sz="4" w:space="0" w:color="auto"/>
            </w:tcBorders>
            <w:shd w:val="clear" w:color="auto" w:fill="C6EFCE"/>
            <w:vAlign w:val="center"/>
          </w:tcPr>
          <w:p w14:paraId="7D792D5A" w14:textId="585926E3" w:rsidR="0023462A" w:rsidRDefault="00A550FA">
            <w:pPr>
              <w:pStyle w:val="P68B1DB1-Normal32"/>
              <w:spacing w:after="120" w:line="240" w:lineRule="auto"/>
              <w:rPr>
                <w:noProof/>
              </w:rPr>
            </w:pPr>
            <w:r>
              <w:rPr>
                <w:noProof/>
              </w:rPr>
              <w:t>C5.I7: Mise en place d’un instrument financier pour accroître le déploiement des bornes de recharge pour véhicules électriques (VE)</w:t>
            </w:r>
          </w:p>
        </w:tc>
        <w:tc>
          <w:tcPr>
            <w:tcW w:w="1096" w:type="dxa"/>
            <w:tcBorders>
              <w:top w:val="nil"/>
              <w:left w:val="nil"/>
              <w:bottom w:val="single" w:sz="4" w:space="0" w:color="auto"/>
              <w:right w:val="single" w:sz="4" w:space="0" w:color="auto"/>
            </w:tcBorders>
            <w:shd w:val="clear" w:color="auto" w:fill="C6EFCE"/>
            <w:noWrap/>
            <w:vAlign w:val="center"/>
          </w:tcPr>
          <w:p w14:paraId="2CCDDA65" w14:textId="77777777" w:rsidR="0023462A" w:rsidRDefault="00A550FA">
            <w:pPr>
              <w:pStyle w:val="P68B1DB1-Normal32"/>
              <w:spacing w:after="120" w:line="240" w:lineRule="auto"/>
              <w:rPr>
                <w:noProof/>
              </w:rPr>
            </w:pPr>
            <w:r>
              <w:rPr>
                <w:noProof/>
              </w:rPr>
              <w:t>Étape</w:t>
            </w:r>
          </w:p>
        </w:tc>
        <w:tc>
          <w:tcPr>
            <w:tcW w:w="1129" w:type="dxa"/>
            <w:tcBorders>
              <w:top w:val="nil"/>
              <w:left w:val="nil"/>
              <w:bottom w:val="single" w:sz="4" w:space="0" w:color="auto"/>
              <w:right w:val="single" w:sz="4" w:space="0" w:color="auto"/>
            </w:tcBorders>
            <w:shd w:val="clear" w:color="auto" w:fill="C6EFCE"/>
            <w:vAlign w:val="center"/>
          </w:tcPr>
          <w:p w14:paraId="7040228A" w14:textId="77777777" w:rsidR="0023462A" w:rsidRDefault="00A550FA">
            <w:pPr>
              <w:pStyle w:val="P68B1DB1-Normal32"/>
              <w:spacing w:after="120" w:line="240" w:lineRule="auto"/>
              <w:rPr>
                <w:noProof/>
              </w:rPr>
            </w:pPr>
            <w:r>
              <w:rPr>
                <w:noProof/>
              </w:rPr>
              <w:t>Accord de mise en œuvre</w:t>
            </w:r>
          </w:p>
        </w:tc>
        <w:tc>
          <w:tcPr>
            <w:tcW w:w="1134" w:type="dxa"/>
            <w:tcBorders>
              <w:top w:val="nil"/>
              <w:left w:val="nil"/>
              <w:bottom w:val="single" w:sz="4" w:space="0" w:color="auto"/>
              <w:right w:val="single" w:sz="4" w:space="0" w:color="auto"/>
            </w:tcBorders>
            <w:shd w:val="clear" w:color="auto" w:fill="C6EFCE"/>
            <w:vAlign w:val="center"/>
          </w:tcPr>
          <w:p w14:paraId="6779FDC5" w14:textId="77777777" w:rsidR="0023462A" w:rsidRDefault="00A550FA">
            <w:pPr>
              <w:pStyle w:val="P68B1DB1-Normal49"/>
              <w:spacing w:after="120" w:line="240" w:lineRule="auto"/>
              <w:rPr>
                <w:noProof/>
              </w:rPr>
            </w:pPr>
            <w:r>
              <w:rPr>
                <w:noProof/>
              </w:rPr>
              <w:t>Entrée en vigueur de l'accord de mise en œuvre</w:t>
            </w:r>
          </w:p>
        </w:tc>
        <w:tc>
          <w:tcPr>
            <w:tcW w:w="1417" w:type="dxa"/>
            <w:tcBorders>
              <w:top w:val="nil"/>
              <w:left w:val="nil"/>
              <w:bottom w:val="single" w:sz="4" w:space="0" w:color="auto"/>
              <w:right w:val="single" w:sz="4" w:space="0" w:color="auto"/>
            </w:tcBorders>
            <w:shd w:val="clear" w:color="auto" w:fill="C6EFCE"/>
            <w:noWrap/>
            <w:vAlign w:val="center"/>
          </w:tcPr>
          <w:p w14:paraId="4E094F4C" w14:textId="77777777" w:rsidR="0023462A" w:rsidRDefault="00A550FA">
            <w:pPr>
              <w:pStyle w:val="P68B1DB1-Normal32"/>
              <w:spacing w:after="120" w:line="240" w:lineRule="auto"/>
              <w:jc w:val="center"/>
              <w:rPr>
                <w:noProof/>
              </w:rPr>
            </w:pPr>
            <w:r>
              <w:rPr>
                <w:noProof/>
              </w:rPr>
              <w:t xml:space="preserve"> </w:t>
            </w:r>
          </w:p>
        </w:tc>
        <w:tc>
          <w:tcPr>
            <w:tcW w:w="992" w:type="dxa"/>
            <w:tcBorders>
              <w:top w:val="nil"/>
              <w:left w:val="nil"/>
              <w:bottom w:val="single" w:sz="4" w:space="0" w:color="auto"/>
              <w:right w:val="single" w:sz="4" w:space="0" w:color="auto"/>
            </w:tcBorders>
            <w:shd w:val="clear" w:color="auto" w:fill="C6EFCE"/>
            <w:noWrap/>
            <w:vAlign w:val="center"/>
          </w:tcPr>
          <w:p w14:paraId="5634038E" w14:textId="77777777" w:rsidR="0023462A" w:rsidRDefault="00A550FA">
            <w:pPr>
              <w:pStyle w:val="P68B1DB1-Normal49"/>
              <w:spacing w:after="120" w:line="240" w:lineRule="auto"/>
              <w:jc w:val="center"/>
              <w:rPr>
                <w:noProof/>
              </w:rPr>
            </w:pPr>
            <w:r>
              <w:rPr>
                <w:noProof/>
              </w:rPr>
              <w:t xml:space="preserve"> </w:t>
            </w:r>
          </w:p>
        </w:tc>
        <w:tc>
          <w:tcPr>
            <w:tcW w:w="1134" w:type="dxa"/>
            <w:tcBorders>
              <w:top w:val="nil"/>
              <w:left w:val="nil"/>
              <w:bottom w:val="single" w:sz="4" w:space="0" w:color="auto"/>
              <w:right w:val="single" w:sz="4" w:space="0" w:color="auto"/>
            </w:tcBorders>
            <w:shd w:val="clear" w:color="auto" w:fill="C6EFCE"/>
            <w:noWrap/>
            <w:vAlign w:val="center"/>
          </w:tcPr>
          <w:p w14:paraId="24793C79" w14:textId="77777777" w:rsidR="0023462A" w:rsidRDefault="00A550FA">
            <w:pPr>
              <w:pStyle w:val="P68B1DB1-Normal32"/>
              <w:spacing w:after="120" w:line="240" w:lineRule="auto"/>
              <w:jc w:val="center"/>
              <w:rPr>
                <w:noProof/>
              </w:rPr>
            </w:pPr>
            <w:r>
              <w:rPr>
                <w:noProof/>
              </w:rPr>
              <w:t xml:space="preserve"> </w:t>
            </w:r>
          </w:p>
        </w:tc>
        <w:tc>
          <w:tcPr>
            <w:tcW w:w="1134" w:type="dxa"/>
            <w:tcBorders>
              <w:top w:val="nil"/>
              <w:left w:val="nil"/>
              <w:bottom w:val="single" w:sz="4" w:space="0" w:color="auto"/>
              <w:right w:val="single" w:sz="4" w:space="0" w:color="auto"/>
            </w:tcBorders>
            <w:shd w:val="clear" w:color="auto" w:fill="C6EFCE"/>
            <w:vAlign w:val="center"/>
          </w:tcPr>
          <w:p w14:paraId="5A11B849" w14:textId="5E248FCE" w:rsidR="0023462A" w:rsidRDefault="00A550FA">
            <w:pPr>
              <w:pStyle w:val="P68B1DB1-Normal32"/>
              <w:spacing w:after="120" w:line="240" w:lineRule="auto"/>
              <w:jc w:val="center"/>
              <w:rPr>
                <w:noProof/>
              </w:rPr>
            </w:pPr>
            <w:r>
              <w:rPr>
                <w:noProof/>
              </w:rPr>
              <w:t>T2</w:t>
            </w:r>
          </w:p>
        </w:tc>
        <w:tc>
          <w:tcPr>
            <w:tcW w:w="709" w:type="dxa"/>
            <w:tcBorders>
              <w:top w:val="nil"/>
              <w:left w:val="nil"/>
              <w:bottom w:val="single" w:sz="4" w:space="0" w:color="auto"/>
              <w:right w:val="single" w:sz="4" w:space="0" w:color="auto"/>
            </w:tcBorders>
            <w:shd w:val="clear" w:color="auto" w:fill="C6EFCE"/>
            <w:vAlign w:val="center"/>
          </w:tcPr>
          <w:p w14:paraId="74D7A98C" w14:textId="3BADBB43" w:rsidR="0023462A" w:rsidRDefault="00A550FA">
            <w:pPr>
              <w:pStyle w:val="P68B1DB1-Normal32"/>
              <w:spacing w:after="120" w:line="240" w:lineRule="auto"/>
              <w:jc w:val="center"/>
              <w:rPr>
                <w:noProof/>
              </w:rPr>
            </w:pPr>
            <w:r>
              <w:rPr>
                <w:noProof/>
              </w:rPr>
              <w:t>2026</w:t>
            </w:r>
          </w:p>
        </w:tc>
        <w:tc>
          <w:tcPr>
            <w:tcW w:w="3588" w:type="dxa"/>
            <w:tcBorders>
              <w:top w:val="nil"/>
              <w:left w:val="nil"/>
              <w:bottom w:val="single" w:sz="4" w:space="0" w:color="auto"/>
              <w:right w:val="single" w:sz="4" w:space="0" w:color="auto"/>
            </w:tcBorders>
            <w:shd w:val="clear" w:color="auto" w:fill="C6EFCE"/>
            <w:vAlign w:val="center"/>
          </w:tcPr>
          <w:p w14:paraId="109068AF" w14:textId="7B1FA6FC" w:rsidR="0023462A" w:rsidRDefault="00A550FA">
            <w:pPr>
              <w:pStyle w:val="P68B1DB1-Normal32"/>
              <w:spacing w:after="120" w:line="240" w:lineRule="auto"/>
              <w:rPr>
                <w:noProof/>
              </w:rPr>
            </w:pPr>
            <w:r>
              <w:rPr>
                <w:noProof/>
              </w:rPr>
              <w:t>Entrée en vigueur de l'accord de mise en œuvre.</w:t>
            </w:r>
          </w:p>
        </w:tc>
      </w:tr>
      <w:tr w:rsidR="0023462A" w14:paraId="79A7F3A7" w14:textId="77777777" w:rsidTr="009C289F">
        <w:trPr>
          <w:trHeight w:val="79"/>
          <w:jc w:val="center"/>
        </w:trPr>
        <w:tc>
          <w:tcPr>
            <w:tcW w:w="988" w:type="dxa"/>
            <w:tcBorders>
              <w:top w:val="nil"/>
              <w:left w:val="single" w:sz="4" w:space="0" w:color="auto"/>
              <w:bottom w:val="single" w:sz="4" w:space="0" w:color="auto"/>
              <w:right w:val="single" w:sz="4" w:space="0" w:color="auto"/>
            </w:tcBorders>
            <w:shd w:val="clear" w:color="auto" w:fill="C6EFCE"/>
            <w:noWrap/>
            <w:vAlign w:val="center"/>
          </w:tcPr>
          <w:p w14:paraId="73B31A9A" w14:textId="12F5C29F" w:rsidR="0023462A" w:rsidRDefault="00A550FA">
            <w:pPr>
              <w:pStyle w:val="P68B1DB1-Normal32"/>
              <w:spacing w:after="120" w:line="240" w:lineRule="auto"/>
              <w:rPr>
                <w:noProof/>
              </w:rPr>
            </w:pPr>
            <w:r>
              <w:rPr>
                <w:noProof/>
              </w:rPr>
              <w:t>29</w:t>
            </w:r>
          </w:p>
        </w:tc>
        <w:tc>
          <w:tcPr>
            <w:tcW w:w="1744" w:type="dxa"/>
            <w:tcBorders>
              <w:top w:val="nil"/>
              <w:left w:val="nil"/>
              <w:bottom w:val="single" w:sz="4" w:space="0" w:color="auto"/>
              <w:right w:val="single" w:sz="4" w:space="0" w:color="auto"/>
            </w:tcBorders>
            <w:shd w:val="clear" w:color="auto" w:fill="C6EFCE"/>
            <w:vAlign w:val="center"/>
          </w:tcPr>
          <w:p w14:paraId="39107703" w14:textId="68304D4A" w:rsidR="0023462A" w:rsidRDefault="00A550FA">
            <w:pPr>
              <w:pStyle w:val="P68B1DB1-Normal32"/>
              <w:spacing w:after="120" w:line="240" w:lineRule="auto"/>
              <w:rPr>
                <w:noProof/>
              </w:rPr>
            </w:pPr>
            <w:r>
              <w:rPr>
                <w:noProof/>
              </w:rPr>
              <w:t>C5.I7: Mise en place d’un instrument financier pour accroître le déploiement des bornes de recharge pour véhicules électriques (VE)</w:t>
            </w:r>
          </w:p>
        </w:tc>
        <w:tc>
          <w:tcPr>
            <w:tcW w:w="1096" w:type="dxa"/>
            <w:tcBorders>
              <w:top w:val="nil"/>
              <w:left w:val="nil"/>
              <w:bottom w:val="single" w:sz="4" w:space="0" w:color="auto"/>
              <w:right w:val="single" w:sz="4" w:space="0" w:color="auto"/>
            </w:tcBorders>
            <w:shd w:val="clear" w:color="auto" w:fill="C6EFCE"/>
            <w:noWrap/>
            <w:vAlign w:val="center"/>
          </w:tcPr>
          <w:p w14:paraId="47B28BAD" w14:textId="77777777" w:rsidR="0023462A" w:rsidRDefault="00A550FA">
            <w:pPr>
              <w:pStyle w:val="P68B1DB1-Normal32"/>
              <w:spacing w:after="120" w:line="240" w:lineRule="auto"/>
              <w:rPr>
                <w:noProof/>
              </w:rPr>
            </w:pPr>
            <w:r>
              <w:rPr>
                <w:noProof/>
              </w:rPr>
              <w:t>Objectif</w:t>
            </w:r>
          </w:p>
        </w:tc>
        <w:tc>
          <w:tcPr>
            <w:tcW w:w="1129" w:type="dxa"/>
            <w:tcBorders>
              <w:top w:val="nil"/>
              <w:left w:val="nil"/>
              <w:bottom w:val="single" w:sz="4" w:space="0" w:color="auto"/>
              <w:right w:val="single" w:sz="4" w:space="0" w:color="auto"/>
            </w:tcBorders>
            <w:shd w:val="clear" w:color="auto" w:fill="C6EFCE"/>
            <w:vAlign w:val="center"/>
          </w:tcPr>
          <w:p w14:paraId="27A540AB" w14:textId="77777777" w:rsidR="0023462A" w:rsidRDefault="00A550FA">
            <w:pPr>
              <w:pStyle w:val="P68B1DB1-Normal32"/>
              <w:spacing w:after="120" w:line="240" w:lineRule="auto"/>
              <w:rPr>
                <w:noProof/>
              </w:rPr>
            </w:pPr>
            <w:r>
              <w:rPr>
                <w:noProof/>
              </w:rPr>
              <w:t>Accords juridiques signés avec les bénéficiaires finaux</w:t>
            </w:r>
          </w:p>
        </w:tc>
        <w:tc>
          <w:tcPr>
            <w:tcW w:w="1134" w:type="dxa"/>
            <w:tcBorders>
              <w:top w:val="nil"/>
              <w:left w:val="nil"/>
              <w:bottom w:val="single" w:sz="4" w:space="0" w:color="auto"/>
              <w:right w:val="single" w:sz="4" w:space="0" w:color="auto"/>
            </w:tcBorders>
            <w:shd w:val="clear" w:color="auto" w:fill="C6EFCE"/>
            <w:vAlign w:val="center"/>
          </w:tcPr>
          <w:p w14:paraId="09AEAB47" w14:textId="77777777" w:rsidR="0023462A" w:rsidRDefault="0023462A">
            <w:pPr>
              <w:spacing w:after="120" w:line="240" w:lineRule="auto"/>
              <w:jc w:val="center"/>
              <w:rPr>
                <w:rFonts w:ascii="Times New Roman" w:eastAsia="Calibri" w:hAnsi="Times New Roman" w:cs="Times New Roman"/>
                <w:noProof/>
                <w:sz w:val="18"/>
                <w:szCs w:val="18"/>
              </w:rPr>
            </w:pPr>
          </w:p>
        </w:tc>
        <w:tc>
          <w:tcPr>
            <w:tcW w:w="1417" w:type="dxa"/>
            <w:tcBorders>
              <w:top w:val="nil"/>
              <w:left w:val="nil"/>
              <w:bottom w:val="single" w:sz="4" w:space="0" w:color="auto"/>
              <w:right w:val="single" w:sz="4" w:space="0" w:color="auto"/>
            </w:tcBorders>
            <w:shd w:val="clear" w:color="auto" w:fill="C6EFCE"/>
            <w:noWrap/>
            <w:vAlign w:val="center"/>
          </w:tcPr>
          <w:p w14:paraId="0CED7D64" w14:textId="77777777" w:rsidR="0023462A" w:rsidRDefault="00A550FA">
            <w:pPr>
              <w:pStyle w:val="P68B1DB1-Normal32"/>
              <w:spacing w:after="120" w:line="240" w:lineRule="auto"/>
              <w:jc w:val="center"/>
              <w:rPr>
                <w:noProof/>
              </w:rPr>
            </w:pPr>
            <w:r>
              <w:rPr>
                <w:noProof/>
              </w:rPr>
              <w:t>%</w:t>
            </w:r>
          </w:p>
        </w:tc>
        <w:tc>
          <w:tcPr>
            <w:tcW w:w="992" w:type="dxa"/>
            <w:tcBorders>
              <w:top w:val="nil"/>
              <w:left w:val="nil"/>
              <w:bottom w:val="single" w:sz="4" w:space="0" w:color="auto"/>
              <w:right w:val="single" w:sz="4" w:space="0" w:color="auto"/>
            </w:tcBorders>
            <w:shd w:val="clear" w:color="auto" w:fill="C6EFCE"/>
            <w:noWrap/>
            <w:vAlign w:val="center"/>
          </w:tcPr>
          <w:p w14:paraId="0DF01A75" w14:textId="77777777" w:rsidR="0023462A" w:rsidRDefault="00A550FA">
            <w:pPr>
              <w:pStyle w:val="P68B1DB1-Normal49"/>
              <w:spacing w:after="120" w:line="240" w:lineRule="auto"/>
              <w:jc w:val="center"/>
              <w:rPr>
                <w:noProof/>
              </w:rPr>
            </w:pPr>
            <w:r>
              <w:rPr>
                <w:noProof/>
              </w:rPr>
              <w:t>0</w:t>
            </w:r>
          </w:p>
        </w:tc>
        <w:tc>
          <w:tcPr>
            <w:tcW w:w="1134" w:type="dxa"/>
            <w:tcBorders>
              <w:top w:val="nil"/>
              <w:left w:val="nil"/>
              <w:bottom w:val="single" w:sz="4" w:space="0" w:color="auto"/>
              <w:right w:val="single" w:sz="4" w:space="0" w:color="auto"/>
            </w:tcBorders>
            <w:shd w:val="clear" w:color="auto" w:fill="C6EFCE"/>
            <w:noWrap/>
            <w:vAlign w:val="center"/>
          </w:tcPr>
          <w:p w14:paraId="4F33A5A9" w14:textId="77777777" w:rsidR="0023462A" w:rsidRDefault="00A550FA">
            <w:pPr>
              <w:pStyle w:val="P68B1DB1-Normal32"/>
              <w:spacing w:after="120" w:line="240" w:lineRule="auto"/>
              <w:jc w:val="center"/>
              <w:rPr>
                <w:noProof/>
              </w:rPr>
            </w:pPr>
            <w:r>
              <w:rPr>
                <w:noProof/>
              </w:rPr>
              <w:t>100</w:t>
            </w:r>
          </w:p>
        </w:tc>
        <w:tc>
          <w:tcPr>
            <w:tcW w:w="1134" w:type="dxa"/>
            <w:tcBorders>
              <w:top w:val="nil"/>
              <w:left w:val="nil"/>
              <w:bottom w:val="single" w:sz="4" w:space="0" w:color="auto"/>
              <w:right w:val="single" w:sz="4" w:space="0" w:color="auto"/>
            </w:tcBorders>
            <w:shd w:val="clear" w:color="auto" w:fill="C6EFCE"/>
            <w:vAlign w:val="center"/>
          </w:tcPr>
          <w:p w14:paraId="0B673637" w14:textId="77777777" w:rsidR="0023462A" w:rsidRDefault="00A550FA">
            <w:pPr>
              <w:pStyle w:val="P68B1DB1-Normal32"/>
              <w:spacing w:after="120" w:line="240" w:lineRule="auto"/>
              <w:jc w:val="center"/>
              <w:rPr>
                <w:noProof/>
              </w:rPr>
            </w:pPr>
            <w:r>
              <w:rPr>
                <w:noProof/>
              </w:rPr>
              <w:t>T2</w:t>
            </w:r>
          </w:p>
        </w:tc>
        <w:tc>
          <w:tcPr>
            <w:tcW w:w="709" w:type="dxa"/>
            <w:tcBorders>
              <w:top w:val="nil"/>
              <w:left w:val="nil"/>
              <w:bottom w:val="single" w:sz="4" w:space="0" w:color="auto"/>
              <w:right w:val="single" w:sz="4" w:space="0" w:color="auto"/>
            </w:tcBorders>
            <w:shd w:val="clear" w:color="auto" w:fill="C6EFCE"/>
            <w:vAlign w:val="center"/>
          </w:tcPr>
          <w:p w14:paraId="11978C16" w14:textId="77777777" w:rsidR="0023462A" w:rsidRDefault="00A550FA">
            <w:pPr>
              <w:pStyle w:val="P68B1DB1-Normal32"/>
              <w:spacing w:after="120" w:line="240" w:lineRule="auto"/>
              <w:jc w:val="center"/>
              <w:rPr>
                <w:noProof/>
              </w:rPr>
            </w:pPr>
            <w:r>
              <w:rPr>
                <w:noProof/>
              </w:rPr>
              <w:t>2026</w:t>
            </w:r>
          </w:p>
        </w:tc>
        <w:tc>
          <w:tcPr>
            <w:tcW w:w="3588" w:type="dxa"/>
            <w:tcBorders>
              <w:top w:val="nil"/>
              <w:left w:val="nil"/>
              <w:bottom w:val="single" w:sz="4" w:space="0" w:color="auto"/>
              <w:right w:val="single" w:sz="4" w:space="0" w:color="auto"/>
            </w:tcBorders>
            <w:shd w:val="clear" w:color="auto" w:fill="C6EFCE"/>
            <w:vAlign w:val="center"/>
          </w:tcPr>
          <w:p w14:paraId="7DE5F2FE" w14:textId="77777777" w:rsidR="0023462A" w:rsidRDefault="00A550FA">
            <w:pPr>
              <w:pStyle w:val="P68B1DB1-Normal32"/>
              <w:spacing w:after="120" w:line="240" w:lineRule="auto"/>
              <w:rPr>
                <w:noProof/>
              </w:rPr>
            </w:pPr>
            <w:r>
              <w:rPr>
                <w:noProof/>
              </w:rPr>
              <w:t>La MFB a conclu des conventions de financement légales avec les bénéficiaires finaux pour un montant nécessaire à l’utilisation de 100 % de l’investissement de la FRR dans la facilité (en tenant compte des frais de gestion). 100 % de ce financement contribue à la réalisation des objectifs climatiques en utilisant la méthode figurant à l’annexe VI du règlement FRR.</w:t>
            </w:r>
          </w:p>
        </w:tc>
      </w:tr>
      <w:tr w:rsidR="0023462A" w14:paraId="2D55BA42" w14:textId="77777777" w:rsidTr="009C289F">
        <w:trPr>
          <w:trHeight w:val="79"/>
          <w:jc w:val="center"/>
        </w:trPr>
        <w:tc>
          <w:tcPr>
            <w:tcW w:w="988" w:type="dxa"/>
            <w:tcBorders>
              <w:top w:val="nil"/>
              <w:left w:val="single" w:sz="4" w:space="0" w:color="auto"/>
              <w:bottom w:val="single" w:sz="4" w:space="0" w:color="auto"/>
              <w:right w:val="single" w:sz="4" w:space="0" w:color="auto"/>
            </w:tcBorders>
            <w:shd w:val="clear" w:color="auto" w:fill="C6EFCE"/>
            <w:noWrap/>
            <w:vAlign w:val="center"/>
          </w:tcPr>
          <w:p w14:paraId="3B3B57C3" w14:textId="793819F6" w:rsidR="0023462A" w:rsidRDefault="00A550FA">
            <w:pPr>
              <w:pStyle w:val="P68B1DB1-Normal32"/>
              <w:spacing w:after="120" w:line="240" w:lineRule="auto"/>
              <w:rPr>
                <w:noProof/>
              </w:rPr>
            </w:pPr>
            <w:r>
              <w:rPr>
                <w:noProof/>
              </w:rPr>
              <w:t>30</w:t>
            </w:r>
          </w:p>
        </w:tc>
        <w:tc>
          <w:tcPr>
            <w:tcW w:w="1744" w:type="dxa"/>
            <w:tcBorders>
              <w:top w:val="nil"/>
              <w:left w:val="nil"/>
              <w:bottom w:val="single" w:sz="4" w:space="0" w:color="auto"/>
              <w:right w:val="single" w:sz="4" w:space="0" w:color="auto"/>
            </w:tcBorders>
            <w:shd w:val="clear" w:color="auto" w:fill="C6EFCE"/>
            <w:vAlign w:val="center"/>
          </w:tcPr>
          <w:p w14:paraId="6EA2A4AF" w14:textId="6CFAB073" w:rsidR="0023462A" w:rsidRDefault="00A550FA">
            <w:pPr>
              <w:pStyle w:val="P68B1DB1-Normal32"/>
              <w:spacing w:after="120" w:line="240" w:lineRule="auto"/>
              <w:rPr>
                <w:noProof/>
              </w:rPr>
            </w:pPr>
            <w:r>
              <w:rPr>
                <w:noProof/>
              </w:rPr>
              <w:t>C5.I7: Mise en place d’un instrument financier pour accroître le déploiement des bornes de recharge pour véhicules électriques (VE)</w:t>
            </w:r>
          </w:p>
        </w:tc>
        <w:tc>
          <w:tcPr>
            <w:tcW w:w="1096" w:type="dxa"/>
            <w:tcBorders>
              <w:top w:val="nil"/>
              <w:left w:val="nil"/>
              <w:bottom w:val="single" w:sz="4" w:space="0" w:color="auto"/>
              <w:right w:val="single" w:sz="4" w:space="0" w:color="auto"/>
            </w:tcBorders>
            <w:shd w:val="clear" w:color="auto" w:fill="C6EFCE"/>
            <w:noWrap/>
            <w:vAlign w:val="center"/>
          </w:tcPr>
          <w:p w14:paraId="7094CD66" w14:textId="77777777" w:rsidR="0023462A" w:rsidRDefault="00A550FA">
            <w:pPr>
              <w:pStyle w:val="P68B1DB1-Normal32"/>
              <w:spacing w:after="120" w:line="240" w:lineRule="auto"/>
              <w:rPr>
                <w:noProof/>
              </w:rPr>
            </w:pPr>
            <w:r>
              <w:rPr>
                <w:noProof/>
              </w:rPr>
              <w:t>Étape</w:t>
            </w:r>
          </w:p>
        </w:tc>
        <w:tc>
          <w:tcPr>
            <w:tcW w:w="1129" w:type="dxa"/>
            <w:tcBorders>
              <w:top w:val="nil"/>
              <w:left w:val="nil"/>
              <w:bottom w:val="single" w:sz="4" w:space="0" w:color="auto"/>
              <w:right w:val="single" w:sz="4" w:space="0" w:color="auto"/>
            </w:tcBorders>
            <w:shd w:val="clear" w:color="auto" w:fill="C6EFCE"/>
            <w:vAlign w:val="center"/>
          </w:tcPr>
          <w:p w14:paraId="1798BDC4" w14:textId="4C3518D0" w:rsidR="0023462A" w:rsidRDefault="00A550FA">
            <w:pPr>
              <w:pStyle w:val="P68B1DB1-Normal32"/>
              <w:spacing w:after="120" w:line="240" w:lineRule="auto"/>
              <w:rPr>
                <w:noProof/>
              </w:rPr>
            </w:pPr>
            <w:r>
              <w:rPr>
                <w:noProof/>
              </w:rPr>
              <w:t>Le ministère a terminé l'investissement</w:t>
            </w:r>
          </w:p>
        </w:tc>
        <w:tc>
          <w:tcPr>
            <w:tcW w:w="1134" w:type="dxa"/>
            <w:tcBorders>
              <w:top w:val="nil"/>
              <w:left w:val="nil"/>
              <w:bottom w:val="single" w:sz="4" w:space="0" w:color="auto"/>
              <w:right w:val="single" w:sz="4" w:space="0" w:color="auto"/>
            </w:tcBorders>
            <w:shd w:val="clear" w:color="auto" w:fill="C6EFCE"/>
            <w:vAlign w:val="center"/>
          </w:tcPr>
          <w:p w14:paraId="59B4B77B" w14:textId="77777777" w:rsidR="0023462A" w:rsidRDefault="00A550FA">
            <w:pPr>
              <w:pStyle w:val="P68B1DB1-Normal49"/>
              <w:spacing w:after="120" w:line="240" w:lineRule="auto"/>
              <w:rPr>
                <w:noProof/>
              </w:rPr>
            </w:pPr>
            <w:r>
              <w:rPr>
                <w:noProof/>
              </w:rPr>
              <w:t xml:space="preserve">Certificat de transfert </w:t>
            </w:r>
          </w:p>
        </w:tc>
        <w:tc>
          <w:tcPr>
            <w:tcW w:w="1417" w:type="dxa"/>
            <w:tcBorders>
              <w:top w:val="nil"/>
              <w:left w:val="nil"/>
              <w:bottom w:val="single" w:sz="4" w:space="0" w:color="auto"/>
              <w:right w:val="single" w:sz="4" w:space="0" w:color="auto"/>
            </w:tcBorders>
            <w:shd w:val="clear" w:color="auto" w:fill="C6EFCE"/>
            <w:noWrap/>
            <w:vAlign w:val="center"/>
          </w:tcPr>
          <w:p w14:paraId="04EFDB21" w14:textId="77777777" w:rsidR="0023462A" w:rsidRDefault="0023462A">
            <w:pPr>
              <w:spacing w:after="120" w:line="240" w:lineRule="auto"/>
              <w:jc w:val="center"/>
              <w:rPr>
                <w:rFonts w:ascii="Times New Roman"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noWrap/>
            <w:vAlign w:val="center"/>
          </w:tcPr>
          <w:p w14:paraId="00B6349E" w14:textId="77777777" w:rsidR="0023462A" w:rsidRDefault="0023462A">
            <w:pPr>
              <w:spacing w:after="120" w:line="240" w:lineRule="auto"/>
              <w:jc w:val="center"/>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690D4AA4" w14:textId="77777777" w:rsidR="0023462A" w:rsidRDefault="0023462A">
            <w:pPr>
              <w:spacing w:after="120" w:line="240" w:lineRule="auto"/>
              <w:jc w:val="center"/>
              <w:rPr>
                <w:rFonts w:ascii="Times New Roman"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vAlign w:val="center"/>
          </w:tcPr>
          <w:p w14:paraId="3DF56D17" w14:textId="77777777" w:rsidR="0023462A" w:rsidRDefault="00A550FA">
            <w:pPr>
              <w:pStyle w:val="P68B1DB1-Normal32"/>
              <w:spacing w:after="120" w:line="240" w:lineRule="auto"/>
              <w:jc w:val="center"/>
              <w:rPr>
                <w:noProof/>
              </w:rPr>
            </w:pPr>
            <w:r>
              <w:rPr>
                <w:noProof/>
              </w:rPr>
              <w:t>T2</w:t>
            </w:r>
          </w:p>
        </w:tc>
        <w:tc>
          <w:tcPr>
            <w:tcW w:w="709" w:type="dxa"/>
            <w:tcBorders>
              <w:top w:val="nil"/>
              <w:left w:val="nil"/>
              <w:bottom w:val="single" w:sz="4" w:space="0" w:color="auto"/>
              <w:right w:val="single" w:sz="4" w:space="0" w:color="auto"/>
            </w:tcBorders>
            <w:shd w:val="clear" w:color="auto" w:fill="C6EFCE"/>
            <w:vAlign w:val="center"/>
          </w:tcPr>
          <w:p w14:paraId="0B66E5CC" w14:textId="77777777" w:rsidR="0023462A" w:rsidRDefault="00A550FA">
            <w:pPr>
              <w:pStyle w:val="P68B1DB1-Normal32"/>
              <w:spacing w:after="120" w:line="240" w:lineRule="auto"/>
              <w:jc w:val="center"/>
              <w:rPr>
                <w:noProof/>
              </w:rPr>
            </w:pPr>
            <w:r>
              <w:rPr>
                <w:noProof/>
              </w:rPr>
              <w:t>2026</w:t>
            </w:r>
          </w:p>
        </w:tc>
        <w:tc>
          <w:tcPr>
            <w:tcW w:w="3588" w:type="dxa"/>
            <w:tcBorders>
              <w:top w:val="nil"/>
              <w:left w:val="nil"/>
              <w:bottom w:val="single" w:sz="4" w:space="0" w:color="auto"/>
              <w:right w:val="single" w:sz="4" w:space="0" w:color="auto"/>
            </w:tcBorders>
            <w:shd w:val="clear" w:color="auto" w:fill="C6EFCE"/>
            <w:vAlign w:val="center"/>
          </w:tcPr>
          <w:p w14:paraId="058A7FCE" w14:textId="387D9CA1" w:rsidR="0023462A" w:rsidRDefault="00A550FA">
            <w:pPr>
              <w:pStyle w:val="P68B1DB1-Normal32"/>
              <w:spacing w:after="120" w:line="240" w:lineRule="auto"/>
              <w:rPr>
                <w:noProof/>
              </w:rPr>
            </w:pPr>
            <w:r>
              <w:rPr>
                <w:noProof/>
              </w:rPr>
              <w:t xml:space="preserve">La Hongrie transfère au moins 19 418 569 EUR à la MFB pour la facilité. </w:t>
            </w:r>
          </w:p>
        </w:tc>
      </w:tr>
      <w:tr w:rsidR="0023462A" w14:paraId="19CC30DC" w14:textId="77777777" w:rsidTr="009C289F">
        <w:trPr>
          <w:trHeight w:val="79"/>
          <w:jc w:val="center"/>
        </w:trPr>
        <w:tc>
          <w:tcPr>
            <w:tcW w:w="988" w:type="dxa"/>
            <w:tcBorders>
              <w:top w:val="nil"/>
              <w:left w:val="single" w:sz="4" w:space="0" w:color="auto"/>
              <w:bottom w:val="single" w:sz="4" w:space="0" w:color="auto"/>
              <w:right w:val="single" w:sz="4" w:space="0" w:color="auto"/>
            </w:tcBorders>
            <w:shd w:val="clear" w:color="auto" w:fill="C6EFCE"/>
            <w:noWrap/>
            <w:vAlign w:val="center"/>
          </w:tcPr>
          <w:p w14:paraId="1FD9C17B" w14:textId="16E34CC8" w:rsidR="0023462A" w:rsidRDefault="00A550FA">
            <w:pPr>
              <w:pStyle w:val="P68B1DB1-Normal32"/>
              <w:spacing w:after="120" w:line="240" w:lineRule="auto"/>
              <w:rPr>
                <w:noProof/>
              </w:rPr>
            </w:pPr>
            <w:r>
              <w:rPr>
                <w:noProof/>
              </w:rPr>
              <w:t>31</w:t>
            </w:r>
          </w:p>
        </w:tc>
        <w:tc>
          <w:tcPr>
            <w:tcW w:w="1744" w:type="dxa"/>
            <w:tcBorders>
              <w:top w:val="single" w:sz="4" w:space="0" w:color="auto"/>
              <w:left w:val="nil"/>
              <w:bottom w:val="single" w:sz="4" w:space="0" w:color="auto"/>
              <w:right w:val="single" w:sz="4" w:space="0" w:color="auto"/>
            </w:tcBorders>
            <w:shd w:val="clear" w:color="auto" w:fill="C6EFCE"/>
            <w:vAlign w:val="center"/>
          </w:tcPr>
          <w:p w14:paraId="7FE051AA" w14:textId="40930F56" w:rsidR="0023462A" w:rsidRDefault="00A550FA">
            <w:pPr>
              <w:pStyle w:val="P68B1DB1-Normal32"/>
              <w:spacing w:after="120" w:line="240" w:lineRule="auto"/>
              <w:rPr>
                <w:rFonts w:eastAsiaTheme="minorHAnsi"/>
                <w:noProof/>
              </w:rPr>
            </w:pPr>
            <w:r>
              <w:rPr>
                <w:noProof/>
              </w:rPr>
              <w:t xml:space="preserve">C5.R1 Réforme tarifaire </w:t>
            </w:r>
          </w:p>
        </w:tc>
        <w:tc>
          <w:tcPr>
            <w:tcW w:w="1096" w:type="dxa"/>
            <w:tcBorders>
              <w:top w:val="nil"/>
              <w:left w:val="nil"/>
              <w:bottom w:val="single" w:sz="4" w:space="0" w:color="auto"/>
              <w:right w:val="single" w:sz="4" w:space="0" w:color="auto"/>
            </w:tcBorders>
            <w:shd w:val="clear" w:color="auto" w:fill="C6EFCE"/>
            <w:noWrap/>
            <w:vAlign w:val="center"/>
          </w:tcPr>
          <w:p w14:paraId="5BA9D99F" w14:textId="77777777" w:rsidR="0023462A" w:rsidRDefault="00A550FA">
            <w:pPr>
              <w:pStyle w:val="P68B1DB1-Normal32"/>
              <w:spacing w:after="120" w:line="240" w:lineRule="auto"/>
              <w:rPr>
                <w:rFonts w:eastAsiaTheme="minorHAnsi"/>
                <w:noProof/>
              </w:rPr>
            </w:pPr>
            <w:r>
              <w:rPr>
                <w:noProof/>
              </w:rPr>
              <w:t>Étape</w:t>
            </w:r>
          </w:p>
        </w:tc>
        <w:tc>
          <w:tcPr>
            <w:tcW w:w="1129" w:type="dxa"/>
            <w:tcBorders>
              <w:top w:val="single" w:sz="4" w:space="0" w:color="auto"/>
              <w:left w:val="nil"/>
              <w:bottom w:val="single" w:sz="4" w:space="0" w:color="auto"/>
              <w:right w:val="single" w:sz="4" w:space="0" w:color="auto"/>
            </w:tcBorders>
            <w:shd w:val="clear" w:color="auto" w:fill="C6EFCE"/>
            <w:vAlign w:val="center"/>
          </w:tcPr>
          <w:p w14:paraId="1E0E9423" w14:textId="171B98AA" w:rsidR="0023462A" w:rsidRDefault="00A550FA">
            <w:pPr>
              <w:pStyle w:val="P68B1DB1-Normal32"/>
              <w:spacing w:after="120" w:line="240" w:lineRule="auto"/>
              <w:rPr>
                <w:rFonts w:eastAsiaTheme="minorHAnsi"/>
                <w:noProof/>
              </w:rPr>
            </w:pPr>
            <w:r>
              <w:rPr>
                <w:noProof/>
              </w:rPr>
              <w:t xml:space="preserve">Entrée en vigueur du ou des actes juridiques relatifs aux tarifs </w:t>
            </w:r>
          </w:p>
        </w:tc>
        <w:tc>
          <w:tcPr>
            <w:tcW w:w="1134" w:type="dxa"/>
            <w:tcBorders>
              <w:top w:val="nil"/>
              <w:left w:val="nil"/>
              <w:bottom w:val="single" w:sz="4" w:space="0" w:color="auto"/>
              <w:right w:val="single" w:sz="4" w:space="0" w:color="auto"/>
            </w:tcBorders>
            <w:shd w:val="clear" w:color="auto" w:fill="C6EFCE"/>
            <w:vAlign w:val="center"/>
          </w:tcPr>
          <w:p w14:paraId="3055C15B" w14:textId="18BC6BFB" w:rsidR="0023462A" w:rsidRDefault="00A550FA">
            <w:pPr>
              <w:pStyle w:val="P68B1DB1-Normal32"/>
              <w:spacing w:after="120" w:line="240" w:lineRule="auto"/>
              <w:ind w:left="34"/>
              <w:rPr>
                <w:rFonts w:eastAsiaTheme="minorHAnsi"/>
                <w:noProof/>
              </w:rPr>
            </w:pPr>
            <w:r>
              <w:rPr>
                <w:noProof/>
              </w:rPr>
              <w:t>Disposition du ou des actes juridiques indiquant l’entrée en vigueur</w:t>
            </w:r>
          </w:p>
        </w:tc>
        <w:tc>
          <w:tcPr>
            <w:tcW w:w="1417" w:type="dxa"/>
            <w:tcBorders>
              <w:top w:val="nil"/>
              <w:left w:val="nil"/>
              <w:bottom w:val="single" w:sz="4" w:space="0" w:color="auto"/>
              <w:right w:val="single" w:sz="4" w:space="0" w:color="auto"/>
            </w:tcBorders>
            <w:shd w:val="clear" w:color="auto" w:fill="C6EFCE"/>
            <w:noWrap/>
            <w:vAlign w:val="center"/>
          </w:tcPr>
          <w:p w14:paraId="64E79433" w14:textId="77777777" w:rsidR="0023462A" w:rsidRDefault="0023462A">
            <w:pPr>
              <w:spacing w:after="120" w:line="240" w:lineRule="auto"/>
              <w:jc w:val="center"/>
              <w:rPr>
                <w:rFonts w:ascii="Times New Roman"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noWrap/>
            <w:vAlign w:val="center"/>
          </w:tcPr>
          <w:p w14:paraId="232D680F" w14:textId="77777777" w:rsidR="0023462A" w:rsidRDefault="0023462A">
            <w:pPr>
              <w:spacing w:after="120" w:line="240" w:lineRule="auto"/>
              <w:jc w:val="center"/>
              <w:rPr>
                <w:rFonts w:ascii="Times New Roman"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1FFDC0C6" w14:textId="77777777" w:rsidR="0023462A" w:rsidRDefault="0023462A">
            <w:pPr>
              <w:spacing w:after="120" w:line="240" w:lineRule="auto"/>
              <w:jc w:val="center"/>
              <w:rPr>
                <w:rFonts w:ascii="Times New Roman"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vAlign w:val="center"/>
          </w:tcPr>
          <w:p w14:paraId="64D91DAE" w14:textId="29055C24" w:rsidR="0023462A" w:rsidRDefault="00A550FA">
            <w:pPr>
              <w:pStyle w:val="P68B1DB1-Normal32"/>
              <w:spacing w:after="120" w:line="240" w:lineRule="auto"/>
              <w:jc w:val="center"/>
              <w:rPr>
                <w:rFonts w:eastAsiaTheme="minorHAnsi"/>
                <w:noProof/>
              </w:rPr>
            </w:pPr>
            <w:r>
              <w:rPr>
                <w:noProof/>
              </w:rPr>
              <w:t>T2</w:t>
            </w:r>
          </w:p>
        </w:tc>
        <w:tc>
          <w:tcPr>
            <w:tcW w:w="709" w:type="dxa"/>
            <w:tcBorders>
              <w:top w:val="nil"/>
              <w:left w:val="nil"/>
              <w:bottom w:val="single" w:sz="4" w:space="0" w:color="auto"/>
              <w:right w:val="single" w:sz="4" w:space="0" w:color="auto"/>
            </w:tcBorders>
            <w:shd w:val="clear" w:color="auto" w:fill="C6EFCE"/>
            <w:vAlign w:val="center"/>
          </w:tcPr>
          <w:p w14:paraId="78548D6D" w14:textId="4DAC8F7E" w:rsidR="0023462A" w:rsidRDefault="00A550FA">
            <w:pPr>
              <w:pStyle w:val="P68B1DB1-Normal32"/>
              <w:spacing w:after="120" w:line="240" w:lineRule="auto"/>
              <w:rPr>
                <w:rFonts w:eastAsiaTheme="minorHAnsi"/>
                <w:noProof/>
              </w:rPr>
            </w:pPr>
            <w:r>
              <w:rPr>
                <w:noProof/>
              </w:rPr>
              <w:t>2026</w:t>
            </w:r>
          </w:p>
        </w:tc>
        <w:tc>
          <w:tcPr>
            <w:tcW w:w="3588" w:type="dxa"/>
            <w:tcBorders>
              <w:top w:val="nil"/>
              <w:left w:val="nil"/>
              <w:bottom w:val="single" w:sz="4" w:space="0" w:color="auto"/>
              <w:right w:val="single" w:sz="4" w:space="0" w:color="auto"/>
            </w:tcBorders>
            <w:shd w:val="clear" w:color="auto" w:fill="C6EFCE"/>
            <w:vAlign w:val="center"/>
          </w:tcPr>
          <w:p w14:paraId="65D0E41E" w14:textId="11B6CC7E" w:rsidR="0023462A" w:rsidRDefault="00A550FA">
            <w:pPr>
              <w:pStyle w:val="P68B1DB1-Normal32"/>
              <w:spacing w:after="120" w:line="240" w:lineRule="auto"/>
              <w:rPr>
                <w:noProof/>
              </w:rPr>
            </w:pPr>
            <w:r>
              <w:rPr>
                <w:noProof/>
              </w:rPr>
              <w:t>Entrée en vigueur du ou des actes juridiques relatifs aux réductions sur les voyages dans le transport public de voyageurs.</w:t>
            </w:r>
          </w:p>
        </w:tc>
      </w:tr>
    </w:tbl>
    <w:p w14:paraId="1D0A5DDD" w14:textId="77777777" w:rsidR="0023462A" w:rsidRDefault="0023462A">
      <w:pPr>
        <w:spacing w:after="120" w:line="240" w:lineRule="auto"/>
        <w:rPr>
          <w:rFonts w:ascii="Times New Roman" w:hAnsi="Times New Roman" w:cs="Times New Roman"/>
          <w:noProof/>
          <w:sz w:val="24"/>
          <w:szCs w:val="24"/>
        </w:rPr>
        <w:sectPr w:rsidR="0023462A" w:rsidSect="009030B8">
          <w:headerReference w:type="even" r:id="rId72"/>
          <w:headerReference w:type="default" r:id="rId73"/>
          <w:footerReference w:type="even" r:id="rId74"/>
          <w:footerReference w:type="default" r:id="rId75"/>
          <w:headerReference w:type="first" r:id="rId76"/>
          <w:footerReference w:type="first" r:id="rId77"/>
          <w:pgSz w:w="16839" w:h="11907" w:orient="landscape"/>
          <w:pgMar w:top="1134" w:right="1134" w:bottom="1134" w:left="1134" w:header="567" w:footer="567" w:gutter="0"/>
          <w:cols w:space="708"/>
          <w:docGrid w:linePitch="360"/>
        </w:sectPr>
      </w:pPr>
    </w:p>
    <w:p w14:paraId="21E29702" w14:textId="5191BB7F" w:rsidR="0023462A" w:rsidRDefault="00A550FA">
      <w:pPr>
        <w:pStyle w:val="P68B1DB1-Heading310"/>
        <w:spacing w:before="0" w:after="120"/>
        <w:rPr>
          <w:noProof/>
        </w:rPr>
      </w:pPr>
      <w:r>
        <w:rPr>
          <w:noProof/>
        </w:rPr>
        <w:t>E.3. Description des réformes et des investissements pour le prêt</w:t>
      </w:r>
    </w:p>
    <w:p w14:paraId="26437B77" w14:textId="77777777" w:rsidR="0023462A" w:rsidRDefault="00A550FA">
      <w:pPr>
        <w:pStyle w:val="P68B1DB1-Heading411"/>
        <w:spacing w:before="0" w:after="120" w:line="240" w:lineRule="auto"/>
        <w:rPr>
          <w:noProof/>
        </w:rPr>
      </w:pPr>
      <w:r>
        <w:rPr>
          <w:noProof/>
        </w:rPr>
        <w:t>C5.I8 : Injection de fonds propres dans une société Rolling Stock nouvellement créée «ROSCO»</w:t>
      </w:r>
    </w:p>
    <w:p w14:paraId="0F462EFC" w14:textId="7FFD1B96" w:rsidR="0023462A" w:rsidRDefault="00A550FA">
      <w:pPr>
        <w:pStyle w:val="P68B1DB1-Normal34"/>
        <w:spacing w:after="120" w:line="240" w:lineRule="auto"/>
        <w:jc w:val="both"/>
        <w:rPr>
          <w:noProof/>
        </w:rPr>
      </w:pPr>
      <w:r>
        <w:rPr>
          <w:noProof/>
        </w:rPr>
        <w:t xml:space="preserve">Cette mesure vise à soutenir le potentiel de croissance de l’économie hongroise en ajustant structurellement le niveau de soutien public disponible pour remédier aux défaillances et aux inefficacités du marché au sein de l’économie. La mesure consistera en une injection de fonds propres de 1 800 000 000 EUR dans la Rolling Stock Company (ROSCO). </w:t>
      </w:r>
    </w:p>
    <w:p w14:paraId="2108B79B" w14:textId="77777777" w:rsidR="0023462A" w:rsidRDefault="00A550FA">
      <w:pPr>
        <w:pStyle w:val="P68B1DB1-Normal34"/>
        <w:spacing w:after="120" w:line="240" w:lineRule="auto"/>
        <w:jc w:val="both"/>
        <w:rPr>
          <w:noProof/>
        </w:rPr>
      </w:pPr>
      <w:r>
        <w:rPr>
          <w:noProof/>
        </w:rPr>
        <w:t>Le respect satisfaisant des jalons au titre de la présente mesure est subordonné au respect satisfaisant des jalons de la réforme C5.R2.</w:t>
      </w:r>
    </w:p>
    <w:p w14:paraId="66788362" w14:textId="762BECB5" w:rsidR="0023462A" w:rsidRDefault="00A550FA">
      <w:pPr>
        <w:pStyle w:val="P68B1DB1-Heading411"/>
        <w:spacing w:before="0" w:after="120" w:line="240" w:lineRule="auto"/>
        <w:rPr>
          <w:noProof/>
        </w:rPr>
      </w:pPr>
      <w:r>
        <w:rPr>
          <w:noProof/>
        </w:rPr>
        <w:t>C5.R2 : Réforme des services ferroviaires en Hongrie</w:t>
      </w:r>
    </w:p>
    <w:p w14:paraId="38552AC8" w14:textId="77777777" w:rsidR="0023462A" w:rsidRDefault="00A550FA">
      <w:pPr>
        <w:pStyle w:val="P68B1DB1-Text146"/>
        <w:spacing w:before="0" w:after="120" w:line="240" w:lineRule="auto"/>
        <w:rPr>
          <w:noProof/>
        </w:rPr>
      </w:pPr>
      <w:r>
        <w:rPr>
          <w:noProof/>
        </w:rPr>
        <w:t xml:space="preserve">L'objectif de cette mesure est de contribuer à l'amélioration du marché ferroviaire en Hongrie. </w:t>
      </w:r>
    </w:p>
    <w:p w14:paraId="36570EE0" w14:textId="208C9DA7" w:rsidR="0023462A" w:rsidRDefault="00A550FA">
      <w:pPr>
        <w:pStyle w:val="P68B1DB1-Text146"/>
        <w:spacing w:before="0" w:after="120" w:line="240" w:lineRule="auto"/>
        <w:rPr>
          <w:noProof/>
        </w:rPr>
      </w:pPr>
      <w:r>
        <w:rPr>
          <w:noProof/>
        </w:rPr>
        <w:t xml:space="preserve">Il consiste en l’entrée en vigueur d’un ou de plusieurs actes juridiques portant création de l’autorité nationale des transports publics (NPTA) et de la société du matériel roulant (ROSCO). </w:t>
      </w:r>
    </w:p>
    <w:p w14:paraId="51709636" w14:textId="3D3FB027" w:rsidR="0023462A" w:rsidRDefault="0023462A">
      <w:pPr>
        <w:spacing w:after="120" w:line="240" w:lineRule="auto"/>
        <w:rPr>
          <w:rFonts w:ascii="Times New Roman" w:hAnsi="Times New Roman"/>
          <w:noProof/>
          <w:sz w:val="24"/>
          <w:szCs w:val="24"/>
        </w:rPr>
      </w:pPr>
    </w:p>
    <w:p w14:paraId="28CA1EBA" w14:textId="77777777" w:rsidR="0023462A" w:rsidRDefault="0023462A">
      <w:pPr>
        <w:pStyle w:val="Text1"/>
        <w:spacing w:before="0" w:after="120" w:line="240" w:lineRule="auto"/>
        <w:rPr>
          <w:rFonts w:ascii="Times New Roman" w:hAnsi="Times New Roman"/>
          <w:noProof/>
          <w:sz w:val="24"/>
          <w:szCs w:val="24"/>
        </w:rPr>
        <w:sectPr w:rsidR="0023462A" w:rsidSect="00BC385A">
          <w:headerReference w:type="default" r:id="rId78"/>
          <w:footerReference w:type="default" r:id="rId79"/>
          <w:pgSz w:w="11907" w:h="16839"/>
          <w:pgMar w:top="1134" w:right="1134" w:bottom="1134" w:left="1134" w:header="567" w:footer="567" w:gutter="0"/>
          <w:cols w:space="708"/>
          <w:docGrid w:linePitch="360"/>
        </w:sectPr>
      </w:pPr>
    </w:p>
    <w:p w14:paraId="5EBDD9C1" w14:textId="10CEDAA7" w:rsidR="0023462A" w:rsidRDefault="00A550FA">
      <w:pPr>
        <w:pStyle w:val="P68B1DB1-Heading350"/>
        <w:spacing w:before="0" w:after="120"/>
        <w:rPr>
          <w:rFonts w:ascii="Times New Roman" w:hAnsi="Times New Roman"/>
          <w:noProof/>
        </w:rPr>
      </w:pPr>
      <w:r>
        <w:rPr>
          <w:rFonts w:ascii="Times New Roman" w:hAnsi="Times New Roman"/>
          <w:noProof/>
        </w:rPr>
        <w:t xml:space="preserve">E.4. </w:t>
      </w:r>
      <w:r>
        <w:rPr>
          <w:rFonts w:ascii="Times New Roman" w:hAnsi="Times New Roman"/>
          <w:noProof/>
        </w:rPr>
        <w:tab/>
      </w:r>
      <w:r>
        <w:rPr>
          <w:rFonts w:ascii="Times New Roman" w:hAnsi="Times New Roman" w:cs="Times New Roman"/>
          <w:noProof/>
          <w:szCs w:val="24"/>
        </w:rPr>
        <w:t>Étapes, objectifs, indicateurs et calendrier du suivi et de la mise en œuvre du soutien sous forme de prêts</w:t>
      </w:r>
    </w:p>
    <w:tbl>
      <w:tblPr>
        <w:tblW w:w="15065" w:type="dxa"/>
        <w:jc w:val="center"/>
        <w:tblLayout w:type="fixed"/>
        <w:tblLook w:val="04A0" w:firstRow="1" w:lastRow="0" w:firstColumn="1" w:lastColumn="0" w:noHBand="0" w:noVBand="1"/>
      </w:tblPr>
      <w:tblGrid>
        <w:gridCol w:w="1134"/>
        <w:gridCol w:w="1413"/>
        <w:gridCol w:w="992"/>
        <w:gridCol w:w="1134"/>
        <w:gridCol w:w="1559"/>
        <w:gridCol w:w="1276"/>
        <w:gridCol w:w="1134"/>
        <w:gridCol w:w="1055"/>
        <w:gridCol w:w="1071"/>
        <w:gridCol w:w="993"/>
        <w:gridCol w:w="3304"/>
      </w:tblGrid>
      <w:tr w:rsidR="0023462A" w14:paraId="4E90561D" w14:textId="77777777" w:rsidTr="009C289F">
        <w:trPr>
          <w:cantSplit/>
          <w:trHeight w:val="945"/>
          <w:tblHeader/>
          <w:jc w:val="center"/>
        </w:trPr>
        <w:tc>
          <w:tcPr>
            <w:tcW w:w="1134"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39E48C91" w14:textId="77777777" w:rsidR="0023462A" w:rsidRDefault="00A550FA">
            <w:pPr>
              <w:pStyle w:val="P68B1DB1-Normal37"/>
              <w:spacing w:after="120" w:line="240" w:lineRule="auto"/>
              <w:jc w:val="center"/>
              <w:rPr>
                <w:noProof/>
              </w:rPr>
            </w:pPr>
            <w:r>
              <w:rPr>
                <w:noProof/>
              </w:rPr>
              <w:t>Numéro séquentiel</w:t>
            </w:r>
          </w:p>
        </w:tc>
        <w:tc>
          <w:tcPr>
            <w:tcW w:w="1413"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0FF16521" w14:textId="77777777" w:rsidR="0023462A" w:rsidRDefault="00A550FA">
            <w:pPr>
              <w:pStyle w:val="P68B1DB1-Normal37"/>
              <w:spacing w:after="120" w:line="240" w:lineRule="auto"/>
              <w:jc w:val="center"/>
              <w:rPr>
                <w:rFonts w:eastAsiaTheme="minorHAnsi"/>
                <w:noProof/>
              </w:rPr>
            </w:pPr>
            <w:r>
              <w:rPr>
                <w:noProof/>
              </w:rPr>
              <w:t>Mesure connexe (réforme ou investissement)</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3AC15D48" w14:textId="77777777" w:rsidR="0023462A" w:rsidRDefault="00A550FA">
            <w:pPr>
              <w:pStyle w:val="P68B1DB1-Normal37"/>
              <w:spacing w:after="120" w:line="240" w:lineRule="auto"/>
              <w:jc w:val="center"/>
              <w:rPr>
                <w:rFonts w:eastAsiaTheme="minorHAnsi"/>
                <w:noProof/>
              </w:rPr>
            </w:pPr>
            <w:r>
              <w:rPr>
                <w:noProof/>
              </w:rPr>
              <w:t>Étape/</w:t>
            </w:r>
          </w:p>
          <w:p w14:paraId="27247923" w14:textId="77777777" w:rsidR="0023462A" w:rsidRDefault="00A550FA">
            <w:pPr>
              <w:pStyle w:val="P68B1DB1-Normal37"/>
              <w:spacing w:after="120" w:line="240" w:lineRule="auto"/>
              <w:jc w:val="center"/>
              <w:rPr>
                <w:rFonts w:eastAsiaTheme="minorHAnsi"/>
                <w:noProof/>
              </w:rPr>
            </w:pPr>
            <w:r>
              <w:rPr>
                <w:noProof/>
              </w:rPr>
              <w:t>Objectif</w:t>
            </w:r>
          </w:p>
        </w:tc>
        <w:tc>
          <w:tcPr>
            <w:tcW w:w="1134" w:type="dxa"/>
            <w:vMerge w:val="restart"/>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3D47EF5C" w14:textId="77777777" w:rsidR="0023462A" w:rsidRDefault="00A550FA">
            <w:pPr>
              <w:pStyle w:val="P68B1DB1-Normal37"/>
              <w:spacing w:after="120" w:line="240" w:lineRule="auto"/>
              <w:jc w:val="center"/>
              <w:rPr>
                <w:rFonts w:eastAsiaTheme="minorHAnsi"/>
                <w:noProof/>
              </w:rPr>
            </w:pPr>
            <w:r>
              <w:rPr>
                <w:noProof/>
              </w:rPr>
              <w:t>Nom</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0BB66661" w14:textId="1B08B26A" w:rsidR="0023462A" w:rsidRDefault="00A550FA">
            <w:pPr>
              <w:pStyle w:val="P68B1DB1-Normal32"/>
              <w:spacing w:after="120" w:line="240" w:lineRule="auto"/>
              <w:jc w:val="center"/>
              <w:rPr>
                <w:rFonts w:eastAsiaTheme="minorHAnsi"/>
                <w:b/>
                <w:noProof/>
              </w:rPr>
            </w:pPr>
            <w:r>
              <w:rPr>
                <w:b/>
                <w:noProof/>
              </w:rPr>
              <w:t>Indicateurs qualitatifs</w:t>
            </w:r>
            <w:r>
              <w:rPr>
                <w:noProof/>
              </w:rPr>
              <w:br/>
            </w:r>
            <w:r>
              <w:rPr>
                <w:b/>
                <w:noProof/>
              </w:rPr>
              <w:t>(pour les jalons)</w:t>
            </w:r>
          </w:p>
        </w:tc>
        <w:tc>
          <w:tcPr>
            <w:tcW w:w="3465" w:type="dxa"/>
            <w:gridSpan w:val="3"/>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6F82556D" w14:textId="77777777" w:rsidR="0023462A" w:rsidRDefault="00A550FA">
            <w:pPr>
              <w:pStyle w:val="P68B1DB1-Normal37"/>
              <w:spacing w:after="120" w:line="240" w:lineRule="auto"/>
              <w:jc w:val="center"/>
              <w:rPr>
                <w:rFonts w:eastAsiaTheme="minorHAnsi"/>
                <w:noProof/>
              </w:rPr>
            </w:pPr>
            <w:r>
              <w:rPr>
                <w:noProof/>
              </w:rPr>
              <w:t>Indicateurs quantitatifs (pour les objectifs)</w:t>
            </w:r>
          </w:p>
        </w:tc>
        <w:tc>
          <w:tcPr>
            <w:tcW w:w="2064" w:type="dxa"/>
            <w:gridSpan w:val="2"/>
            <w:tcBorders>
              <w:top w:val="single" w:sz="4" w:space="0" w:color="auto"/>
              <w:left w:val="nil"/>
              <w:bottom w:val="single" w:sz="4" w:space="0" w:color="auto"/>
              <w:right w:val="single" w:sz="4" w:space="0" w:color="auto"/>
            </w:tcBorders>
            <w:shd w:val="clear" w:color="auto" w:fill="B4C6E7" w:themeFill="accent1" w:themeFillTint="66"/>
            <w:vAlign w:val="center"/>
            <w:hideMark/>
          </w:tcPr>
          <w:p w14:paraId="76142DA8" w14:textId="77777777" w:rsidR="0023462A" w:rsidRDefault="00A550FA">
            <w:pPr>
              <w:pStyle w:val="P68B1DB1-Normal37"/>
              <w:spacing w:after="120" w:line="240" w:lineRule="auto"/>
              <w:jc w:val="center"/>
              <w:rPr>
                <w:rFonts w:eastAsiaTheme="minorHAnsi"/>
                <w:noProof/>
              </w:rPr>
            </w:pPr>
            <w:r>
              <w:rPr>
                <w:noProof/>
              </w:rPr>
              <w:t>Calendrier indicatif d'achèvement</w:t>
            </w:r>
          </w:p>
        </w:tc>
        <w:tc>
          <w:tcPr>
            <w:tcW w:w="3304"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7F2877FE" w14:textId="77777777" w:rsidR="0023462A" w:rsidRDefault="00A550FA">
            <w:pPr>
              <w:pStyle w:val="P68B1DB1-Normal37"/>
              <w:spacing w:after="120" w:line="240" w:lineRule="auto"/>
              <w:jc w:val="center"/>
              <w:rPr>
                <w:rFonts w:eastAsiaTheme="minorHAnsi"/>
                <w:noProof/>
              </w:rPr>
            </w:pPr>
            <w:r>
              <w:rPr>
                <w:noProof/>
              </w:rPr>
              <w:t>Description de chaque jalon et cible</w:t>
            </w:r>
          </w:p>
        </w:tc>
      </w:tr>
      <w:tr w:rsidR="0023462A" w14:paraId="6D5B59D8" w14:textId="77777777" w:rsidTr="009C289F">
        <w:trPr>
          <w:cantSplit/>
          <w:trHeight w:val="557"/>
          <w:tblHeader/>
          <w:jc w:val="center"/>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124486B5" w14:textId="77777777" w:rsidR="0023462A" w:rsidRDefault="0023462A">
            <w:pPr>
              <w:spacing w:after="120" w:line="240" w:lineRule="auto"/>
              <w:jc w:val="center"/>
              <w:rPr>
                <w:rFonts w:ascii="Times New Roman" w:hAnsi="Times New Roman" w:cs="Times New Roman"/>
                <w:b/>
                <w:noProof/>
                <w:sz w:val="18"/>
                <w:szCs w:val="18"/>
              </w:rPr>
            </w:pPr>
          </w:p>
        </w:tc>
        <w:tc>
          <w:tcPr>
            <w:tcW w:w="1413" w:type="dxa"/>
            <w:vMerge/>
            <w:tcBorders>
              <w:top w:val="single" w:sz="4" w:space="0" w:color="auto"/>
              <w:left w:val="single" w:sz="4" w:space="0" w:color="auto"/>
              <w:bottom w:val="single" w:sz="4" w:space="0" w:color="auto"/>
              <w:right w:val="single" w:sz="4" w:space="0" w:color="auto"/>
            </w:tcBorders>
            <w:vAlign w:val="center"/>
            <w:hideMark/>
          </w:tcPr>
          <w:p w14:paraId="69F07E01" w14:textId="77777777" w:rsidR="0023462A" w:rsidRDefault="0023462A">
            <w:pPr>
              <w:spacing w:after="120" w:line="240" w:lineRule="auto"/>
              <w:jc w:val="center"/>
              <w:rPr>
                <w:rFonts w:ascii="Times New Roman" w:hAnsi="Times New Roman" w:cs="Times New Roman"/>
                <w:b/>
                <w:noProof/>
                <w:sz w:val="18"/>
                <w:szCs w:val="18"/>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A1EEBAB" w14:textId="77777777" w:rsidR="0023462A" w:rsidRDefault="0023462A">
            <w:pPr>
              <w:spacing w:after="120" w:line="240" w:lineRule="auto"/>
              <w:jc w:val="center"/>
              <w:rPr>
                <w:rFonts w:ascii="Times New Roman" w:hAnsi="Times New Roman" w:cs="Times New Roman"/>
                <w:b/>
                <w:noProof/>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F43C9E7" w14:textId="77777777" w:rsidR="0023462A" w:rsidRDefault="0023462A">
            <w:pPr>
              <w:spacing w:after="120" w:line="240" w:lineRule="auto"/>
              <w:jc w:val="center"/>
              <w:rPr>
                <w:rFonts w:ascii="Times New Roman" w:hAnsi="Times New Roman" w:cs="Times New Roman"/>
                <w:b/>
                <w:noProof/>
                <w:sz w:val="18"/>
                <w:szCs w:val="18"/>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6A5610A" w14:textId="77777777" w:rsidR="0023462A" w:rsidRDefault="0023462A">
            <w:pPr>
              <w:spacing w:after="120" w:line="240" w:lineRule="auto"/>
              <w:jc w:val="center"/>
              <w:rPr>
                <w:rFonts w:ascii="Times New Roman" w:hAnsi="Times New Roman" w:cs="Times New Roman"/>
                <w:b/>
                <w:noProof/>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11886001" w14:textId="77777777" w:rsidR="0023462A" w:rsidRDefault="00A550FA">
            <w:pPr>
              <w:pStyle w:val="P68B1DB1-Normal37"/>
              <w:spacing w:after="120" w:line="240" w:lineRule="auto"/>
              <w:jc w:val="center"/>
              <w:rPr>
                <w:rFonts w:eastAsiaTheme="minorHAnsi"/>
                <w:noProof/>
              </w:rPr>
            </w:pPr>
            <w:r>
              <w:rPr>
                <w:noProof/>
              </w:rPr>
              <w:t>Unité de mesure</w:t>
            </w:r>
          </w:p>
        </w:tc>
        <w:tc>
          <w:tcPr>
            <w:tcW w:w="1134"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37D7AFA6" w14:textId="77777777" w:rsidR="0023462A" w:rsidRDefault="00A550FA">
            <w:pPr>
              <w:pStyle w:val="P68B1DB1-Normal37"/>
              <w:spacing w:after="120" w:line="240" w:lineRule="auto"/>
              <w:jc w:val="center"/>
              <w:rPr>
                <w:rFonts w:eastAsiaTheme="minorHAnsi"/>
                <w:noProof/>
              </w:rPr>
            </w:pPr>
            <w:r>
              <w:rPr>
                <w:noProof/>
              </w:rPr>
              <w:t>Données de référence</w:t>
            </w:r>
          </w:p>
        </w:tc>
        <w:tc>
          <w:tcPr>
            <w:tcW w:w="1055"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687A505D" w14:textId="77777777" w:rsidR="0023462A" w:rsidRDefault="00A550FA">
            <w:pPr>
              <w:pStyle w:val="P68B1DB1-Normal37"/>
              <w:spacing w:after="120" w:line="240" w:lineRule="auto"/>
              <w:jc w:val="center"/>
              <w:rPr>
                <w:rFonts w:eastAsiaTheme="minorHAnsi"/>
                <w:noProof/>
              </w:rPr>
            </w:pPr>
            <w:r>
              <w:rPr>
                <w:noProof/>
              </w:rPr>
              <w:t>Objectif</w:t>
            </w:r>
          </w:p>
        </w:tc>
        <w:tc>
          <w:tcPr>
            <w:tcW w:w="1071"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3769F08E" w14:textId="77777777" w:rsidR="0023462A" w:rsidRDefault="00A550FA">
            <w:pPr>
              <w:pStyle w:val="P68B1DB1-Normal37"/>
              <w:spacing w:after="120" w:line="240" w:lineRule="auto"/>
              <w:jc w:val="center"/>
              <w:rPr>
                <w:rFonts w:eastAsiaTheme="minorHAnsi"/>
                <w:noProof/>
              </w:rPr>
            </w:pPr>
            <w:r>
              <w:rPr>
                <w:noProof/>
              </w:rPr>
              <w:t>Trimestre</w:t>
            </w:r>
          </w:p>
        </w:tc>
        <w:tc>
          <w:tcPr>
            <w:tcW w:w="99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763E3938" w14:textId="77777777" w:rsidR="0023462A" w:rsidRDefault="00A550FA">
            <w:pPr>
              <w:pStyle w:val="P68B1DB1-Normal37"/>
              <w:spacing w:after="120" w:line="240" w:lineRule="auto"/>
              <w:jc w:val="center"/>
              <w:rPr>
                <w:rFonts w:eastAsiaTheme="minorHAnsi"/>
                <w:noProof/>
              </w:rPr>
            </w:pPr>
            <w:r>
              <w:rPr>
                <w:noProof/>
              </w:rPr>
              <w:t>Année</w:t>
            </w:r>
          </w:p>
        </w:tc>
        <w:tc>
          <w:tcPr>
            <w:tcW w:w="3304" w:type="dxa"/>
            <w:vMerge/>
            <w:tcBorders>
              <w:top w:val="single" w:sz="4" w:space="0" w:color="auto"/>
              <w:bottom w:val="single" w:sz="4" w:space="0" w:color="auto"/>
              <w:right w:val="single" w:sz="4" w:space="0" w:color="auto"/>
            </w:tcBorders>
            <w:vAlign w:val="center"/>
            <w:hideMark/>
          </w:tcPr>
          <w:p w14:paraId="4C261E0B" w14:textId="77777777" w:rsidR="0023462A" w:rsidRDefault="0023462A">
            <w:pPr>
              <w:spacing w:after="120" w:line="240" w:lineRule="auto"/>
              <w:rPr>
                <w:rFonts w:ascii="Times New Roman" w:hAnsi="Times New Roman" w:cs="Times New Roman"/>
                <w:b/>
                <w:noProof/>
                <w:sz w:val="18"/>
                <w:szCs w:val="18"/>
              </w:rPr>
            </w:pPr>
          </w:p>
        </w:tc>
      </w:tr>
      <w:tr w:rsidR="0023462A" w14:paraId="30013672" w14:textId="77777777" w:rsidTr="009C289F">
        <w:trPr>
          <w:trHeight w:val="410"/>
          <w:jc w:val="center"/>
        </w:trPr>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92A91B" w14:textId="4DD54353" w:rsidR="0023462A" w:rsidRDefault="00A550FA">
            <w:pPr>
              <w:pStyle w:val="P68B1DB1-Normal32"/>
              <w:spacing w:after="120" w:line="240" w:lineRule="auto"/>
              <w:rPr>
                <w:noProof/>
              </w:rPr>
            </w:pPr>
            <w:r>
              <w:rPr>
                <w:noProof/>
              </w:rPr>
              <w:t>32</w:t>
            </w:r>
          </w:p>
        </w:tc>
        <w:tc>
          <w:tcPr>
            <w:tcW w:w="1413" w:type="dxa"/>
            <w:tcBorders>
              <w:top w:val="single" w:sz="4" w:space="0" w:color="auto"/>
              <w:left w:val="nil"/>
              <w:bottom w:val="single" w:sz="4" w:space="0" w:color="auto"/>
              <w:right w:val="single" w:sz="4" w:space="0" w:color="auto"/>
            </w:tcBorders>
            <w:shd w:val="clear" w:color="auto" w:fill="C6EFCE"/>
            <w:vAlign w:val="center"/>
          </w:tcPr>
          <w:p w14:paraId="696E518A" w14:textId="3D0D76E8" w:rsidR="0023462A" w:rsidRDefault="00A550FA">
            <w:pPr>
              <w:pStyle w:val="P68B1DB1-Normal32"/>
              <w:spacing w:after="120" w:line="240" w:lineRule="auto"/>
              <w:rPr>
                <w:noProof/>
              </w:rPr>
            </w:pPr>
            <w:r>
              <w:rPr>
                <w:noProof/>
              </w:rPr>
              <w:t>C5.I8 : Injection de fonds propres dans une société Rolling Stock nouvellement créée «ROSCO»</w:t>
            </w:r>
          </w:p>
        </w:tc>
        <w:tc>
          <w:tcPr>
            <w:tcW w:w="992" w:type="dxa"/>
            <w:tcBorders>
              <w:top w:val="single" w:sz="4" w:space="0" w:color="auto"/>
              <w:left w:val="nil"/>
              <w:bottom w:val="single" w:sz="4" w:space="0" w:color="auto"/>
              <w:right w:val="single" w:sz="4" w:space="0" w:color="auto"/>
            </w:tcBorders>
            <w:shd w:val="clear" w:color="auto" w:fill="C6EFCE"/>
            <w:noWrap/>
            <w:vAlign w:val="center"/>
          </w:tcPr>
          <w:p w14:paraId="483B0814" w14:textId="76B5409A" w:rsidR="0023462A" w:rsidRDefault="00A550FA">
            <w:pPr>
              <w:pStyle w:val="P68B1DB1-Normal32"/>
              <w:spacing w:after="120" w:line="240" w:lineRule="auto"/>
              <w:rPr>
                <w:noProof/>
              </w:rPr>
            </w:pPr>
            <w:r>
              <w:rPr>
                <w:noProof/>
              </w:rPr>
              <w:t xml:space="preserve">Étape </w:t>
            </w:r>
          </w:p>
        </w:tc>
        <w:tc>
          <w:tcPr>
            <w:tcW w:w="1134" w:type="dxa"/>
            <w:tcBorders>
              <w:top w:val="single" w:sz="4" w:space="0" w:color="auto"/>
              <w:left w:val="nil"/>
              <w:bottom w:val="single" w:sz="4" w:space="0" w:color="auto"/>
              <w:right w:val="single" w:sz="4" w:space="0" w:color="auto"/>
            </w:tcBorders>
            <w:shd w:val="clear" w:color="auto" w:fill="C6EFCE"/>
            <w:vAlign w:val="center"/>
          </w:tcPr>
          <w:p w14:paraId="1BB1C527" w14:textId="0984AA10" w:rsidR="0023462A" w:rsidRDefault="00A550FA">
            <w:pPr>
              <w:pStyle w:val="P68B1DB1-Normal32"/>
              <w:spacing w:after="120" w:line="240" w:lineRule="auto"/>
              <w:rPr>
                <w:noProof/>
              </w:rPr>
            </w:pPr>
            <w:r>
              <w:rPr>
                <w:noProof/>
              </w:rPr>
              <w:t>Injection de fonds propres dans la ROSCO</w:t>
            </w:r>
          </w:p>
        </w:tc>
        <w:tc>
          <w:tcPr>
            <w:tcW w:w="1559" w:type="dxa"/>
            <w:tcBorders>
              <w:top w:val="single" w:sz="4" w:space="0" w:color="auto"/>
              <w:left w:val="nil"/>
              <w:bottom w:val="single" w:sz="4" w:space="0" w:color="auto"/>
              <w:right w:val="single" w:sz="4" w:space="0" w:color="auto"/>
            </w:tcBorders>
            <w:shd w:val="clear" w:color="auto" w:fill="C6EFCE"/>
            <w:vAlign w:val="center"/>
          </w:tcPr>
          <w:p w14:paraId="0DE53380" w14:textId="27CAC2E2" w:rsidR="0023462A" w:rsidRDefault="00A550FA">
            <w:pPr>
              <w:pStyle w:val="P68B1DB1-Normal32"/>
              <w:spacing w:after="120" w:line="240" w:lineRule="auto"/>
              <w:rPr>
                <w:noProof/>
              </w:rPr>
            </w:pPr>
            <w:r>
              <w:rPr>
                <w:noProof/>
              </w:rPr>
              <w:t xml:space="preserve">Certificat de transfert </w:t>
            </w:r>
          </w:p>
        </w:tc>
        <w:tc>
          <w:tcPr>
            <w:tcW w:w="1276" w:type="dxa"/>
            <w:tcBorders>
              <w:top w:val="single" w:sz="4" w:space="0" w:color="auto"/>
              <w:left w:val="nil"/>
              <w:bottom w:val="single" w:sz="4" w:space="0" w:color="auto"/>
              <w:right w:val="single" w:sz="4" w:space="0" w:color="auto"/>
            </w:tcBorders>
            <w:shd w:val="clear" w:color="auto" w:fill="C6EFCE"/>
            <w:noWrap/>
            <w:vAlign w:val="center"/>
          </w:tcPr>
          <w:p w14:paraId="2CF5702C" w14:textId="77777777" w:rsidR="0023462A" w:rsidRDefault="0023462A">
            <w:pPr>
              <w:spacing w:after="120" w:line="240" w:lineRule="auto"/>
              <w:rPr>
                <w:rFonts w:ascii="Times New Roman" w:hAnsi="Times New Roman" w:cs="Times New Roman"/>
                <w:noProof/>
                <w:sz w:val="18"/>
                <w:szCs w:val="18"/>
              </w:rPr>
            </w:pPr>
          </w:p>
        </w:tc>
        <w:tc>
          <w:tcPr>
            <w:tcW w:w="1134" w:type="dxa"/>
            <w:tcBorders>
              <w:top w:val="single" w:sz="4" w:space="0" w:color="auto"/>
              <w:left w:val="nil"/>
              <w:bottom w:val="single" w:sz="4" w:space="0" w:color="auto"/>
              <w:right w:val="single" w:sz="4" w:space="0" w:color="auto"/>
            </w:tcBorders>
            <w:shd w:val="clear" w:color="auto" w:fill="C6EFCE"/>
            <w:noWrap/>
            <w:vAlign w:val="center"/>
          </w:tcPr>
          <w:p w14:paraId="5EDD0413" w14:textId="77777777" w:rsidR="0023462A" w:rsidRDefault="0023462A">
            <w:pPr>
              <w:spacing w:after="120" w:line="240" w:lineRule="auto"/>
              <w:rPr>
                <w:rFonts w:ascii="Times New Roman" w:hAnsi="Times New Roman" w:cs="Times New Roman"/>
                <w:noProof/>
                <w:sz w:val="18"/>
                <w:szCs w:val="18"/>
              </w:rPr>
            </w:pPr>
          </w:p>
        </w:tc>
        <w:tc>
          <w:tcPr>
            <w:tcW w:w="1055" w:type="dxa"/>
            <w:tcBorders>
              <w:top w:val="single" w:sz="4" w:space="0" w:color="auto"/>
              <w:left w:val="nil"/>
              <w:bottom w:val="single" w:sz="4" w:space="0" w:color="auto"/>
              <w:right w:val="single" w:sz="4" w:space="0" w:color="auto"/>
            </w:tcBorders>
            <w:shd w:val="clear" w:color="auto" w:fill="C6EFCE"/>
            <w:noWrap/>
            <w:vAlign w:val="center"/>
          </w:tcPr>
          <w:p w14:paraId="5FF240AA" w14:textId="77777777" w:rsidR="0023462A" w:rsidRDefault="0023462A">
            <w:pPr>
              <w:spacing w:after="120" w:line="240" w:lineRule="auto"/>
              <w:rPr>
                <w:rFonts w:ascii="Times New Roman" w:hAnsi="Times New Roman" w:cs="Times New Roman"/>
                <w:noProof/>
                <w:sz w:val="18"/>
                <w:szCs w:val="18"/>
              </w:rPr>
            </w:pPr>
          </w:p>
        </w:tc>
        <w:tc>
          <w:tcPr>
            <w:tcW w:w="1071" w:type="dxa"/>
            <w:tcBorders>
              <w:top w:val="single" w:sz="4" w:space="0" w:color="auto"/>
              <w:left w:val="nil"/>
              <w:bottom w:val="single" w:sz="4" w:space="0" w:color="auto"/>
              <w:right w:val="single" w:sz="4" w:space="0" w:color="auto"/>
            </w:tcBorders>
            <w:shd w:val="clear" w:color="auto" w:fill="C6EFCE"/>
            <w:vAlign w:val="center"/>
          </w:tcPr>
          <w:p w14:paraId="6BA7ABF2" w14:textId="61E5ECEF" w:rsidR="0023462A" w:rsidRDefault="00A550FA">
            <w:pPr>
              <w:pStyle w:val="P68B1DB1-Normal32"/>
              <w:spacing w:after="120" w:line="240" w:lineRule="auto"/>
              <w:rPr>
                <w:noProof/>
              </w:rPr>
            </w:pPr>
            <w:r>
              <w:rPr>
                <w:noProof/>
              </w:rPr>
              <w:t xml:space="preserve">T2 </w:t>
            </w:r>
          </w:p>
        </w:tc>
        <w:tc>
          <w:tcPr>
            <w:tcW w:w="993" w:type="dxa"/>
            <w:tcBorders>
              <w:top w:val="single" w:sz="4" w:space="0" w:color="auto"/>
              <w:left w:val="nil"/>
              <w:bottom w:val="single" w:sz="4" w:space="0" w:color="auto"/>
              <w:right w:val="single" w:sz="4" w:space="0" w:color="auto"/>
            </w:tcBorders>
            <w:shd w:val="clear" w:color="auto" w:fill="C6EFCE"/>
            <w:vAlign w:val="center"/>
          </w:tcPr>
          <w:p w14:paraId="1A7C5C3A" w14:textId="65E67886" w:rsidR="0023462A" w:rsidRDefault="00A550FA">
            <w:pPr>
              <w:pStyle w:val="P68B1DB1-Normal32"/>
              <w:spacing w:after="120" w:line="240" w:lineRule="auto"/>
              <w:rPr>
                <w:noProof/>
              </w:rPr>
            </w:pPr>
            <w:r>
              <w:rPr>
                <w:noProof/>
              </w:rPr>
              <w:t>2026</w:t>
            </w:r>
          </w:p>
        </w:tc>
        <w:tc>
          <w:tcPr>
            <w:tcW w:w="3304" w:type="dxa"/>
            <w:tcBorders>
              <w:top w:val="single" w:sz="4" w:space="0" w:color="auto"/>
              <w:left w:val="nil"/>
              <w:bottom w:val="single" w:sz="4" w:space="0" w:color="auto"/>
              <w:right w:val="single" w:sz="4" w:space="0" w:color="auto"/>
            </w:tcBorders>
            <w:shd w:val="clear" w:color="auto" w:fill="C6EFCE"/>
            <w:vAlign w:val="center"/>
          </w:tcPr>
          <w:p w14:paraId="609E326C" w14:textId="4F247634" w:rsidR="0023462A" w:rsidRDefault="00A550FA">
            <w:pPr>
              <w:pStyle w:val="P68B1DB1-Normal32"/>
              <w:spacing w:after="120" w:line="240" w:lineRule="auto"/>
              <w:rPr>
                <w:noProof/>
              </w:rPr>
            </w:pPr>
            <w:r>
              <w:rPr>
                <w:noProof/>
              </w:rPr>
              <w:t>La Hongrie transfère 1 800 000 000 EUR à la ROSCO pour augmenter ses fonds propres.</w:t>
            </w:r>
          </w:p>
        </w:tc>
      </w:tr>
      <w:tr w:rsidR="0023462A" w14:paraId="0946E33B" w14:textId="77777777" w:rsidTr="009C289F">
        <w:trPr>
          <w:trHeight w:val="410"/>
          <w:jc w:val="center"/>
        </w:trPr>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B9CEE9" w14:textId="5327BBCA" w:rsidR="0023462A" w:rsidRDefault="00A550FA">
            <w:pPr>
              <w:pStyle w:val="P68B1DB1-Normal32"/>
              <w:spacing w:after="120" w:line="240" w:lineRule="auto"/>
              <w:rPr>
                <w:noProof/>
              </w:rPr>
            </w:pPr>
            <w:r>
              <w:rPr>
                <w:noProof/>
              </w:rPr>
              <w:t>33</w:t>
            </w:r>
          </w:p>
        </w:tc>
        <w:tc>
          <w:tcPr>
            <w:tcW w:w="1413" w:type="dxa"/>
            <w:tcBorders>
              <w:top w:val="single" w:sz="4" w:space="0" w:color="auto"/>
              <w:left w:val="nil"/>
              <w:bottom w:val="single" w:sz="4" w:space="0" w:color="auto"/>
              <w:right w:val="single" w:sz="4" w:space="0" w:color="auto"/>
            </w:tcBorders>
            <w:shd w:val="clear" w:color="auto" w:fill="C6EFCE"/>
            <w:vAlign w:val="center"/>
          </w:tcPr>
          <w:p w14:paraId="1F43849C" w14:textId="00847410" w:rsidR="0023462A" w:rsidRDefault="00A550FA">
            <w:pPr>
              <w:pStyle w:val="P68B1DB1-Normal32"/>
              <w:spacing w:after="120" w:line="240" w:lineRule="auto"/>
              <w:rPr>
                <w:noProof/>
              </w:rPr>
            </w:pPr>
            <w:r>
              <w:rPr>
                <w:noProof/>
              </w:rPr>
              <w:t>C5.R2 Réforme des services ferroviaires en Hongrie</w:t>
            </w:r>
          </w:p>
        </w:tc>
        <w:tc>
          <w:tcPr>
            <w:tcW w:w="992" w:type="dxa"/>
            <w:tcBorders>
              <w:top w:val="single" w:sz="4" w:space="0" w:color="auto"/>
              <w:left w:val="nil"/>
              <w:bottom w:val="single" w:sz="4" w:space="0" w:color="auto"/>
              <w:right w:val="single" w:sz="4" w:space="0" w:color="auto"/>
            </w:tcBorders>
            <w:shd w:val="clear" w:color="auto" w:fill="C6EFCE"/>
            <w:noWrap/>
            <w:vAlign w:val="center"/>
          </w:tcPr>
          <w:p w14:paraId="7C43157B" w14:textId="1DC8B8A9" w:rsidR="0023462A" w:rsidRDefault="00A550FA">
            <w:pPr>
              <w:pStyle w:val="P68B1DB1-Normal32"/>
              <w:spacing w:after="120" w:line="240" w:lineRule="auto"/>
              <w:rPr>
                <w:noProof/>
              </w:rPr>
            </w:pPr>
            <w:r>
              <w:rPr>
                <w:noProof/>
              </w:rPr>
              <w:t>Étape</w:t>
            </w:r>
          </w:p>
        </w:tc>
        <w:tc>
          <w:tcPr>
            <w:tcW w:w="1134" w:type="dxa"/>
            <w:tcBorders>
              <w:top w:val="single" w:sz="4" w:space="0" w:color="auto"/>
              <w:left w:val="nil"/>
              <w:bottom w:val="single" w:sz="4" w:space="0" w:color="auto"/>
              <w:right w:val="single" w:sz="4" w:space="0" w:color="auto"/>
            </w:tcBorders>
            <w:shd w:val="clear" w:color="auto" w:fill="C6EFCE"/>
            <w:vAlign w:val="center"/>
          </w:tcPr>
          <w:p w14:paraId="349C1475" w14:textId="3860F726" w:rsidR="0023462A" w:rsidRDefault="00A550FA">
            <w:pPr>
              <w:pStyle w:val="P68B1DB1-Normal49"/>
              <w:spacing w:after="120" w:line="240" w:lineRule="auto"/>
              <w:rPr>
                <w:noProof/>
              </w:rPr>
            </w:pPr>
            <w:r>
              <w:rPr>
                <w:noProof/>
              </w:rPr>
              <w:t>Mise en place de l’autorité nationale des transports publics</w:t>
            </w:r>
          </w:p>
        </w:tc>
        <w:tc>
          <w:tcPr>
            <w:tcW w:w="1559" w:type="dxa"/>
            <w:tcBorders>
              <w:top w:val="single" w:sz="4" w:space="0" w:color="auto"/>
              <w:left w:val="nil"/>
              <w:bottom w:val="single" w:sz="4" w:space="0" w:color="auto"/>
              <w:right w:val="single" w:sz="4" w:space="0" w:color="auto"/>
            </w:tcBorders>
            <w:shd w:val="clear" w:color="auto" w:fill="C6EFCE"/>
            <w:vAlign w:val="center"/>
          </w:tcPr>
          <w:p w14:paraId="62C9A13F" w14:textId="77DB6C75" w:rsidR="0023462A" w:rsidRDefault="00A550FA">
            <w:pPr>
              <w:pStyle w:val="P68B1DB1-Normal49"/>
              <w:spacing w:after="120" w:line="240" w:lineRule="auto"/>
              <w:rPr>
                <w:noProof/>
              </w:rPr>
            </w:pPr>
            <w:r>
              <w:rPr>
                <w:noProof/>
              </w:rPr>
              <w:t>Disposition du ou des actes juridiques indiquant la création et la mise en service de l’autorité nationale des transports publics</w:t>
            </w:r>
          </w:p>
        </w:tc>
        <w:tc>
          <w:tcPr>
            <w:tcW w:w="1276" w:type="dxa"/>
            <w:tcBorders>
              <w:top w:val="single" w:sz="4" w:space="0" w:color="auto"/>
              <w:left w:val="nil"/>
              <w:bottom w:val="single" w:sz="4" w:space="0" w:color="auto"/>
              <w:right w:val="single" w:sz="4" w:space="0" w:color="auto"/>
            </w:tcBorders>
            <w:shd w:val="clear" w:color="auto" w:fill="C6EFCE"/>
            <w:noWrap/>
          </w:tcPr>
          <w:p w14:paraId="6C3BD86F" w14:textId="77777777" w:rsidR="0023462A" w:rsidRDefault="0023462A">
            <w:pPr>
              <w:spacing w:after="120" w:line="240" w:lineRule="auto"/>
              <w:jc w:val="center"/>
              <w:rPr>
                <w:rFonts w:ascii="Times New Roman" w:hAnsi="Times New Roman" w:cs="Times New Roman"/>
                <w:noProof/>
                <w:sz w:val="18"/>
                <w:szCs w:val="18"/>
              </w:rPr>
            </w:pPr>
          </w:p>
        </w:tc>
        <w:tc>
          <w:tcPr>
            <w:tcW w:w="1134" w:type="dxa"/>
            <w:tcBorders>
              <w:top w:val="single" w:sz="4" w:space="0" w:color="auto"/>
              <w:left w:val="nil"/>
              <w:bottom w:val="single" w:sz="4" w:space="0" w:color="auto"/>
              <w:right w:val="single" w:sz="4" w:space="0" w:color="auto"/>
            </w:tcBorders>
            <w:shd w:val="clear" w:color="auto" w:fill="C6EFCE"/>
            <w:noWrap/>
          </w:tcPr>
          <w:p w14:paraId="4EEAFF67" w14:textId="77777777" w:rsidR="0023462A" w:rsidRDefault="0023462A">
            <w:pPr>
              <w:spacing w:after="120" w:line="240" w:lineRule="auto"/>
              <w:jc w:val="center"/>
              <w:rPr>
                <w:rFonts w:ascii="Times New Roman" w:hAnsi="Times New Roman" w:cs="Times New Roman"/>
                <w:noProof/>
                <w:sz w:val="18"/>
                <w:szCs w:val="18"/>
              </w:rPr>
            </w:pPr>
          </w:p>
        </w:tc>
        <w:tc>
          <w:tcPr>
            <w:tcW w:w="1055" w:type="dxa"/>
            <w:tcBorders>
              <w:top w:val="single" w:sz="4" w:space="0" w:color="auto"/>
              <w:left w:val="nil"/>
              <w:bottom w:val="single" w:sz="4" w:space="0" w:color="auto"/>
              <w:right w:val="single" w:sz="4" w:space="0" w:color="auto"/>
            </w:tcBorders>
            <w:shd w:val="clear" w:color="auto" w:fill="C6EFCE"/>
            <w:noWrap/>
          </w:tcPr>
          <w:p w14:paraId="2854ED9C" w14:textId="77777777" w:rsidR="0023462A" w:rsidRDefault="0023462A">
            <w:pPr>
              <w:spacing w:after="120" w:line="240" w:lineRule="auto"/>
              <w:jc w:val="center"/>
              <w:rPr>
                <w:rFonts w:ascii="Times New Roman" w:hAnsi="Times New Roman" w:cs="Times New Roman"/>
                <w:noProof/>
                <w:sz w:val="18"/>
                <w:szCs w:val="18"/>
              </w:rPr>
            </w:pPr>
          </w:p>
        </w:tc>
        <w:tc>
          <w:tcPr>
            <w:tcW w:w="1071" w:type="dxa"/>
            <w:tcBorders>
              <w:top w:val="single" w:sz="4" w:space="0" w:color="auto"/>
              <w:left w:val="nil"/>
              <w:bottom w:val="single" w:sz="4" w:space="0" w:color="auto"/>
              <w:right w:val="single" w:sz="4" w:space="0" w:color="auto"/>
            </w:tcBorders>
            <w:shd w:val="clear" w:color="auto" w:fill="C6EFCE"/>
            <w:vAlign w:val="center"/>
          </w:tcPr>
          <w:p w14:paraId="5D2C2F52" w14:textId="52ED318A" w:rsidR="0023462A" w:rsidRDefault="00A550FA">
            <w:pPr>
              <w:pStyle w:val="P68B1DB1-Normal32"/>
              <w:spacing w:after="120" w:line="240" w:lineRule="auto"/>
              <w:rPr>
                <w:noProof/>
              </w:rPr>
            </w:pPr>
            <w:r>
              <w:rPr>
                <w:noProof/>
              </w:rPr>
              <w:t>T2</w:t>
            </w:r>
          </w:p>
        </w:tc>
        <w:tc>
          <w:tcPr>
            <w:tcW w:w="993" w:type="dxa"/>
            <w:tcBorders>
              <w:top w:val="single" w:sz="4" w:space="0" w:color="auto"/>
              <w:left w:val="nil"/>
              <w:bottom w:val="single" w:sz="4" w:space="0" w:color="auto"/>
              <w:right w:val="single" w:sz="4" w:space="0" w:color="auto"/>
            </w:tcBorders>
            <w:shd w:val="clear" w:color="auto" w:fill="C6EFCE"/>
            <w:vAlign w:val="center"/>
          </w:tcPr>
          <w:p w14:paraId="032038BB" w14:textId="70924FB9" w:rsidR="0023462A" w:rsidRDefault="00A550FA">
            <w:pPr>
              <w:pStyle w:val="P68B1DB1-Normal32"/>
              <w:spacing w:after="120" w:line="240" w:lineRule="auto"/>
              <w:rPr>
                <w:noProof/>
              </w:rPr>
            </w:pPr>
            <w:r>
              <w:rPr>
                <w:noProof/>
              </w:rPr>
              <w:t>2026</w:t>
            </w:r>
          </w:p>
        </w:tc>
        <w:tc>
          <w:tcPr>
            <w:tcW w:w="3304" w:type="dxa"/>
            <w:tcBorders>
              <w:top w:val="single" w:sz="4" w:space="0" w:color="auto"/>
              <w:left w:val="nil"/>
              <w:bottom w:val="single" w:sz="4" w:space="0" w:color="auto"/>
              <w:right w:val="single" w:sz="4" w:space="0" w:color="auto"/>
            </w:tcBorders>
            <w:shd w:val="clear" w:color="auto" w:fill="C6EFCE"/>
          </w:tcPr>
          <w:p w14:paraId="38096F2F" w14:textId="03A05DA2" w:rsidR="0023462A" w:rsidRDefault="00A550FA">
            <w:pPr>
              <w:pStyle w:val="P68B1DB1-Normal49"/>
              <w:keepNext/>
              <w:spacing w:after="120" w:line="240" w:lineRule="auto"/>
              <w:jc w:val="both"/>
              <w:rPr>
                <w:noProof/>
              </w:rPr>
            </w:pPr>
            <w:r>
              <w:rPr>
                <w:noProof/>
              </w:rPr>
              <w:t>Entrée en vigueur d’un ou de plusieurs actes juridiques qui établissent l’autorité nationale des transports publics (NPTA) en tant qu’organisme public permanent relevant du ministère des transports.</w:t>
            </w:r>
          </w:p>
          <w:p w14:paraId="5CFB2508" w14:textId="442D28CD" w:rsidR="0023462A" w:rsidRDefault="00A550FA">
            <w:pPr>
              <w:pStyle w:val="P68B1DB1-Normal49"/>
              <w:keepNext/>
              <w:spacing w:after="120" w:line="240" w:lineRule="auto"/>
              <w:jc w:val="both"/>
              <w:rPr>
                <w:noProof/>
              </w:rPr>
            </w:pPr>
            <w:r>
              <w:rPr>
                <w:noProof/>
              </w:rPr>
              <w:t xml:space="preserve">La législation définit explicitement le statut juridique, la structure de gouvernance, le mandat et les pouvoirs de la NPTA et délimite clairement les rôles respectifs de la NPTA et de la ROSCO. En particulier, la législation précisera que l’ONTP gère les contrats de service public avec les opérateurs ferroviaires ainsi que la procédure d’appel d’offres, tandis que l’OSCR gère l’achat de matériel roulant et leur location. </w:t>
            </w:r>
          </w:p>
          <w:p w14:paraId="29C87E45" w14:textId="77777777" w:rsidR="0023462A" w:rsidRDefault="00A550FA">
            <w:pPr>
              <w:pStyle w:val="P68B1DB1-Normal49"/>
              <w:keepNext/>
              <w:spacing w:after="120" w:line="240" w:lineRule="auto"/>
              <w:jc w:val="both"/>
              <w:rPr>
                <w:noProof/>
              </w:rPr>
            </w:pPr>
            <w:r>
              <w:rPr>
                <w:noProof/>
              </w:rPr>
              <w:t>La législation précise en outre les obligations d'échange d'informations entre les deux organes.</w:t>
            </w:r>
          </w:p>
          <w:p w14:paraId="0BA0F928" w14:textId="77777777" w:rsidR="0023462A" w:rsidRDefault="00A550FA">
            <w:pPr>
              <w:pStyle w:val="P68B1DB1-Normal49"/>
              <w:keepNext/>
              <w:spacing w:after="120" w:line="240" w:lineRule="auto"/>
              <w:jc w:val="both"/>
              <w:rPr>
                <w:noProof/>
              </w:rPr>
            </w:pPr>
            <w:r>
              <w:rPr>
                <w:noProof/>
              </w:rPr>
              <w:t>La législation doit en outre:</w:t>
            </w:r>
          </w:p>
          <w:p w14:paraId="39833013" w14:textId="3A34D024" w:rsidR="0023462A" w:rsidRDefault="00A550FA">
            <w:pPr>
              <w:pStyle w:val="P68B1DB1-Normal49"/>
              <w:keepNext/>
              <w:spacing w:after="120" w:line="240" w:lineRule="auto"/>
              <w:jc w:val="both"/>
              <w:rPr>
                <w:noProof/>
              </w:rPr>
            </w:pPr>
            <w:r>
              <w:rPr>
                <w:b/>
                <w:noProof/>
              </w:rPr>
              <w:t>Lors de l'appel d'offres:</w:t>
            </w:r>
            <w:r>
              <w:rPr>
                <w:noProof/>
              </w:rPr>
              <w:t xml:space="preserve"> habiliter la NPTA à imposer des obligations de service public (OSP) et à mettre en concurrence les ensembles de contrats de service public conformément au règlement (CE) n° 1370/2007. La législation charge la NPTA de diviser le réseau soumis à des OSP en lots contestables et d’adopter un programme pluriannuel d’appels d’offres pour ces lots, en précisant quels lots font l’objet d’un appel d’offres concurrentiel prioritaire.</w:t>
            </w:r>
          </w:p>
          <w:p w14:paraId="062D0C8B" w14:textId="160B22F9" w:rsidR="0023462A" w:rsidRDefault="00A550FA">
            <w:pPr>
              <w:pStyle w:val="P68B1DB1-Normal49"/>
              <w:spacing w:after="120" w:line="240" w:lineRule="auto"/>
              <w:rPr>
                <w:noProof/>
                <w:highlight w:val="yellow"/>
              </w:rPr>
            </w:pPr>
            <w:r>
              <w:rPr>
                <w:b/>
                <w:noProof/>
              </w:rPr>
              <w:t>En ce qui concerne la planification et l’information des passagers:</w:t>
            </w:r>
            <w:r>
              <w:rPr>
                <w:noProof/>
              </w:rPr>
              <w:t xml:space="preserve"> désigne la NPTA en tant qu’autorité compétente pour la planification des transports publics et l’information des passagers, et précise les fonctions à unifier sous son autorité (y compris les normes d’interopérabilité en matière de billetterie et les systèmes d’information des passagers en temps réel).</w:t>
            </w:r>
          </w:p>
        </w:tc>
      </w:tr>
      <w:tr w:rsidR="0023462A" w14:paraId="1A4B9BBE" w14:textId="77777777" w:rsidTr="009C289F">
        <w:trPr>
          <w:trHeight w:val="410"/>
          <w:jc w:val="center"/>
        </w:trPr>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9254E3" w14:textId="1721C913" w:rsidR="0023462A" w:rsidRDefault="00A550FA">
            <w:pPr>
              <w:pStyle w:val="P68B1DB1-Normal32"/>
              <w:spacing w:after="120" w:line="240" w:lineRule="auto"/>
              <w:rPr>
                <w:noProof/>
              </w:rPr>
            </w:pPr>
            <w:r>
              <w:rPr>
                <w:noProof/>
              </w:rPr>
              <w:t>34</w:t>
            </w:r>
          </w:p>
        </w:tc>
        <w:tc>
          <w:tcPr>
            <w:tcW w:w="1413" w:type="dxa"/>
            <w:tcBorders>
              <w:top w:val="single" w:sz="4" w:space="0" w:color="auto"/>
              <w:left w:val="nil"/>
              <w:bottom w:val="single" w:sz="4" w:space="0" w:color="auto"/>
              <w:right w:val="single" w:sz="4" w:space="0" w:color="auto"/>
            </w:tcBorders>
            <w:shd w:val="clear" w:color="auto" w:fill="C6EFCE"/>
            <w:vAlign w:val="center"/>
          </w:tcPr>
          <w:p w14:paraId="5DCF78B5" w14:textId="2D300D3F" w:rsidR="0023462A" w:rsidRDefault="00A550FA">
            <w:pPr>
              <w:pStyle w:val="P68B1DB1-Normal32"/>
              <w:spacing w:after="120" w:line="240" w:lineRule="auto"/>
              <w:rPr>
                <w:noProof/>
              </w:rPr>
            </w:pPr>
            <w:r>
              <w:rPr>
                <w:noProof/>
              </w:rPr>
              <w:t>C5.R2 Réforme des services ferroviaires en Hongrie</w:t>
            </w:r>
          </w:p>
        </w:tc>
        <w:tc>
          <w:tcPr>
            <w:tcW w:w="992" w:type="dxa"/>
            <w:tcBorders>
              <w:top w:val="single" w:sz="4" w:space="0" w:color="auto"/>
              <w:left w:val="nil"/>
              <w:bottom w:val="single" w:sz="4" w:space="0" w:color="auto"/>
              <w:right w:val="single" w:sz="4" w:space="0" w:color="auto"/>
            </w:tcBorders>
            <w:shd w:val="clear" w:color="auto" w:fill="C6EFCE"/>
            <w:noWrap/>
            <w:vAlign w:val="center"/>
          </w:tcPr>
          <w:p w14:paraId="7B569556" w14:textId="0C6480B9" w:rsidR="0023462A" w:rsidRDefault="00A550FA">
            <w:pPr>
              <w:pStyle w:val="P68B1DB1-Normal32"/>
              <w:spacing w:after="120" w:line="240" w:lineRule="auto"/>
              <w:rPr>
                <w:noProof/>
              </w:rPr>
            </w:pPr>
            <w:r>
              <w:rPr>
                <w:noProof/>
              </w:rPr>
              <w:t>Étape</w:t>
            </w:r>
          </w:p>
        </w:tc>
        <w:tc>
          <w:tcPr>
            <w:tcW w:w="1134" w:type="dxa"/>
            <w:tcBorders>
              <w:top w:val="single" w:sz="4" w:space="0" w:color="auto"/>
              <w:left w:val="nil"/>
              <w:bottom w:val="single" w:sz="4" w:space="0" w:color="auto"/>
              <w:right w:val="single" w:sz="4" w:space="0" w:color="auto"/>
            </w:tcBorders>
            <w:shd w:val="clear" w:color="auto" w:fill="C6EFCE"/>
            <w:vAlign w:val="center"/>
          </w:tcPr>
          <w:p w14:paraId="43ABFF6D" w14:textId="062BA922" w:rsidR="0023462A" w:rsidRDefault="00A550FA">
            <w:pPr>
              <w:pStyle w:val="P68B1DB1-Normal49"/>
              <w:spacing w:after="120" w:line="240" w:lineRule="auto"/>
              <w:rPr>
                <w:noProof/>
              </w:rPr>
            </w:pPr>
            <w:r>
              <w:rPr>
                <w:noProof/>
              </w:rPr>
              <w:t>Mise en place du ROSCO</w:t>
            </w:r>
          </w:p>
        </w:tc>
        <w:tc>
          <w:tcPr>
            <w:tcW w:w="1559" w:type="dxa"/>
            <w:tcBorders>
              <w:top w:val="single" w:sz="4" w:space="0" w:color="auto"/>
              <w:left w:val="nil"/>
              <w:bottom w:val="single" w:sz="4" w:space="0" w:color="auto"/>
              <w:right w:val="single" w:sz="4" w:space="0" w:color="auto"/>
            </w:tcBorders>
            <w:shd w:val="clear" w:color="auto" w:fill="C6EFCE"/>
            <w:vAlign w:val="center"/>
          </w:tcPr>
          <w:p w14:paraId="2CE3C76B" w14:textId="77777777" w:rsidR="0023462A" w:rsidRDefault="0023462A">
            <w:pPr>
              <w:spacing w:after="120" w:line="240" w:lineRule="auto"/>
              <w:rPr>
                <w:rFonts w:ascii="Times New Roman" w:eastAsia="Calibri" w:hAnsi="Times New Roman" w:cs="Times New Roman"/>
                <w:noProof/>
                <w:sz w:val="18"/>
                <w:szCs w:val="18"/>
              </w:rPr>
            </w:pPr>
          </w:p>
          <w:p w14:paraId="4D0BD505" w14:textId="77777777" w:rsidR="0023462A" w:rsidRDefault="0023462A">
            <w:pPr>
              <w:spacing w:after="120" w:line="240" w:lineRule="auto"/>
              <w:rPr>
                <w:rFonts w:ascii="Times New Roman" w:eastAsia="Calibri" w:hAnsi="Times New Roman" w:cs="Times New Roman"/>
                <w:noProof/>
                <w:sz w:val="18"/>
                <w:szCs w:val="18"/>
              </w:rPr>
            </w:pPr>
          </w:p>
          <w:p w14:paraId="11BADF77" w14:textId="77777777" w:rsidR="0023462A" w:rsidRDefault="0023462A">
            <w:pPr>
              <w:spacing w:after="120" w:line="240" w:lineRule="auto"/>
              <w:rPr>
                <w:rFonts w:ascii="Times New Roman" w:eastAsia="Calibri" w:hAnsi="Times New Roman" w:cs="Times New Roman"/>
                <w:noProof/>
                <w:sz w:val="18"/>
                <w:szCs w:val="18"/>
              </w:rPr>
            </w:pPr>
          </w:p>
          <w:p w14:paraId="496ABC8C" w14:textId="77777777" w:rsidR="0023462A" w:rsidRDefault="0023462A">
            <w:pPr>
              <w:spacing w:after="120" w:line="240" w:lineRule="auto"/>
              <w:rPr>
                <w:rFonts w:ascii="Times New Roman" w:eastAsia="Calibri" w:hAnsi="Times New Roman" w:cs="Times New Roman"/>
                <w:noProof/>
                <w:sz w:val="18"/>
                <w:szCs w:val="18"/>
              </w:rPr>
            </w:pPr>
          </w:p>
          <w:p w14:paraId="30529269" w14:textId="77777777" w:rsidR="0023462A" w:rsidRDefault="0023462A">
            <w:pPr>
              <w:spacing w:after="120" w:line="240" w:lineRule="auto"/>
              <w:rPr>
                <w:rFonts w:ascii="Times New Roman" w:eastAsia="Calibri" w:hAnsi="Times New Roman" w:cs="Times New Roman"/>
                <w:noProof/>
                <w:sz w:val="18"/>
                <w:szCs w:val="18"/>
              </w:rPr>
            </w:pPr>
          </w:p>
          <w:p w14:paraId="03B9819B" w14:textId="77777777" w:rsidR="0023462A" w:rsidRDefault="0023462A">
            <w:pPr>
              <w:spacing w:after="120" w:line="240" w:lineRule="auto"/>
              <w:rPr>
                <w:rFonts w:ascii="Times New Roman" w:eastAsia="Calibri" w:hAnsi="Times New Roman" w:cs="Times New Roman"/>
                <w:noProof/>
                <w:sz w:val="18"/>
                <w:szCs w:val="18"/>
              </w:rPr>
            </w:pPr>
          </w:p>
          <w:p w14:paraId="78033E1D" w14:textId="77777777" w:rsidR="0023462A" w:rsidRDefault="00A550FA">
            <w:pPr>
              <w:pStyle w:val="P68B1DB1-Normal49"/>
              <w:spacing w:after="120" w:line="240" w:lineRule="auto"/>
              <w:rPr>
                <w:noProof/>
              </w:rPr>
            </w:pPr>
            <w:r>
              <w:rPr>
                <w:noProof/>
              </w:rPr>
              <w:t>Disposition de l’acte juridique indiquant la création et la mise en service de la ROSCO</w:t>
            </w:r>
          </w:p>
          <w:p w14:paraId="7F1FF003" w14:textId="77777777" w:rsidR="0023462A" w:rsidRDefault="0023462A">
            <w:pPr>
              <w:spacing w:after="120" w:line="240" w:lineRule="auto"/>
              <w:rPr>
                <w:rFonts w:ascii="Times New Roman" w:eastAsia="Calibri" w:hAnsi="Times New Roman" w:cs="Times New Roman"/>
                <w:noProof/>
                <w:sz w:val="18"/>
                <w:szCs w:val="18"/>
              </w:rPr>
            </w:pPr>
          </w:p>
          <w:p w14:paraId="5F2E4A00" w14:textId="77777777" w:rsidR="0023462A" w:rsidRDefault="0023462A">
            <w:pPr>
              <w:spacing w:after="120" w:line="240" w:lineRule="auto"/>
              <w:rPr>
                <w:rFonts w:ascii="Times New Roman" w:eastAsia="Calibri" w:hAnsi="Times New Roman" w:cs="Times New Roman"/>
                <w:noProof/>
                <w:sz w:val="18"/>
                <w:szCs w:val="18"/>
              </w:rPr>
            </w:pPr>
          </w:p>
          <w:p w14:paraId="74CB9B7E" w14:textId="77777777" w:rsidR="0023462A" w:rsidRDefault="0023462A">
            <w:pPr>
              <w:spacing w:after="120" w:line="240" w:lineRule="auto"/>
              <w:rPr>
                <w:rFonts w:ascii="Times New Roman" w:eastAsia="Calibri" w:hAnsi="Times New Roman" w:cs="Times New Roman"/>
                <w:noProof/>
                <w:sz w:val="18"/>
                <w:szCs w:val="18"/>
              </w:rPr>
            </w:pPr>
          </w:p>
          <w:p w14:paraId="57204A8A" w14:textId="77777777" w:rsidR="0023462A" w:rsidRDefault="0023462A">
            <w:pPr>
              <w:spacing w:after="120" w:line="240" w:lineRule="auto"/>
              <w:rPr>
                <w:rFonts w:ascii="Times New Roman" w:eastAsia="Calibri" w:hAnsi="Times New Roman" w:cs="Times New Roman"/>
                <w:noProof/>
                <w:sz w:val="18"/>
                <w:szCs w:val="18"/>
              </w:rPr>
            </w:pPr>
          </w:p>
          <w:p w14:paraId="689F4203" w14:textId="77777777" w:rsidR="0023462A" w:rsidRDefault="0023462A">
            <w:pPr>
              <w:spacing w:after="120" w:line="240" w:lineRule="auto"/>
              <w:rPr>
                <w:rFonts w:ascii="Times New Roman" w:eastAsia="Calibri" w:hAnsi="Times New Roman" w:cs="Times New Roman"/>
                <w:noProof/>
                <w:sz w:val="18"/>
                <w:szCs w:val="18"/>
              </w:rPr>
            </w:pPr>
          </w:p>
          <w:p w14:paraId="5FFABFA8" w14:textId="77777777" w:rsidR="0023462A" w:rsidRDefault="0023462A">
            <w:pPr>
              <w:spacing w:after="120" w:line="240" w:lineRule="auto"/>
              <w:rPr>
                <w:rFonts w:ascii="Times New Roman" w:eastAsia="Calibri" w:hAnsi="Times New Roman" w:cs="Times New Roman"/>
                <w:noProof/>
                <w:sz w:val="18"/>
                <w:szCs w:val="18"/>
              </w:rPr>
            </w:pPr>
          </w:p>
          <w:p w14:paraId="1A6BEEAD" w14:textId="77777777" w:rsidR="0023462A" w:rsidRDefault="0023462A">
            <w:pPr>
              <w:spacing w:after="120" w:line="240" w:lineRule="auto"/>
              <w:rPr>
                <w:rFonts w:ascii="Times New Roman" w:eastAsia="Calibri" w:hAnsi="Times New Roman" w:cs="Times New Roman"/>
                <w:noProof/>
                <w:sz w:val="18"/>
                <w:szCs w:val="18"/>
              </w:rPr>
            </w:pPr>
          </w:p>
          <w:p w14:paraId="347792C3" w14:textId="77777777" w:rsidR="0023462A" w:rsidRDefault="0023462A">
            <w:pPr>
              <w:spacing w:after="120" w:line="240" w:lineRule="auto"/>
              <w:rPr>
                <w:rFonts w:ascii="Times New Roman" w:eastAsia="Calibri" w:hAnsi="Times New Roman" w:cs="Times New Roman"/>
                <w:noProof/>
                <w:sz w:val="18"/>
                <w:szCs w:val="18"/>
              </w:rPr>
            </w:pPr>
          </w:p>
          <w:p w14:paraId="3872C3C0" w14:textId="68C4EA89" w:rsidR="0023462A" w:rsidRDefault="0023462A">
            <w:pPr>
              <w:spacing w:after="120" w:line="240" w:lineRule="auto"/>
              <w:rPr>
                <w:rFonts w:ascii="Times New Roman" w:hAnsi="Times New Roman" w:cs="Times New Roman"/>
                <w:noProof/>
                <w:sz w:val="18"/>
                <w:szCs w:val="18"/>
              </w:rPr>
            </w:pPr>
          </w:p>
        </w:tc>
        <w:tc>
          <w:tcPr>
            <w:tcW w:w="1276" w:type="dxa"/>
            <w:tcBorders>
              <w:top w:val="single" w:sz="4" w:space="0" w:color="auto"/>
              <w:left w:val="nil"/>
              <w:bottom w:val="single" w:sz="4" w:space="0" w:color="auto"/>
              <w:right w:val="single" w:sz="4" w:space="0" w:color="auto"/>
            </w:tcBorders>
            <w:shd w:val="clear" w:color="auto" w:fill="C6EFCE"/>
            <w:noWrap/>
            <w:vAlign w:val="center"/>
          </w:tcPr>
          <w:p w14:paraId="25CC7DB6" w14:textId="77777777" w:rsidR="0023462A" w:rsidRDefault="0023462A">
            <w:pPr>
              <w:spacing w:after="120" w:line="240" w:lineRule="auto"/>
              <w:rPr>
                <w:rFonts w:ascii="Times New Roman" w:hAnsi="Times New Roman" w:cs="Times New Roman"/>
                <w:noProof/>
                <w:sz w:val="18"/>
                <w:szCs w:val="18"/>
              </w:rPr>
            </w:pPr>
          </w:p>
        </w:tc>
        <w:tc>
          <w:tcPr>
            <w:tcW w:w="1134" w:type="dxa"/>
            <w:tcBorders>
              <w:top w:val="single" w:sz="4" w:space="0" w:color="auto"/>
              <w:left w:val="nil"/>
              <w:bottom w:val="single" w:sz="4" w:space="0" w:color="auto"/>
              <w:right w:val="single" w:sz="4" w:space="0" w:color="auto"/>
            </w:tcBorders>
            <w:shd w:val="clear" w:color="auto" w:fill="C6EFCE"/>
            <w:noWrap/>
            <w:vAlign w:val="center"/>
          </w:tcPr>
          <w:p w14:paraId="30FF643E" w14:textId="77777777" w:rsidR="0023462A" w:rsidRDefault="0023462A">
            <w:pPr>
              <w:spacing w:after="120" w:line="240" w:lineRule="auto"/>
              <w:rPr>
                <w:rFonts w:ascii="Times New Roman" w:hAnsi="Times New Roman" w:cs="Times New Roman"/>
                <w:noProof/>
                <w:sz w:val="18"/>
                <w:szCs w:val="18"/>
              </w:rPr>
            </w:pPr>
          </w:p>
        </w:tc>
        <w:tc>
          <w:tcPr>
            <w:tcW w:w="1055" w:type="dxa"/>
            <w:tcBorders>
              <w:top w:val="single" w:sz="4" w:space="0" w:color="auto"/>
              <w:left w:val="nil"/>
              <w:bottom w:val="single" w:sz="4" w:space="0" w:color="auto"/>
              <w:right w:val="single" w:sz="4" w:space="0" w:color="auto"/>
            </w:tcBorders>
            <w:shd w:val="clear" w:color="auto" w:fill="C6EFCE"/>
            <w:noWrap/>
            <w:vAlign w:val="center"/>
          </w:tcPr>
          <w:p w14:paraId="50B5700B" w14:textId="77777777" w:rsidR="0023462A" w:rsidRDefault="0023462A">
            <w:pPr>
              <w:spacing w:after="120" w:line="240" w:lineRule="auto"/>
              <w:rPr>
                <w:rFonts w:ascii="Times New Roman" w:hAnsi="Times New Roman" w:cs="Times New Roman"/>
                <w:noProof/>
                <w:sz w:val="18"/>
                <w:szCs w:val="18"/>
              </w:rPr>
            </w:pPr>
          </w:p>
        </w:tc>
        <w:tc>
          <w:tcPr>
            <w:tcW w:w="1071" w:type="dxa"/>
            <w:tcBorders>
              <w:top w:val="single" w:sz="4" w:space="0" w:color="auto"/>
              <w:left w:val="nil"/>
              <w:bottom w:val="single" w:sz="4" w:space="0" w:color="auto"/>
              <w:right w:val="single" w:sz="4" w:space="0" w:color="auto"/>
            </w:tcBorders>
            <w:shd w:val="clear" w:color="auto" w:fill="C6EFCE"/>
            <w:vAlign w:val="center"/>
          </w:tcPr>
          <w:p w14:paraId="5B9847D0" w14:textId="65666900" w:rsidR="0023462A" w:rsidRDefault="00A550FA">
            <w:pPr>
              <w:pStyle w:val="P68B1DB1-Normal32"/>
              <w:spacing w:after="120" w:line="240" w:lineRule="auto"/>
              <w:rPr>
                <w:noProof/>
              </w:rPr>
            </w:pPr>
            <w:r>
              <w:rPr>
                <w:noProof/>
              </w:rPr>
              <w:t>T2</w:t>
            </w:r>
          </w:p>
        </w:tc>
        <w:tc>
          <w:tcPr>
            <w:tcW w:w="993" w:type="dxa"/>
            <w:tcBorders>
              <w:top w:val="single" w:sz="4" w:space="0" w:color="auto"/>
              <w:left w:val="nil"/>
              <w:bottom w:val="single" w:sz="4" w:space="0" w:color="auto"/>
              <w:right w:val="single" w:sz="4" w:space="0" w:color="auto"/>
            </w:tcBorders>
            <w:shd w:val="clear" w:color="auto" w:fill="C6EFCE"/>
            <w:vAlign w:val="center"/>
          </w:tcPr>
          <w:p w14:paraId="7C07CD07" w14:textId="24D72009" w:rsidR="0023462A" w:rsidRDefault="00A550FA">
            <w:pPr>
              <w:pStyle w:val="P68B1DB1-Normal32"/>
              <w:spacing w:after="120" w:line="240" w:lineRule="auto"/>
              <w:rPr>
                <w:noProof/>
              </w:rPr>
            </w:pPr>
            <w:r>
              <w:rPr>
                <w:noProof/>
              </w:rPr>
              <w:t>2026</w:t>
            </w:r>
          </w:p>
        </w:tc>
        <w:tc>
          <w:tcPr>
            <w:tcW w:w="3304" w:type="dxa"/>
            <w:tcBorders>
              <w:top w:val="single" w:sz="4" w:space="0" w:color="auto"/>
              <w:left w:val="nil"/>
              <w:bottom w:val="single" w:sz="4" w:space="0" w:color="auto"/>
              <w:right w:val="single" w:sz="4" w:space="0" w:color="auto"/>
            </w:tcBorders>
            <w:shd w:val="clear" w:color="auto" w:fill="C6EFCE"/>
          </w:tcPr>
          <w:p w14:paraId="6BF4B67C" w14:textId="54043EEA" w:rsidR="0023462A" w:rsidRDefault="00A550FA">
            <w:pPr>
              <w:pStyle w:val="P68B1DB1-Normal49"/>
              <w:keepNext/>
              <w:spacing w:after="120" w:line="240" w:lineRule="auto"/>
              <w:jc w:val="both"/>
              <w:rPr>
                <w:noProof/>
              </w:rPr>
            </w:pPr>
            <w:r>
              <w:rPr>
                <w:noProof/>
              </w:rPr>
              <w:t xml:space="preserve">1) Entrée en vigueur d'un ou de plusieurs actes juridiques établissant une nouvelle entité permanente entièrement détenue par l'État (Rolling Stock Company – ROSCO) sous la forme d'une société par actions. </w:t>
            </w:r>
          </w:p>
          <w:p w14:paraId="26099C40" w14:textId="77777777" w:rsidR="0023462A" w:rsidRDefault="00A550FA">
            <w:pPr>
              <w:pStyle w:val="P68B1DB1-Normal49"/>
              <w:keepNext/>
              <w:spacing w:after="120" w:line="240" w:lineRule="auto"/>
              <w:jc w:val="both"/>
              <w:rPr>
                <w:noProof/>
              </w:rPr>
            </w:pPr>
            <w:r>
              <w:rPr>
                <w:noProof/>
              </w:rPr>
              <w:t>La législation:</w:t>
            </w:r>
          </w:p>
          <w:p w14:paraId="59BBF7A0" w14:textId="703ECF69" w:rsidR="0023462A" w:rsidRDefault="00A550FA">
            <w:pPr>
              <w:pStyle w:val="P68B1DB1-ListParagraph51"/>
              <w:keepNext/>
              <w:numPr>
                <w:ilvl w:val="0"/>
                <w:numId w:val="138"/>
              </w:numPr>
              <w:spacing w:after="0" w:line="240" w:lineRule="auto"/>
              <w:ind w:left="153" w:hanging="153"/>
              <w:contextualSpacing w:val="0"/>
              <w:rPr>
                <w:noProof/>
              </w:rPr>
            </w:pPr>
            <w:r>
              <w:rPr>
                <w:noProof/>
              </w:rPr>
              <w:t>définir la mission, le mandat et les pouvoirs de cette société afin d'accroître la concurrence dans les appels d'offres et la contestabilité des contrats de services. En particulier, la législation garantit que le matériel roulant est mis à la disposition des opérateurs OSP entrants dans des conditions équitables, égales et non discriminatoires, avec des exigences normalisées en matière de maintenance opérationnelle.</w:t>
            </w:r>
          </w:p>
          <w:p w14:paraId="1B178DB1" w14:textId="77777777" w:rsidR="0023462A" w:rsidRDefault="00A550FA">
            <w:pPr>
              <w:pStyle w:val="P68B1DB1-ListParagraph51"/>
              <w:keepNext/>
              <w:numPr>
                <w:ilvl w:val="0"/>
                <w:numId w:val="138"/>
              </w:numPr>
              <w:spacing w:after="120" w:line="240" w:lineRule="auto"/>
              <w:ind w:left="155" w:hanging="155"/>
              <w:contextualSpacing w:val="0"/>
              <w:jc w:val="both"/>
              <w:rPr>
                <w:noProof/>
              </w:rPr>
            </w:pPr>
            <w:r>
              <w:rPr>
                <w:noProof/>
              </w:rPr>
              <w:t>Indiquer que le matériel roulant à acquérir par la ROSCO sera la propriété de la ROSCO.</w:t>
            </w:r>
          </w:p>
          <w:p w14:paraId="71A38D99" w14:textId="77777777" w:rsidR="0023462A" w:rsidRDefault="00A550FA">
            <w:pPr>
              <w:pStyle w:val="P68B1DB1-ListParagraph51"/>
              <w:keepNext/>
              <w:numPr>
                <w:ilvl w:val="0"/>
                <w:numId w:val="138"/>
              </w:numPr>
              <w:tabs>
                <w:tab w:val="left" w:pos="202"/>
              </w:tabs>
              <w:spacing w:after="120" w:line="240" w:lineRule="auto"/>
              <w:ind w:left="155" w:hanging="155"/>
              <w:contextualSpacing w:val="0"/>
              <w:jc w:val="both"/>
              <w:rPr>
                <w:noProof/>
              </w:rPr>
            </w:pPr>
            <w:r>
              <w:rPr>
                <w:noProof/>
              </w:rPr>
              <w:t>Définir les principes généraux de la gouvernance d'entreprise et de la structure organisationnelle.</w:t>
            </w:r>
          </w:p>
          <w:p w14:paraId="2A7C1FAB" w14:textId="77777777" w:rsidR="0023462A" w:rsidRDefault="00A550FA">
            <w:pPr>
              <w:pStyle w:val="P68B1DB1-ListParagraph51"/>
              <w:keepNext/>
              <w:numPr>
                <w:ilvl w:val="0"/>
                <w:numId w:val="138"/>
              </w:numPr>
              <w:spacing w:after="120" w:line="240" w:lineRule="auto"/>
              <w:ind w:left="207" w:hanging="207"/>
              <w:contextualSpacing w:val="0"/>
              <w:jc w:val="both"/>
              <w:rPr>
                <w:noProof/>
              </w:rPr>
            </w:pPr>
            <w:r>
              <w:rPr>
                <w:noProof/>
              </w:rPr>
              <w:t>Établir que les membres du conseil d'administration et des organes statutaires de la société doivent:</w:t>
            </w:r>
          </w:p>
          <w:p w14:paraId="76D7AAF9" w14:textId="77777777" w:rsidR="0023462A" w:rsidRDefault="00A550FA">
            <w:pPr>
              <w:pStyle w:val="P68B1DB1-ListParagraph51"/>
              <w:keepNext/>
              <w:numPr>
                <w:ilvl w:val="0"/>
                <w:numId w:val="139"/>
              </w:numPr>
              <w:spacing w:after="120" w:line="240" w:lineRule="auto"/>
              <w:contextualSpacing w:val="0"/>
              <w:jc w:val="both"/>
              <w:rPr>
                <w:noProof/>
              </w:rPr>
            </w:pPr>
            <w:r>
              <w:rPr>
                <w:noProof/>
              </w:rPr>
              <w:t>être sélectionné parmi des personnes qui répondent aux exigences d'intégrité, de professionnalisme et d'indépendance;</w:t>
            </w:r>
          </w:p>
          <w:p w14:paraId="4AC71A14" w14:textId="77777777" w:rsidR="0023462A" w:rsidRDefault="00A550FA">
            <w:pPr>
              <w:pStyle w:val="P68B1DB1-ListParagraph51"/>
              <w:keepNext/>
              <w:numPr>
                <w:ilvl w:val="0"/>
                <w:numId w:val="139"/>
              </w:numPr>
              <w:spacing w:after="120" w:line="240" w:lineRule="auto"/>
              <w:contextualSpacing w:val="0"/>
              <w:jc w:val="both"/>
              <w:rPr>
                <w:noProof/>
              </w:rPr>
            </w:pPr>
            <w:r>
              <w:rPr>
                <w:noProof/>
              </w:rPr>
              <w:t>disposent de l’autorité, des compétences et de l’objectivité nécessaires pour exercer leurs fonctions d’orientation stratégique, de surveillance de la gestion des risques et de suivi de la gestion,</w:t>
            </w:r>
          </w:p>
          <w:p w14:paraId="5340426A" w14:textId="77777777" w:rsidR="0023462A" w:rsidRDefault="00A550FA">
            <w:pPr>
              <w:pStyle w:val="P68B1DB1-ListParagraph51"/>
              <w:keepNext/>
              <w:numPr>
                <w:ilvl w:val="0"/>
                <w:numId w:val="139"/>
              </w:numPr>
              <w:spacing w:after="120" w:line="240" w:lineRule="auto"/>
              <w:contextualSpacing w:val="0"/>
              <w:jc w:val="both"/>
              <w:rPr>
                <w:noProof/>
              </w:rPr>
            </w:pPr>
            <w:r>
              <w:rPr>
                <w:noProof/>
              </w:rPr>
              <w:t>agir avec intégrité et en promouvoir l'intégrité,</w:t>
            </w:r>
          </w:p>
          <w:p w14:paraId="6340AB7B" w14:textId="77777777" w:rsidR="0023462A" w:rsidRDefault="00A550FA">
            <w:pPr>
              <w:pStyle w:val="P68B1DB1-ListParagraph51"/>
              <w:keepNext/>
              <w:numPr>
                <w:ilvl w:val="0"/>
                <w:numId w:val="139"/>
              </w:numPr>
              <w:spacing w:after="120" w:line="240" w:lineRule="auto"/>
              <w:contextualSpacing w:val="0"/>
              <w:jc w:val="both"/>
              <w:rPr>
                <w:noProof/>
              </w:rPr>
            </w:pPr>
            <w:r>
              <w:rPr>
                <w:noProof/>
              </w:rPr>
              <w:t>être tenus responsables de leurs actes,</w:t>
            </w:r>
          </w:p>
          <w:p w14:paraId="42FF78C2" w14:textId="77777777" w:rsidR="0023462A" w:rsidRDefault="00A550FA">
            <w:pPr>
              <w:pStyle w:val="P68B1DB1-ListParagraph51"/>
              <w:keepNext/>
              <w:numPr>
                <w:ilvl w:val="0"/>
                <w:numId w:val="138"/>
              </w:numPr>
              <w:spacing w:after="120" w:line="240" w:lineRule="auto"/>
              <w:ind w:left="228" w:hanging="228"/>
              <w:contextualSpacing w:val="0"/>
              <w:jc w:val="both"/>
              <w:rPr>
                <w:noProof/>
              </w:rPr>
            </w:pPr>
            <w:r>
              <w:rPr>
                <w:noProof/>
              </w:rPr>
              <w:t>établir des règles relatives à la prévention des conflits d'intérêts.</w:t>
            </w:r>
          </w:p>
          <w:p w14:paraId="07177C19" w14:textId="5221C406" w:rsidR="0023462A" w:rsidRDefault="00A550FA">
            <w:pPr>
              <w:pStyle w:val="P68B1DB1-Normal49"/>
              <w:keepNext/>
              <w:spacing w:after="120" w:line="240" w:lineRule="auto"/>
              <w:jc w:val="both"/>
              <w:rPr>
                <w:noProof/>
              </w:rPr>
            </w:pPr>
            <w:r>
              <w:rPr>
                <w:noProof/>
              </w:rPr>
              <w:t>2) Intégration de la ROSCO et inscription au registre du commerce.</w:t>
            </w:r>
          </w:p>
          <w:p w14:paraId="5DC8739B" w14:textId="480AFBD6" w:rsidR="0023462A" w:rsidRDefault="00A550FA">
            <w:pPr>
              <w:pStyle w:val="P68B1DB1-Normal49"/>
              <w:keepNext/>
              <w:spacing w:after="120" w:line="240" w:lineRule="auto"/>
              <w:jc w:val="both"/>
              <w:rPr>
                <w:noProof/>
              </w:rPr>
            </w:pPr>
            <w:r>
              <w:rPr>
                <w:noProof/>
              </w:rPr>
              <w:t xml:space="preserve">3) Publication et approbation par le ministère des Transports de la Charte d'entreprise (Statut) de la RoSCo, qui précise: </w:t>
            </w:r>
          </w:p>
          <w:p w14:paraId="6E07E5EF" w14:textId="77777777" w:rsidR="0023462A" w:rsidRDefault="00A550FA">
            <w:pPr>
              <w:pStyle w:val="P68B1DB1-ListParagraph51"/>
              <w:keepNext/>
              <w:numPr>
                <w:ilvl w:val="0"/>
                <w:numId w:val="140"/>
              </w:numPr>
              <w:spacing w:after="120" w:line="240" w:lineRule="auto"/>
              <w:contextualSpacing w:val="0"/>
              <w:jc w:val="both"/>
              <w:rPr>
                <w:noProof/>
              </w:rPr>
            </w:pPr>
            <w:r>
              <w:rPr>
                <w:noProof/>
              </w:rPr>
              <w:t>l'étendue exacte des activités de la société, y compris le fait qu'elle opère uniquement en tant qu'entité pour le compte de l'administration centrale pour les contrats de service public sur le marché du transport ferroviaire,</w:t>
            </w:r>
          </w:p>
          <w:p w14:paraId="400CFFDB" w14:textId="77777777" w:rsidR="0023462A" w:rsidRDefault="00A550FA">
            <w:pPr>
              <w:pStyle w:val="P68B1DB1-ListParagraph51"/>
              <w:keepNext/>
              <w:numPr>
                <w:ilvl w:val="0"/>
                <w:numId w:val="140"/>
              </w:numPr>
              <w:spacing w:after="120" w:line="240" w:lineRule="auto"/>
              <w:contextualSpacing w:val="0"/>
              <w:jc w:val="both"/>
              <w:rPr>
                <w:noProof/>
              </w:rPr>
            </w:pPr>
            <w:r>
              <w:rPr>
                <w:noProof/>
              </w:rPr>
              <w:t>la gouvernance d'entreprise et la structure organisationnelle exactes.</w:t>
            </w:r>
          </w:p>
          <w:p w14:paraId="4DC03C1D" w14:textId="77777777" w:rsidR="0023462A" w:rsidRDefault="00A550FA">
            <w:pPr>
              <w:pStyle w:val="P68B1DB1-ListParagraph51"/>
              <w:keepNext/>
              <w:numPr>
                <w:ilvl w:val="0"/>
                <w:numId w:val="140"/>
              </w:numPr>
              <w:spacing w:after="120" w:line="240" w:lineRule="auto"/>
              <w:contextualSpacing w:val="0"/>
              <w:jc w:val="both"/>
              <w:rPr>
                <w:rFonts w:eastAsiaTheme="minorHAnsi"/>
                <w:noProof/>
              </w:rPr>
            </w:pPr>
            <w:r>
              <w:rPr>
                <w:noProof/>
              </w:rPr>
              <w:t xml:space="preserve">que le matériel roulant éligible à acquérir par l’entreprise est à émissions nulles au moyen du champ d’intervention 72 bis de l’annexe VI du règlement FRR et compatible avec les normes ERTMS. </w:t>
            </w:r>
          </w:p>
          <w:p w14:paraId="62CF1048" w14:textId="79C78C2D" w:rsidR="0023462A" w:rsidRDefault="00A550FA">
            <w:pPr>
              <w:pStyle w:val="P68B1DB1-Normal49"/>
              <w:keepNext/>
              <w:spacing w:after="120" w:line="240" w:lineRule="auto"/>
              <w:jc w:val="both"/>
              <w:rPr>
                <w:noProof/>
              </w:rPr>
            </w:pPr>
            <w:r>
              <w:rPr>
                <w:noProof/>
              </w:rPr>
              <w:t xml:space="preserve">4) Approbation par le ministère des Transports, en accord avec le ministère de l'Économie et des Finances, d'un plan d'affaires pour la période 2026-2032 détaillant: </w:t>
            </w:r>
          </w:p>
          <w:p w14:paraId="3CB07BA3" w14:textId="77777777" w:rsidR="0023462A" w:rsidRDefault="00A550FA">
            <w:pPr>
              <w:pStyle w:val="P68B1DB1-ListParagraph51"/>
              <w:keepNext/>
              <w:numPr>
                <w:ilvl w:val="0"/>
                <w:numId w:val="141"/>
              </w:numPr>
              <w:spacing w:after="120" w:line="240" w:lineRule="auto"/>
              <w:contextualSpacing w:val="0"/>
              <w:jc w:val="both"/>
              <w:rPr>
                <w:noProof/>
              </w:rPr>
            </w:pPr>
            <w:r>
              <w:rPr>
                <w:noProof/>
              </w:rPr>
              <w:t xml:space="preserve">les lignes de développement stratégique et opérationnel de l'entreprise, en tenant compte de sa mission statutaire et de ses objectifs, </w:t>
            </w:r>
          </w:p>
          <w:p w14:paraId="4229D85D" w14:textId="06DC9858" w:rsidR="0023462A" w:rsidRDefault="00A550FA">
            <w:pPr>
              <w:pStyle w:val="P68B1DB1-ListParagraph51"/>
              <w:keepNext/>
              <w:numPr>
                <w:ilvl w:val="0"/>
                <w:numId w:val="141"/>
              </w:numPr>
              <w:spacing w:after="120" w:line="240" w:lineRule="auto"/>
              <w:contextualSpacing w:val="0"/>
              <w:jc w:val="both"/>
              <w:rPr>
                <w:noProof/>
              </w:rPr>
            </w:pPr>
            <w:r>
              <w:rPr>
                <w:noProof/>
              </w:rPr>
              <w:t xml:space="preserve">les caractéristiques des activités à réaliser, </w:t>
            </w:r>
          </w:p>
          <w:p w14:paraId="525176E9" w14:textId="385213F0" w:rsidR="0023462A" w:rsidRDefault="00A550FA">
            <w:pPr>
              <w:pStyle w:val="P68B1DB1-ListParagraph51"/>
              <w:keepNext/>
              <w:numPr>
                <w:ilvl w:val="0"/>
                <w:numId w:val="141"/>
              </w:numPr>
              <w:spacing w:after="120" w:line="240" w:lineRule="auto"/>
              <w:contextualSpacing w:val="0"/>
              <w:jc w:val="both"/>
              <w:rPr>
                <w:noProof/>
              </w:rPr>
            </w:pPr>
            <w:r>
              <w:rPr>
                <w:noProof/>
              </w:rPr>
              <w:t>au moins en ce qui concerne chacun des trois premiers exercices, les profils d’adéquation des fonds propres, les procédures d’appel d’offres et les investissements prévus et la couverture financière correspondante.</w:t>
            </w:r>
          </w:p>
        </w:tc>
      </w:tr>
    </w:tbl>
    <w:p w14:paraId="4122EF34" w14:textId="77777777" w:rsidR="0023462A" w:rsidRDefault="0023462A" w:rsidP="00A550FA">
      <w:pPr>
        <w:spacing w:after="0" w:line="240" w:lineRule="auto"/>
        <w:rPr>
          <w:rFonts w:ascii="Times New Roman" w:hAnsi="Times New Roman" w:cs="Times New Roman"/>
          <w:noProof/>
          <w:sz w:val="24"/>
          <w:szCs w:val="24"/>
        </w:rPr>
        <w:sectPr w:rsidR="0023462A" w:rsidSect="007F14C9">
          <w:headerReference w:type="default" r:id="rId80"/>
          <w:footerReference w:type="default" r:id="rId81"/>
          <w:pgSz w:w="16839" w:h="11907" w:orient="landscape"/>
          <w:pgMar w:top="1134" w:right="1134" w:bottom="1134" w:left="1134" w:header="567" w:footer="567" w:gutter="0"/>
          <w:cols w:space="708"/>
          <w:docGrid w:linePitch="360"/>
        </w:sectPr>
      </w:pPr>
    </w:p>
    <w:p w14:paraId="743F6525" w14:textId="41B884A3" w:rsidR="0023462A" w:rsidRDefault="00A550FA">
      <w:pPr>
        <w:pStyle w:val="P68B1DB1-Normal44"/>
        <w:keepNext/>
        <w:spacing w:after="120" w:line="240" w:lineRule="auto"/>
        <w:jc w:val="both"/>
        <w:outlineLvl w:val="1"/>
        <w:rPr>
          <w:noProof/>
        </w:rPr>
      </w:pPr>
      <w:r>
        <w:rPr>
          <w:noProof/>
        </w:rPr>
        <w:t xml:space="preserve">F. Élément 6: Énergie – transition écologique </w:t>
      </w:r>
    </w:p>
    <w:p w14:paraId="50EF5F52" w14:textId="77777777" w:rsidR="0023462A" w:rsidRDefault="00A550FA">
      <w:pPr>
        <w:pStyle w:val="P68B1DB1-Normal6"/>
        <w:spacing w:after="120" w:line="240" w:lineRule="auto"/>
        <w:jc w:val="both"/>
        <w:rPr>
          <w:rFonts w:eastAsiaTheme="minorHAnsi"/>
          <w:noProof/>
        </w:rPr>
      </w:pPr>
      <w:r>
        <w:rPr>
          <w:noProof/>
        </w:rPr>
        <w:t xml:space="preserve">Ce volet du plan hongrois pour la reprise et la résilience répond à plusieurs défis du secteur de l’énergie. L’objectif du volet est de contribuer à la réalisation des objectifs de la Hongrie en matière de climat et d’énergie à l’horizon 2030, compte tenu également de la nécessité de relever le niveau d’ambition des États membres dans le contexte de l’objectif à l’échelle de l’UE à l’horizon 2030 de réduire les émissions de gaz à effet de serre d’au moins 55 % par rapport aux niveaux de 1990. La stratégie énergétique nationale à l’horizon 2030 et le plan national en matière d’énergie et de climat visent à renforcer la souveraineté énergétique et la sécurité énergétique en réduisant la dépendance à l’égard des importations, en garantissant un approvisionnement énergétique abordable pour la population et en décarbonant la production d’énergie, y compris en augmentant la part de la production d’énergie à partir de sources renouvelables. </w:t>
      </w:r>
    </w:p>
    <w:p w14:paraId="0A28BD1C" w14:textId="13840CFB" w:rsidR="0023462A" w:rsidRDefault="00A550FA">
      <w:pPr>
        <w:pStyle w:val="P68B1DB1-Normal36"/>
        <w:spacing w:after="120" w:line="240" w:lineRule="auto"/>
        <w:jc w:val="both"/>
        <w:rPr>
          <w:noProof/>
          <w:color w:val="000000" w:themeColor="text1"/>
        </w:rPr>
      </w:pPr>
      <w:r>
        <w:rPr>
          <w:noProof/>
          <w:color w:val="000000" w:themeColor="text1"/>
        </w:rPr>
        <w:t xml:space="preserve">Dans ce contexte, le volet vise à créer des capacités supplémentaires fondées sur les sources d’énergie renouvelables et, </w:t>
      </w:r>
      <w:r>
        <w:rPr>
          <w:noProof/>
        </w:rPr>
        <w:t>à terme, à réduire les émissions de gaz à effet de serre.</w:t>
      </w:r>
      <w:r>
        <w:rPr>
          <w:noProof/>
          <w:color w:val="000000" w:themeColor="text1"/>
        </w:rPr>
        <w:t xml:space="preserve"> Les modifications apportées au cadre juridique établissent un environnement réglementaire favorable à la réalisation de cet objectif. En vue d’intégrer de manière sûre et flexible les capacités de production d’énergie à partir de sources d’énergie renouvelables dans le réseau électrique, la composante soutient les investissements liés au développement du réseau et les investissements dans les installations de stockage d’électricité. </w:t>
      </w:r>
      <w:r>
        <w:rPr>
          <w:noProof/>
        </w:rPr>
        <w:t>L'investissement dans les compteurs intelligents devrait contribuer à l'optimisation de la demande d'électricité à long terme.</w:t>
      </w:r>
      <w:r>
        <w:rPr>
          <w:noProof/>
          <w:color w:val="000000" w:themeColor="text1"/>
        </w:rPr>
        <w:t xml:space="preserve"> Le composant entraîne également la création d’une capacité supplémentaire de production d’énergie renouvelable en soutenant la production d’énergie éolienne terrestre et l’installation de systèmes de panneaux solaires résidentiels. En outre, afin de relever les défis liés à la pollution atmosphérique et à l’efficacité énergétique, elle apporte également un soutien aux ménages pour l’installation de systèmes de chauffage électrique et le remplacement des fenêtres, en plus des systèmes de panneaux solaires et des unités de stockage. </w:t>
      </w:r>
    </w:p>
    <w:p w14:paraId="57EB995C" w14:textId="3AA260DD" w:rsidR="0023462A" w:rsidRDefault="00A550FA">
      <w:pPr>
        <w:pStyle w:val="P68B1DB1-Normal52"/>
        <w:spacing w:after="120" w:line="240" w:lineRule="auto"/>
        <w:jc w:val="both"/>
        <w:rPr>
          <w:rFonts w:eastAsiaTheme="minorHAnsi"/>
          <w:noProof/>
          <w:color w:val="000000" w:themeColor="text1"/>
        </w:rPr>
      </w:pPr>
      <w:r>
        <w:rPr>
          <w:noProof/>
        </w:rPr>
        <w:t xml:space="preserve">Les mesures relevant de ce volet devraient contribuer à la transition écologique et à la réalisation de l’objectif de neutralité climatique d’ici à 2050. </w:t>
      </w:r>
    </w:p>
    <w:p w14:paraId="0467557D" w14:textId="77777777" w:rsidR="0023462A" w:rsidRDefault="00A550FA">
      <w:pPr>
        <w:pStyle w:val="P68B1DB1-Normal52"/>
        <w:spacing w:after="120" w:line="240" w:lineRule="auto"/>
        <w:jc w:val="both"/>
        <w:rPr>
          <w:rFonts w:eastAsiaTheme="minorHAnsi"/>
          <w:noProof/>
          <w:color w:val="000000" w:themeColor="text1"/>
        </w:rPr>
      </w:pPr>
      <w:r>
        <w:rPr>
          <w:noProof/>
        </w:rPr>
        <w:t xml:space="preserve">Le développement de réseaux intelligents basés sur des solutions techniques innovantes constitue une étape importante vers la numérisation. L'exploitation des données au moyen de solutions numériques permet de mieux prévoir les équilibres entre l'offre et la demande et d'améliorer la réglementation de la production d'énergie. </w:t>
      </w:r>
    </w:p>
    <w:p w14:paraId="0B474194" w14:textId="77777777" w:rsidR="0023462A" w:rsidRDefault="00A550FA">
      <w:pPr>
        <w:pStyle w:val="P68B1DB1-Normal6"/>
        <w:spacing w:after="120" w:line="240" w:lineRule="auto"/>
        <w:jc w:val="both"/>
        <w:rPr>
          <w:rFonts w:eastAsiaTheme="minorHAnsi"/>
          <w:noProof/>
        </w:rPr>
      </w:pPr>
      <w:r>
        <w:rPr>
          <w:noProof/>
        </w:rPr>
        <w:t xml:space="preserve">Ce volet contribue à l’autonomie stratégique et à la sécurité de la Hongrie dans le cadre des objectifs européens. Le renforcement des capacités de production d’énergies renouvelables conduit à une plus grande souveraineté énergétique en augmentant la part des sources d’énergie nationales. Le développement du réseau contribue également à améliorer la sécurité du réseau électrique. </w:t>
      </w:r>
    </w:p>
    <w:p w14:paraId="47AB81D6" w14:textId="77777777" w:rsidR="0023462A" w:rsidRDefault="00A550FA">
      <w:pPr>
        <w:pStyle w:val="P68B1DB1-Normal6"/>
        <w:spacing w:after="120" w:line="240" w:lineRule="auto"/>
        <w:jc w:val="both"/>
        <w:rPr>
          <w:rFonts w:eastAsiaTheme="minorHAnsi"/>
          <w:noProof/>
        </w:rPr>
      </w:pPr>
      <w:r>
        <w:rPr>
          <w:noProof/>
        </w:rPr>
        <w:t>Les investissements devraient également contribuer à la création d’emplois au niveau local, y compris pour le secteur des PME.</w:t>
      </w:r>
    </w:p>
    <w:p w14:paraId="19A0DBFE" w14:textId="66915DC5" w:rsidR="0023462A" w:rsidRDefault="00A550FA">
      <w:pPr>
        <w:pStyle w:val="P68B1DB1-Normal36"/>
        <w:spacing w:after="120" w:line="240" w:lineRule="auto"/>
        <w:jc w:val="both"/>
        <w:rPr>
          <w:noProof/>
        </w:rPr>
      </w:pPr>
      <w:r>
        <w:rPr>
          <w:noProof/>
          <w:color w:val="000000" w:themeColor="text1"/>
        </w:rPr>
        <w:t xml:space="preserve">Ce volet contribue à donner suite aux recommandations par pays concernant la nécessité de se concentrer sur les transitions écologique et numérique, en particulier la production et l’utilisation propres et efficaces de l’énergie </w:t>
      </w:r>
      <w:r>
        <w:rPr>
          <w:noProof/>
        </w:rPr>
        <w:t xml:space="preserve">(recommandation par pays no 3 en 2020) </w:t>
      </w:r>
      <w:r>
        <w:rPr>
          <w:noProof/>
          <w:color w:val="000000" w:themeColor="text1"/>
        </w:rPr>
        <w:t xml:space="preserve">et de placer l’énergie à faible intensité de carbone ainsi que l’efficacité énergétique et l’utilisation efficace des ressources au centre de la politique économique axée sur les investissements </w:t>
      </w:r>
      <w:r>
        <w:rPr>
          <w:noProof/>
        </w:rPr>
        <w:t xml:space="preserve">(recommandation par pays no 3 en 2019). Elle contribue également à donner suite à la recommandation par pays no 6 de 2022 concernant la nécessité de réduire la dépendance globale à l’égard des combustibles fossiles en accélérant le déploiement des énergies renouvelables, en rationalisant les procédures d’autorisation et en modernisant les infrastructures électriques, ainsi qu’à donner suite à la recommandation par pays no 4 de 2025 concernant la nécessité d’améliorer la flexibilité et la concurrence dans le secteur de l’électricité, en renforçant le marché de l’équilibrage et en stimulant les échanges transfrontaliers d’électricité. </w:t>
      </w:r>
    </w:p>
    <w:p w14:paraId="307110F8" w14:textId="77777777" w:rsidR="0023462A" w:rsidRDefault="00A550FA">
      <w:pPr>
        <w:pStyle w:val="P68B1DB1-Normal6"/>
        <w:spacing w:after="120" w:line="240" w:lineRule="auto"/>
        <w:jc w:val="both"/>
        <w:rPr>
          <w:rFonts w:cs="Times New Roman"/>
          <w:noProof/>
          <w:szCs w:val="24"/>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584F816C" w14:textId="35954472" w:rsidR="0023462A" w:rsidRDefault="00A550FA">
      <w:pPr>
        <w:pStyle w:val="P68B1DB1-Normal34"/>
        <w:rPr>
          <w:noProof/>
        </w:rPr>
      </w:pPr>
      <w:r>
        <w:rPr>
          <w:noProof/>
        </w:rPr>
        <w:br w:type="page"/>
      </w:r>
    </w:p>
    <w:p w14:paraId="4A902C8B" w14:textId="7D24E0D3" w:rsidR="0023462A" w:rsidRDefault="00A550FA">
      <w:pPr>
        <w:pStyle w:val="P68B1DB1-Normal53"/>
        <w:spacing w:after="120" w:line="240" w:lineRule="auto"/>
        <w:jc w:val="both"/>
        <w:rPr>
          <w:noProof/>
        </w:rPr>
      </w:pPr>
      <w:r>
        <w:rPr>
          <w:noProof/>
        </w:rPr>
        <w:t xml:space="preserve">F.1. </w:t>
      </w:r>
      <w:r>
        <w:rPr>
          <w:noProof/>
        </w:rPr>
        <w:tab/>
        <w:t>Description des réformes et des investissements pour le soutien financier non remboursable</w:t>
      </w:r>
    </w:p>
    <w:p w14:paraId="1809B308" w14:textId="77777777" w:rsidR="0023462A" w:rsidRDefault="00A550FA">
      <w:pPr>
        <w:pStyle w:val="P68B1DB1-Heading411"/>
        <w:spacing w:before="0" w:after="120" w:line="240" w:lineRule="auto"/>
        <w:rPr>
          <w:rFonts w:eastAsiaTheme="minorHAnsi"/>
          <w:noProof/>
        </w:rPr>
      </w:pPr>
      <w:r>
        <w:rPr>
          <w:noProof/>
        </w:rPr>
        <w:t xml:space="preserve">C6.R1 : Transformation de la réglementation de l'électricité </w:t>
      </w:r>
    </w:p>
    <w:p w14:paraId="4725E7EA" w14:textId="57CD1BBE" w:rsidR="0023462A" w:rsidRDefault="00A550FA">
      <w:pPr>
        <w:pStyle w:val="P68B1DB1-Normal12"/>
        <w:spacing w:after="120" w:line="240" w:lineRule="auto"/>
        <w:jc w:val="both"/>
        <w:rPr>
          <w:rFonts w:ascii="Times New Roman" w:eastAsiaTheme="minorHAnsi" w:hAnsi="Times New Roman"/>
          <w:noProof/>
        </w:rPr>
      </w:pPr>
      <w:r>
        <w:rPr>
          <w:rFonts w:ascii="Times New Roman" w:hAnsi="Times New Roman"/>
          <w:noProof/>
        </w:rPr>
        <w:t xml:space="preserve">L’objectif </w:t>
      </w:r>
      <w:r>
        <w:rPr>
          <w:rFonts w:ascii="Times New Roman" w:hAnsi="Times New Roman" w:cs="Times New Roman"/>
          <w:noProof/>
          <w:szCs w:val="24"/>
        </w:rPr>
        <w:t xml:space="preserve">de </w:t>
      </w:r>
      <w:r>
        <w:rPr>
          <w:rFonts w:ascii="Times New Roman" w:hAnsi="Times New Roman"/>
          <w:noProof/>
        </w:rPr>
        <w:t xml:space="preserve">cette mesure est d’améliorer le cadre juridique du marché hongrois de l’électricité en modifiant </w:t>
      </w:r>
      <w:r>
        <w:rPr>
          <w:rFonts w:ascii="Times New Roman" w:hAnsi="Times New Roman" w:cs="Times New Roman"/>
          <w:noProof/>
          <w:szCs w:val="24"/>
        </w:rPr>
        <w:t>la législation applicable.</w:t>
      </w:r>
      <w:r>
        <w:rPr>
          <w:rFonts w:ascii="Times New Roman" w:hAnsi="Times New Roman"/>
          <w:noProof/>
        </w:rPr>
        <w:t xml:space="preserve"> </w:t>
      </w:r>
    </w:p>
    <w:p w14:paraId="143EC3B8" w14:textId="77777777" w:rsidR="0023462A" w:rsidRDefault="00A550FA">
      <w:pPr>
        <w:pStyle w:val="P68B1DB1-Normal12"/>
        <w:spacing w:after="120" w:line="240" w:lineRule="auto"/>
        <w:jc w:val="both"/>
        <w:rPr>
          <w:rFonts w:ascii="Times New Roman" w:eastAsiaTheme="minorHAnsi" w:hAnsi="Times New Roman"/>
          <w:noProof/>
        </w:rPr>
      </w:pPr>
      <w:r>
        <w:rPr>
          <w:rFonts w:ascii="Times New Roman" w:hAnsi="Times New Roman"/>
          <w:noProof/>
        </w:rPr>
        <w:t xml:space="preserve">La mesure </w:t>
      </w:r>
      <w:r>
        <w:rPr>
          <w:rFonts w:ascii="Times New Roman" w:hAnsi="Times New Roman" w:cs="Times New Roman"/>
          <w:noProof/>
          <w:szCs w:val="24"/>
        </w:rPr>
        <w:t>consiste en l’introduction</w:t>
      </w:r>
      <w:r>
        <w:rPr>
          <w:rFonts w:ascii="Times New Roman" w:hAnsi="Times New Roman"/>
          <w:noProof/>
        </w:rPr>
        <w:t xml:space="preserve"> d’une comptabilité séparée pour l’électricité injectée dans le réseau et l’électricité consommée à partir du réseau. </w:t>
      </w:r>
    </w:p>
    <w:p w14:paraId="46E716CD" w14:textId="4D88DF77" w:rsidR="0023462A" w:rsidRDefault="00A550FA">
      <w:pPr>
        <w:pStyle w:val="P68B1DB1-Heading411"/>
        <w:spacing w:before="0" w:after="120" w:line="240" w:lineRule="auto"/>
        <w:rPr>
          <w:rFonts w:eastAsiaTheme="minorHAnsi"/>
          <w:noProof/>
        </w:rPr>
      </w:pPr>
      <w:r>
        <w:rPr>
          <w:noProof/>
        </w:rPr>
        <w:t>C6.R2 : Encourager le développement de l'énergie éolienne terrestre</w:t>
      </w:r>
    </w:p>
    <w:p w14:paraId="2A628FB7" w14:textId="77777777" w:rsidR="0023462A" w:rsidRDefault="00A550FA">
      <w:pPr>
        <w:pStyle w:val="P68B1DB1-Normal12"/>
        <w:spacing w:after="120" w:line="240" w:lineRule="auto"/>
        <w:jc w:val="both"/>
        <w:rPr>
          <w:rFonts w:ascii="Times New Roman" w:hAnsi="Times New Roman"/>
          <w:noProof/>
        </w:rPr>
      </w:pPr>
      <w:r>
        <w:rPr>
          <w:rFonts w:ascii="Times New Roman" w:hAnsi="Times New Roman"/>
          <w:noProof/>
        </w:rPr>
        <w:t xml:space="preserve">L’objectif de la mesure est d’encourager  le </w:t>
      </w:r>
      <w:r>
        <w:rPr>
          <w:rFonts w:ascii="Times New Roman" w:hAnsi="Times New Roman" w:cs="Times New Roman"/>
          <w:noProof/>
          <w:szCs w:val="24"/>
        </w:rPr>
        <w:t>déploiement</w:t>
      </w:r>
      <w:r>
        <w:rPr>
          <w:rFonts w:ascii="Times New Roman" w:hAnsi="Times New Roman"/>
          <w:noProof/>
        </w:rPr>
        <w:t xml:space="preserve"> de capacités supplémentaires de production d’énergie éolienne terrestre en Hongrie.</w:t>
      </w:r>
    </w:p>
    <w:p w14:paraId="22301FC5" w14:textId="77777777" w:rsidR="0023462A" w:rsidRDefault="00A550FA">
      <w:pPr>
        <w:pStyle w:val="P68B1DB1-Normal54"/>
        <w:spacing w:after="120" w:line="240" w:lineRule="auto"/>
        <w:jc w:val="both"/>
        <w:rPr>
          <w:noProof/>
        </w:rPr>
      </w:pPr>
      <w:r>
        <w:rPr>
          <w:noProof/>
        </w:rPr>
        <w:t>La mesure consiste à simplifier les règles relatives à l’installation d’une capacité de production d’énergie éolienne terrestre.</w:t>
      </w:r>
    </w:p>
    <w:p w14:paraId="2B3F9C90" w14:textId="77777777" w:rsidR="0023462A" w:rsidRDefault="00A550FA">
      <w:pPr>
        <w:pStyle w:val="P68B1DB1-Heading411"/>
        <w:spacing w:before="0" w:after="120" w:line="240" w:lineRule="auto"/>
        <w:rPr>
          <w:rFonts w:eastAsiaTheme="minorHAnsi"/>
          <w:noProof/>
        </w:rPr>
      </w:pPr>
      <w:r>
        <w:rPr>
          <w:noProof/>
        </w:rPr>
        <w:t xml:space="preserve">C6.R3 : Accélérer le raccordement des projets d'énergies renouvelables au réseau </w:t>
      </w:r>
    </w:p>
    <w:p w14:paraId="42660B8A" w14:textId="77777777" w:rsidR="0023462A" w:rsidRDefault="00A550FA">
      <w:pPr>
        <w:pStyle w:val="P68B1DB1-Normal34"/>
        <w:spacing w:after="120" w:line="240" w:lineRule="auto"/>
        <w:jc w:val="both"/>
        <w:rPr>
          <w:noProof/>
        </w:rPr>
      </w:pPr>
      <w:r>
        <w:rPr>
          <w:noProof/>
        </w:rPr>
        <w:t>L'objectif de cette mesure est d'accélérer le raccordement des projets d'énergie renouvelable au réseau.</w:t>
      </w:r>
    </w:p>
    <w:p w14:paraId="5FD5950F" w14:textId="77777777" w:rsidR="0023462A" w:rsidRDefault="00A550FA">
      <w:pPr>
        <w:pStyle w:val="P68B1DB1-Normal12"/>
        <w:spacing w:after="120" w:line="240" w:lineRule="auto"/>
        <w:jc w:val="both"/>
        <w:rPr>
          <w:rFonts w:ascii="Times New Roman" w:hAnsi="Times New Roman" w:cs="Times New Roman"/>
          <w:noProof/>
          <w:szCs w:val="24"/>
        </w:rPr>
      </w:pPr>
      <w:r>
        <w:rPr>
          <w:rFonts w:ascii="Times New Roman" w:hAnsi="Times New Roman" w:cs="Times New Roman"/>
          <w:noProof/>
          <w:szCs w:val="24"/>
        </w:rPr>
        <w:t>La mesure consiste en une simplification des procédures de raccordement au réseau</w:t>
      </w:r>
      <w:r>
        <w:rPr>
          <w:rFonts w:ascii="Times New Roman" w:hAnsi="Times New Roman"/>
          <w:noProof/>
        </w:rPr>
        <w:t xml:space="preserve"> pour les </w:t>
      </w:r>
      <w:r>
        <w:rPr>
          <w:rFonts w:ascii="Times New Roman" w:hAnsi="Times New Roman" w:cs="Times New Roman"/>
          <w:noProof/>
          <w:szCs w:val="24"/>
        </w:rPr>
        <w:t>installations d’énergie renouvelable.</w:t>
      </w:r>
    </w:p>
    <w:p w14:paraId="1FC437D1" w14:textId="77777777" w:rsidR="0023462A" w:rsidRDefault="00A550FA">
      <w:pPr>
        <w:pStyle w:val="P68B1DB1-Heading411"/>
        <w:spacing w:before="0" w:after="120" w:line="240" w:lineRule="auto"/>
        <w:rPr>
          <w:noProof/>
        </w:rPr>
      </w:pPr>
      <w:r>
        <w:rPr>
          <w:noProof/>
        </w:rPr>
        <w:t>C6.R4 : Établir des normes minimales en matière d'efficacité énergétique</w:t>
      </w:r>
    </w:p>
    <w:p w14:paraId="459E1ED3" w14:textId="77777777" w:rsidR="0023462A" w:rsidRDefault="00A550FA">
      <w:pPr>
        <w:pStyle w:val="P68B1DB1-Normal6"/>
        <w:spacing w:after="120" w:line="240" w:lineRule="auto"/>
        <w:jc w:val="both"/>
        <w:rPr>
          <w:rFonts w:eastAsiaTheme="minorHAnsi"/>
          <w:noProof/>
        </w:rPr>
      </w:pPr>
      <w:r>
        <w:rPr>
          <w:noProof/>
        </w:rPr>
        <w:t xml:space="preserve">L’objectif de la mesure est d’améliorer l’efficacité énergétique des bâtiments en Hongrie. </w:t>
      </w:r>
    </w:p>
    <w:p w14:paraId="6173EBE5" w14:textId="2CE97238" w:rsidR="0023462A" w:rsidRDefault="00A550FA">
      <w:pPr>
        <w:pStyle w:val="P68B1DB1-Normal36"/>
        <w:spacing w:after="120" w:line="240" w:lineRule="auto"/>
        <w:jc w:val="both"/>
        <w:rPr>
          <w:noProof/>
        </w:rPr>
      </w:pPr>
      <w:r>
        <w:rPr>
          <w:noProof/>
        </w:rPr>
        <w:t>La mesure consiste à introduire des normes minimales d’efficacité énergétique pour les régimes d’aide à la rénovation des bâtiments (co) financés par des fonds de l’UE.</w:t>
      </w:r>
    </w:p>
    <w:p w14:paraId="58B3D85A" w14:textId="16F1C33B" w:rsidR="0023462A" w:rsidRDefault="00A550FA">
      <w:pPr>
        <w:pStyle w:val="P68B1DB1-Heading411"/>
        <w:spacing w:before="0" w:after="120" w:line="240" w:lineRule="auto"/>
        <w:rPr>
          <w:noProof/>
        </w:rPr>
      </w:pPr>
      <w:r>
        <w:rPr>
          <w:noProof/>
        </w:rPr>
        <w:t xml:space="preserve">C6.I1 : Développement de réseaux classiques et intelligents pour le gestionnaire de réseau de transport et les gestionnaires de réseau de distribution </w:t>
      </w:r>
    </w:p>
    <w:p w14:paraId="067FE7F0" w14:textId="77777777" w:rsidR="0023462A" w:rsidRDefault="00A550FA">
      <w:pPr>
        <w:pStyle w:val="P68B1DB1-Normal36"/>
        <w:spacing w:after="120" w:line="240" w:lineRule="auto"/>
        <w:jc w:val="both"/>
        <w:rPr>
          <w:noProof/>
        </w:rPr>
      </w:pPr>
      <w:r>
        <w:rPr>
          <w:noProof/>
        </w:rPr>
        <w:t xml:space="preserve">L’objectif de la mesure est de répondre à l’augmentation attendue de la demande d’intégration de capacités supplémentaires dans le réseau. </w:t>
      </w:r>
    </w:p>
    <w:p w14:paraId="73F1A399" w14:textId="77777777" w:rsidR="0023462A" w:rsidRDefault="00A550FA">
      <w:pPr>
        <w:pStyle w:val="P68B1DB1-Normal6"/>
        <w:spacing w:after="120" w:line="240" w:lineRule="auto"/>
        <w:jc w:val="both"/>
        <w:rPr>
          <w:rFonts w:cs="Times New Roman"/>
          <w:b/>
          <w:noProof/>
          <w:szCs w:val="24"/>
        </w:rPr>
      </w:pPr>
      <w:r>
        <w:rPr>
          <w:noProof/>
        </w:rPr>
        <w:t>La mesure consiste en la construction et la modernisation de réseaux de transport et de distribution.</w:t>
      </w:r>
    </w:p>
    <w:p w14:paraId="181E1461" w14:textId="77777777" w:rsidR="0023462A" w:rsidRDefault="00A550FA">
      <w:pPr>
        <w:pStyle w:val="P68B1DB1-Heading411"/>
        <w:spacing w:before="0" w:after="120" w:line="240" w:lineRule="auto"/>
        <w:rPr>
          <w:rFonts w:eastAsiaTheme="minorHAnsi"/>
          <w:noProof/>
        </w:rPr>
      </w:pPr>
      <w:r>
        <w:rPr>
          <w:noProof/>
        </w:rPr>
        <w:t>C6.I2 : Soutien à l'utilisation de panneaux solaires résidentiels et à la modernisation du chauffage</w:t>
      </w:r>
    </w:p>
    <w:p w14:paraId="55008103" w14:textId="77777777" w:rsidR="0023462A" w:rsidRDefault="00A550FA">
      <w:pPr>
        <w:pStyle w:val="P68B1DB1-Normal12"/>
        <w:spacing w:after="120" w:line="240" w:lineRule="auto"/>
        <w:jc w:val="both"/>
        <w:rPr>
          <w:rFonts w:ascii="Times New Roman" w:eastAsiaTheme="minorHAnsi" w:hAnsi="Times New Roman"/>
          <w:noProof/>
        </w:rPr>
      </w:pPr>
      <w:r>
        <w:rPr>
          <w:rFonts w:ascii="Times New Roman" w:hAnsi="Times New Roman"/>
          <w:noProof/>
        </w:rPr>
        <w:t xml:space="preserve">L’objectif de la mesure est le renforcement des capacités résidentielles de production d’énergie renouvelable, l’augmentation de l’efficacité énergétique </w:t>
      </w:r>
      <w:r>
        <w:rPr>
          <w:rFonts w:ascii="Times New Roman" w:hAnsi="Times New Roman" w:cs="Times New Roman"/>
          <w:noProof/>
          <w:szCs w:val="24"/>
        </w:rPr>
        <w:t xml:space="preserve">ainsi que la réduction de la pollution atmosphérique résultant de solutions de chauffage obsolètes. </w:t>
      </w:r>
    </w:p>
    <w:p w14:paraId="0F623DA3" w14:textId="77777777" w:rsidR="0023462A" w:rsidRDefault="00A550FA">
      <w:pPr>
        <w:pStyle w:val="P68B1DB1-Normal12"/>
        <w:spacing w:after="120" w:line="240" w:lineRule="auto"/>
        <w:jc w:val="both"/>
        <w:rPr>
          <w:rFonts w:ascii="Times New Roman" w:eastAsiaTheme="minorHAnsi" w:hAnsi="Times New Roman"/>
          <w:noProof/>
        </w:rPr>
      </w:pPr>
      <w:r>
        <w:rPr>
          <w:rFonts w:ascii="Times New Roman" w:hAnsi="Times New Roman"/>
          <w:noProof/>
        </w:rPr>
        <w:t xml:space="preserve">La mesure </w:t>
      </w:r>
      <w:r>
        <w:rPr>
          <w:rFonts w:ascii="Times New Roman" w:hAnsi="Times New Roman" w:cs="Times New Roman"/>
          <w:noProof/>
          <w:szCs w:val="24"/>
        </w:rPr>
        <w:t>consiste à: i)</w:t>
      </w:r>
      <w:r>
        <w:rPr>
          <w:rFonts w:ascii="Times New Roman" w:hAnsi="Times New Roman"/>
          <w:noProof/>
        </w:rPr>
        <w:t xml:space="preserve"> l’installation de systèmes de panneaux solaires </w:t>
      </w:r>
      <w:r>
        <w:rPr>
          <w:rFonts w:ascii="Times New Roman" w:hAnsi="Times New Roman" w:cs="Times New Roman"/>
          <w:noProof/>
          <w:szCs w:val="24"/>
        </w:rPr>
        <w:t>résidentiels;  et ii)</w:t>
      </w:r>
      <w:r>
        <w:rPr>
          <w:rFonts w:ascii="Times New Roman" w:hAnsi="Times New Roman"/>
          <w:noProof/>
        </w:rPr>
        <w:t xml:space="preserve"> l’installation de systèmes de panneaux solaires </w:t>
      </w:r>
      <w:r>
        <w:rPr>
          <w:rFonts w:ascii="Times New Roman" w:hAnsi="Times New Roman" w:cs="Times New Roman"/>
          <w:noProof/>
          <w:szCs w:val="24"/>
        </w:rPr>
        <w:t xml:space="preserve">résidentiels </w:t>
      </w:r>
      <w:r>
        <w:rPr>
          <w:rFonts w:ascii="Times New Roman" w:hAnsi="Times New Roman"/>
          <w:noProof/>
        </w:rPr>
        <w:t xml:space="preserve">combinés à </w:t>
      </w:r>
      <w:r>
        <w:rPr>
          <w:rFonts w:ascii="Times New Roman" w:hAnsi="Times New Roman" w:cs="Times New Roman"/>
          <w:noProof/>
          <w:szCs w:val="24"/>
        </w:rPr>
        <w:t xml:space="preserve">une ou plusieurs des </w:t>
      </w:r>
      <w:r>
        <w:rPr>
          <w:rFonts w:ascii="Times New Roman" w:hAnsi="Times New Roman"/>
          <w:noProof/>
        </w:rPr>
        <w:t xml:space="preserve">mesures </w:t>
      </w:r>
      <w:r>
        <w:rPr>
          <w:rFonts w:ascii="Times New Roman" w:hAnsi="Times New Roman" w:cs="Times New Roman"/>
          <w:noProof/>
          <w:szCs w:val="24"/>
        </w:rPr>
        <w:t xml:space="preserve">suivantes: </w:t>
      </w:r>
      <w:r>
        <w:rPr>
          <w:rFonts w:ascii="Times New Roman" w:hAnsi="Times New Roman"/>
          <w:noProof/>
        </w:rPr>
        <w:t>remplacement des fenêtres</w:t>
      </w:r>
      <w:r>
        <w:rPr>
          <w:rFonts w:ascii="Times New Roman" w:hAnsi="Times New Roman" w:cs="Times New Roman"/>
          <w:noProof/>
          <w:szCs w:val="24"/>
        </w:rPr>
        <w:t xml:space="preserve"> et/ou des portes, installation</w:t>
      </w:r>
      <w:r>
        <w:rPr>
          <w:rFonts w:ascii="Times New Roman" w:hAnsi="Times New Roman"/>
          <w:noProof/>
        </w:rPr>
        <w:t xml:space="preserve"> de la capacité de stockage et installation du chauffage électrique.</w:t>
      </w:r>
    </w:p>
    <w:p w14:paraId="46E35F1F" w14:textId="72AE3591" w:rsidR="0023462A" w:rsidRDefault="00A550FA">
      <w:pPr>
        <w:pStyle w:val="P68B1DB1-Heading411"/>
        <w:spacing w:before="0" w:after="120" w:line="240" w:lineRule="auto"/>
        <w:rPr>
          <w:noProof/>
        </w:rPr>
      </w:pPr>
      <w:r>
        <w:rPr>
          <w:noProof/>
        </w:rPr>
        <w:t xml:space="preserve">C6.I3 : Installation d’installations de stockage d’énergie sur le réseau pour les acteurs du marché </w:t>
      </w:r>
    </w:p>
    <w:p w14:paraId="1BC4F7FD" w14:textId="77777777" w:rsidR="0023462A" w:rsidRDefault="00A550FA">
      <w:pPr>
        <w:pStyle w:val="P68B1DB1-P68B1DB1-Norml555"/>
        <w:spacing w:after="120" w:line="240" w:lineRule="auto"/>
        <w:jc w:val="both"/>
        <w:rPr>
          <w:rFonts w:ascii="Times New Roman" w:hAnsi="Times New Roman"/>
          <w:noProof/>
        </w:rPr>
      </w:pPr>
      <w:r>
        <w:rPr>
          <w:rFonts w:ascii="Times New Roman" w:hAnsi="Times New Roman"/>
          <w:noProof/>
        </w:rPr>
        <w:t xml:space="preserve">L’objectif de cette mesure est de permettre aux </w:t>
      </w:r>
      <w:r>
        <w:rPr>
          <w:rFonts w:ascii="Times New Roman" w:hAnsi="Times New Roman" w:cs="Times New Roman"/>
          <w:noProof/>
          <w:szCs w:val="24"/>
        </w:rPr>
        <w:t>acteurs du marché sur les marchés d’équilibrage</w:t>
      </w:r>
      <w:r>
        <w:rPr>
          <w:rFonts w:ascii="Times New Roman" w:hAnsi="Times New Roman"/>
          <w:noProof/>
        </w:rPr>
        <w:t xml:space="preserve"> d’accéder à </w:t>
      </w:r>
      <w:r>
        <w:rPr>
          <w:rFonts w:ascii="Times New Roman" w:hAnsi="Times New Roman" w:cs="Times New Roman"/>
          <w:noProof/>
          <w:szCs w:val="24"/>
        </w:rPr>
        <w:t>des services de flexibilité à émissions nulles.</w:t>
      </w:r>
      <w:r>
        <w:rPr>
          <w:rFonts w:ascii="Times New Roman" w:hAnsi="Times New Roman"/>
          <w:noProof/>
        </w:rPr>
        <w:t xml:space="preserve"> </w:t>
      </w:r>
    </w:p>
    <w:p w14:paraId="6E6A6293" w14:textId="12CF9E98" w:rsidR="0023462A" w:rsidRDefault="00A550FA">
      <w:pPr>
        <w:pStyle w:val="P68B1DB1-P68B1DB1-Norml556"/>
        <w:spacing w:after="120" w:line="240" w:lineRule="auto"/>
        <w:jc w:val="both"/>
        <w:rPr>
          <w:rFonts w:cs="Times New Roman"/>
          <w:noProof/>
        </w:rPr>
      </w:pPr>
      <w:r>
        <w:rPr>
          <w:noProof/>
        </w:rPr>
        <w:t xml:space="preserve">Cette mesure consiste en l'installation d'installations de stockage d'énergie. </w:t>
      </w:r>
    </w:p>
    <w:p w14:paraId="02548E0D" w14:textId="4EC715B6" w:rsidR="0023462A" w:rsidRDefault="00A550FA">
      <w:pPr>
        <w:pStyle w:val="P68B1DB1-Heading411"/>
        <w:spacing w:before="0" w:after="120" w:line="240" w:lineRule="auto"/>
        <w:rPr>
          <w:rFonts w:eastAsiaTheme="minorHAnsi"/>
          <w:noProof/>
        </w:rPr>
      </w:pPr>
      <w:r>
        <w:rPr>
          <w:noProof/>
        </w:rPr>
        <w:t>C6.I4 : Diffusion des compteurs intelligents</w:t>
      </w:r>
    </w:p>
    <w:p w14:paraId="00DA4AE3" w14:textId="77777777" w:rsidR="0023462A" w:rsidRDefault="00A550FA">
      <w:pPr>
        <w:pStyle w:val="P68B1DB1-Normal6"/>
        <w:spacing w:after="120" w:line="240" w:lineRule="auto"/>
        <w:jc w:val="both"/>
        <w:rPr>
          <w:rFonts w:eastAsiaTheme="minorHAnsi"/>
          <w:noProof/>
        </w:rPr>
      </w:pPr>
      <w:r>
        <w:rPr>
          <w:noProof/>
        </w:rPr>
        <w:t xml:space="preserve">L’objectif de la mesure est de soutenir l’achat et l’installation de compteurs intelligents. </w:t>
      </w:r>
    </w:p>
    <w:p w14:paraId="5177A8DA" w14:textId="5953A563" w:rsidR="0023462A" w:rsidRDefault="00A550FA">
      <w:pPr>
        <w:pStyle w:val="P68B1DB1-Normal34"/>
        <w:spacing w:after="120" w:line="240" w:lineRule="auto"/>
        <w:jc w:val="both"/>
        <w:rPr>
          <w:rFonts w:eastAsia="Calibri"/>
          <w:noProof/>
        </w:rPr>
      </w:pPr>
      <w:r>
        <w:rPr>
          <w:noProof/>
        </w:rPr>
        <w:t xml:space="preserve">Cette mesure consiste à subventionner les gestionnaires de réseau de distribution pour l’installation de compteurs intelligents. </w:t>
      </w:r>
    </w:p>
    <w:p w14:paraId="7695A17B" w14:textId="4698D21D" w:rsidR="0023462A" w:rsidRDefault="00A550FA">
      <w:pPr>
        <w:pStyle w:val="P68B1DB1-Heading411"/>
        <w:spacing w:before="0" w:after="120" w:line="240" w:lineRule="auto"/>
        <w:rPr>
          <w:rFonts w:eastAsia="Times New Roman"/>
          <w:noProof/>
        </w:rPr>
      </w:pPr>
      <w:r>
        <w:rPr>
          <w:noProof/>
        </w:rPr>
        <w:t>C6.I5 : Investissements dans l'efficacité énergétique des bâtiments publics</w:t>
      </w:r>
    </w:p>
    <w:p w14:paraId="6560E72A" w14:textId="1A5CDBD2" w:rsidR="0023462A" w:rsidRDefault="00A550FA">
      <w:pPr>
        <w:pStyle w:val="P68B1DB1-Normal6"/>
        <w:spacing w:after="120" w:line="240" w:lineRule="auto"/>
        <w:jc w:val="both"/>
        <w:rPr>
          <w:noProof/>
        </w:rPr>
      </w:pPr>
      <w:r>
        <w:rPr>
          <w:noProof/>
        </w:rPr>
        <w:t xml:space="preserve">L’objectif de la mesure est d’améliorer la performance énergétique des bâtiments publics. </w:t>
      </w:r>
    </w:p>
    <w:p w14:paraId="04725475" w14:textId="36302D44" w:rsidR="0023462A" w:rsidRDefault="00A550FA">
      <w:pPr>
        <w:pStyle w:val="P68B1DB1-Normal12"/>
        <w:spacing w:after="120" w:line="240" w:lineRule="auto"/>
        <w:jc w:val="both"/>
        <w:rPr>
          <w:rFonts w:ascii="Times New Roman" w:eastAsia="Times New Roman" w:hAnsi="Times New Roman" w:cs="Times New Roman"/>
          <w:noProof/>
          <w:szCs w:val="24"/>
          <w:u w:val="single"/>
        </w:rPr>
      </w:pPr>
      <w:r>
        <w:rPr>
          <w:rFonts w:ascii="Times New Roman" w:hAnsi="Times New Roman"/>
          <w:noProof/>
        </w:rPr>
        <w:t>Cet investissement consiste en des rénovations visant à améliorer l’efficacité énergétique des bâtiments publics.</w:t>
      </w:r>
    </w:p>
    <w:p w14:paraId="2CB0E226" w14:textId="4ED1752E" w:rsidR="0023462A" w:rsidRDefault="00A550FA">
      <w:pPr>
        <w:pStyle w:val="P68B1DB1-Heading411"/>
        <w:spacing w:before="0" w:after="120" w:line="240" w:lineRule="auto"/>
        <w:rPr>
          <w:noProof/>
        </w:rPr>
      </w:pPr>
      <w:r>
        <w:rPr>
          <w:noProof/>
        </w:rPr>
        <w:t xml:space="preserve">C6.I6. Régime de subventions pour le développement du réseau électrique </w:t>
      </w:r>
    </w:p>
    <w:p w14:paraId="18E08893" w14:textId="77777777" w:rsidR="0023462A" w:rsidRDefault="00A550FA">
      <w:pPr>
        <w:pStyle w:val="P68B1DB1-Normal34"/>
        <w:spacing w:after="120" w:line="240" w:lineRule="auto"/>
        <w:jc w:val="both"/>
        <w:rPr>
          <w:noProof/>
        </w:rPr>
      </w:pPr>
      <w:r>
        <w:rPr>
          <w:noProof/>
        </w:rPr>
        <w:t xml:space="preserve">Cette mesure consiste en un investissement public dans un programme de subventions, afin d'encourager l'investissement privé et d'améliorer l'accès au financement dans le secteur énergétique hongrois. Le régime fonctionne en octroyant des subventions directement au secteur privé ainsi qu'aux entités du secteur public exerçant des activités similaires. </w:t>
      </w:r>
    </w:p>
    <w:p w14:paraId="78E42ECA" w14:textId="77777777" w:rsidR="0023462A" w:rsidRDefault="00A550FA">
      <w:pPr>
        <w:pStyle w:val="P68B1DB1-Normal34"/>
        <w:spacing w:after="120" w:line="240" w:lineRule="auto"/>
        <w:jc w:val="both"/>
        <w:rPr>
          <w:noProof/>
        </w:rPr>
      </w:pPr>
      <w:r>
        <w:rPr>
          <w:noProof/>
        </w:rPr>
        <w:t>Le régime est géré par la Banque hongroise de développement (Magyar</w:t>
      </w:r>
      <w:r>
        <w:rPr>
          <w:i/>
          <w:noProof/>
        </w:rPr>
        <w:t xml:space="preserve"> Fejlesztési Bank Zrt.</w:t>
      </w:r>
      <w:r>
        <w:rPr>
          <w:noProof/>
        </w:rPr>
        <w:t xml:space="preserve"> – MFB) en tant que partenaire chargé de la mise en œuvre. Le régime comprend la gamme de produits suivante: </w:t>
      </w:r>
    </w:p>
    <w:p w14:paraId="64E3EED8" w14:textId="77777777" w:rsidR="0023462A" w:rsidRDefault="00A550FA">
      <w:pPr>
        <w:pStyle w:val="P68B1DB1-ListParagraph35"/>
        <w:numPr>
          <w:ilvl w:val="0"/>
          <w:numId w:val="130"/>
        </w:numPr>
        <w:spacing w:after="120" w:line="240" w:lineRule="auto"/>
        <w:contextualSpacing w:val="0"/>
        <w:jc w:val="both"/>
        <w:rPr>
          <w:noProof/>
        </w:rPr>
      </w:pPr>
      <w:r>
        <w:rPr>
          <w:noProof/>
        </w:rPr>
        <w:t>Subventions pour des investissements dans le développement du réseau de distribution et de transport, y compris, mais sans s'y limiter, des câbles, des compteurs intelligents, des transformateurs et d'autres infrastructures de réseau.</w:t>
      </w:r>
    </w:p>
    <w:p w14:paraId="174ED13A" w14:textId="77777777" w:rsidR="0023462A" w:rsidRDefault="00A550FA">
      <w:pPr>
        <w:pStyle w:val="P68B1DB1-Normal34"/>
        <w:spacing w:after="120" w:line="240" w:lineRule="auto"/>
        <w:jc w:val="both"/>
        <w:rPr>
          <w:noProof/>
        </w:rPr>
      </w:pPr>
      <w:r>
        <w:rPr>
          <w:noProof/>
        </w:rPr>
        <w:t>Afin de mettre en œuvre l’investissement dans le régime, la Hongrie et la Banque hongroise de développement signent un accord de mise en œuvre qui comprend les éléments suivants:</w:t>
      </w:r>
    </w:p>
    <w:p w14:paraId="45BD621B" w14:textId="77777777" w:rsidR="0023462A" w:rsidRDefault="00A550FA">
      <w:pPr>
        <w:pStyle w:val="P68B1DB1-LegalNumPar57"/>
        <w:numPr>
          <w:ilvl w:val="0"/>
          <w:numId w:val="111"/>
        </w:numPr>
        <w:spacing w:after="120" w:line="240" w:lineRule="auto"/>
        <w:jc w:val="both"/>
        <w:rPr>
          <w:rFonts w:eastAsia="Times New Roman"/>
          <w:noProof/>
        </w:rPr>
      </w:pPr>
      <w:r>
        <w:rPr>
          <w:noProof/>
        </w:rPr>
        <w:t>Description du processus décisionnel du régime: La décision finale d'attribution du régime est prise par un comité d'investissement ou un autre organe directeur équivalent compétent et approuvée à la majorité des voix des membres indépendants du gouvernement.</w:t>
      </w:r>
    </w:p>
    <w:p w14:paraId="0D697CF4" w14:textId="77777777" w:rsidR="0023462A" w:rsidRDefault="00A550FA">
      <w:pPr>
        <w:pStyle w:val="P68B1DB1-LegalNumPar57"/>
        <w:numPr>
          <w:ilvl w:val="0"/>
          <w:numId w:val="111"/>
        </w:numPr>
        <w:spacing w:after="120" w:line="240" w:lineRule="auto"/>
        <w:jc w:val="both"/>
        <w:rPr>
          <w:noProof/>
        </w:rPr>
      </w:pPr>
      <w:r>
        <w:rPr>
          <w:noProof/>
        </w:rPr>
        <w:t>Les principales exigences de la politique de subvention associée,</w:t>
      </w:r>
      <w:r>
        <w:rPr>
          <w:b/>
          <w:noProof/>
        </w:rPr>
        <w:t xml:space="preserve"> </w:t>
      </w:r>
      <w:r>
        <w:rPr>
          <w:noProof/>
        </w:rPr>
        <w:t>qui comprennent:</w:t>
      </w:r>
    </w:p>
    <w:p w14:paraId="22EB59A2" w14:textId="77777777" w:rsidR="0023462A" w:rsidRDefault="00A550FA">
      <w:pPr>
        <w:pStyle w:val="LegalNumPar2"/>
        <w:numPr>
          <w:ilvl w:val="1"/>
          <w:numId w:val="111"/>
        </w:num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Description des subventions octroyées et des bénéficiaires finaux éligibles.</w:t>
      </w:r>
      <w:r>
        <w:rPr>
          <w:rStyle w:val="FootnoteReference"/>
          <w:rFonts w:ascii="Times New Roman" w:hAnsi="Times New Roman" w:cs="Times New Roman"/>
          <w:noProof/>
          <w:sz w:val="24"/>
          <w:szCs w:val="24"/>
        </w:rPr>
        <w:footnoteReference w:id="6"/>
      </w:r>
      <w:r>
        <w:rPr>
          <w:rFonts w:ascii="Times New Roman" w:hAnsi="Times New Roman" w:cs="Times New Roman"/>
          <w:noProof/>
          <w:sz w:val="24"/>
          <w:szCs w:val="24"/>
        </w:rPr>
        <w:t xml:space="preserve"> </w:t>
      </w:r>
    </w:p>
    <w:p w14:paraId="39DA7026" w14:textId="77777777" w:rsidR="0023462A" w:rsidRDefault="00A550FA">
      <w:pPr>
        <w:pStyle w:val="P68B1DB1-LegalNumPar258"/>
        <w:numPr>
          <w:ilvl w:val="1"/>
          <w:numId w:val="111"/>
        </w:numPr>
        <w:spacing w:after="120" w:line="240" w:lineRule="auto"/>
        <w:jc w:val="both"/>
        <w:rPr>
          <w:noProof/>
        </w:rPr>
      </w:pPr>
      <w:r>
        <w:rPr>
          <w:noProof/>
        </w:rPr>
        <w:t>L’exigence selon laquelle tous les investissements soutenus sont économiquement viables</w:t>
      </w:r>
      <w:r>
        <w:rPr>
          <w:b/>
          <w:noProof/>
        </w:rPr>
        <w:t>.</w:t>
      </w:r>
    </w:p>
    <w:p w14:paraId="0C0D228C" w14:textId="77777777" w:rsidR="0023462A" w:rsidRDefault="00A550FA">
      <w:pPr>
        <w:pStyle w:val="LegalNumPar2"/>
        <w:numPr>
          <w:ilvl w:val="1"/>
          <w:numId w:val="111"/>
        </w:num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L’obligation de respecter le principe consistant à «ne pas causer de préjudice important» (DNSH) tel qu’énoncé dans les orientations techniques DNSH (2021/C58/01). En particulier, la politique de subvention exclut de l’éligibilité la liste suivante d’activités et d’actifs: (i) les activités et les actifs liés aux combustibles fossiles, y compris l’utilisation en aval</w:t>
      </w:r>
      <w:r>
        <w:rPr>
          <w:rStyle w:val="FootnoteReference"/>
          <w:rFonts w:ascii="Times New Roman" w:hAnsi="Times New Roman" w:cs="Times New Roman"/>
          <w:noProof/>
          <w:sz w:val="24"/>
          <w:szCs w:val="24"/>
        </w:rPr>
        <w:footnoteReference w:id="7"/>
      </w:r>
      <w:r>
        <w:rPr>
          <w:rFonts w:ascii="Times New Roman" w:hAnsi="Times New Roman" w:cs="Times New Roman"/>
          <w:noProof/>
          <w:sz w:val="24"/>
          <w:szCs w:val="24"/>
        </w:rPr>
        <w:t>, (ii) les activités et les actifs relevant du système d’échange de quotas d’émission de l’UE (SEQE) permettant d’atteindre des émissions de gaz à effet de serre prévues qui ne sont pas inférieures aux référentiels pertinents</w:t>
      </w:r>
      <w:r>
        <w:rPr>
          <w:rStyle w:val="FootnoteReference"/>
          <w:rFonts w:ascii="Times New Roman" w:hAnsi="Times New Roman" w:cs="Times New Roman"/>
          <w:noProof/>
          <w:sz w:val="24"/>
          <w:szCs w:val="24"/>
        </w:rPr>
        <w:footnoteReference w:id="8"/>
      </w:r>
      <w:r>
        <w:rPr>
          <w:rFonts w:ascii="Times New Roman" w:hAnsi="Times New Roman" w:cs="Times New Roman"/>
          <w:noProof/>
          <w:sz w:val="24"/>
          <w:szCs w:val="24"/>
        </w:rPr>
        <w:t>, (iii) les activités et les actifs liés aux décharges de déchets, aux incinérateurs</w:t>
      </w:r>
      <w:r>
        <w:rPr>
          <w:rStyle w:val="FootnoteReference"/>
          <w:rFonts w:ascii="Times New Roman" w:hAnsi="Times New Roman" w:cs="Times New Roman"/>
          <w:b w:val="0"/>
          <w:noProof/>
          <w:sz w:val="24"/>
          <w:szCs w:val="24"/>
        </w:rPr>
        <w:footnoteReference w:id="9"/>
      </w:r>
      <w:r>
        <w:rPr>
          <w:rFonts w:ascii="Times New Roman" w:hAnsi="Times New Roman" w:cs="Times New Roman"/>
          <w:b/>
          <w:noProof/>
          <w:sz w:val="24"/>
          <w:szCs w:val="24"/>
        </w:rPr>
        <w:t xml:space="preserve"> </w:t>
      </w:r>
      <w:r>
        <w:rPr>
          <w:rFonts w:ascii="Times New Roman" w:hAnsi="Times New Roman" w:cs="Times New Roman"/>
          <w:noProof/>
          <w:sz w:val="24"/>
          <w:szCs w:val="24"/>
        </w:rPr>
        <w:t>et aux usines de traitement biologique mécanique</w:t>
      </w:r>
      <w:r>
        <w:rPr>
          <w:rStyle w:val="FootnoteReference"/>
          <w:rFonts w:ascii="Times New Roman" w:hAnsi="Times New Roman" w:cs="Times New Roman"/>
          <w:b w:val="0"/>
          <w:noProof/>
          <w:sz w:val="24"/>
          <w:szCs w:val="24"/>
        </w:rPr>
        <w:footnoteReference w:id="10"/>
      </w:r>
      <w:r>
        <w:rPr>
          <w:rFonts w:ascii="Times New Roman" w:hAnsi="Times New Roman" w:cs="Times New Roman"/>
          <w:noProof/>
          <w:sz w:val="24"/>
          <w:szCs w:val="24"/>
        </w:rPr>
        <w:t xml:space="preserve">. </w:t>
      </w:r>
    </w:p>
    <w:p w14:paraId="6EF305EF" w14:textId="77777777" w:rsidR="0023462A" w:rsidRDefault="00A550FA">
      <w:pPr>
        <w:pStyle w:val="P68B1DB1-LegalNumPar258"/>
        <w:numPr>
          <w:ilvl w:val="1"/>
          <w:numId w:val="111"/>
        </w:numPr>
        <w:spacing w:after="120" w:line="240" w:lineRule="auto"/>
        <w:jc w:val="both"/>
        <w:rPr>
          <w:bCs/>
          <w:noProof/>
        </w:rPr>
      </w:pPr>
      <w:r>
        <w:rPr>
          <w:noProof/>
        </w:rPr>
        <w:t>L’exigence selon laquelle les bénéficiaires finaux du régime ne reçoivent pas d’aide d’autres instruments de l’Union pour couvrir le même coût.</w:t>
      </w:r>
    </w:p>
    <w:p w14:paraId="7C37A10D" w14:textId="77777777" w:rsidR="0023462A" w:rsidRDefault="00A550FA">
      <w:pPr>
        <w:pStyle w:val="P68B1DB1-LegalNumPar57"/>
        <w:numPr>
          <w:ilvl w:val="0"/>
          <w:numId w:val="111"/>
        </w:numPr>
        <w:spacing w:after="120" w:line="240" w:lineRule="auto"/>
        <w:jc w:val="both"/>
        <w:rPr>
          <w:noProof/>
        </w:rPr>
      </w:pPr>
      <w:r>
        <w:rPr>
          <w:noProof/>
        </w:rPr>
        <w:t>Le montant couvert par l’accord de mise en œuvre, la structure des redevances pour le partenaire chargé de la mise en œuvre et l’obligation d’utiliser tout produit inutilisé du régime, y compris au-delà de 2026, aux mêmes fins stratégiques.</w:t>
      </w:r>
    </w:p>
    <w:p w14:paraId="7D2A5A0B" w14:textId="77777777" w:rsidR="0023462A" w:rsidRDefault="00A550FA">
      <w:pPr>
        <w:pStyle w:val="P68B1DB1-LegalNumPar57"/>
        <w:numPr>
          <w:ilvl w:val="0"/>
          <w:numId w:val="111"/>
        </w:numPr>
        <w:spacing w:after="120" w:line="240" w:lineRule="auto"/>
        <w:jc w:val="both"/>
        <w:rPr>
          <w:noProof/>
        </w:rPr>
      </w:pPr>
      <w:r>
        <w:rPr>
          <w:noProof/>
        </w:rPr>
        <w:t>Exigences en matière de surveillance, d'audit et de contrôle, y compris:</w:t>
      </w:r>
    </w:p>
    <w:p w14:paraId="5CCD4E9B" w14:textId="77777777" w:rsidR="0023462A" w:rsidRDefault="00A550FA">
      <w:pPr>
        <w:pStyle w:val="P68B1DB1-Normal34"/>
        <w:numPr>
          <w:ilvl w:val="0"/>
          <w:numId w:val="129"/>
        </w:numPr>
        <w:spacing w:after="120" w:line="240" w:lineRule="auto"/>
        <w:jc w:val="both"/>
        <w:rPr>
          <w:noProof/>
        </w:rPr>
      </w:pPr>
      <w:r>
        <w:rPr>
          <w:noProof/>
        </w:rPr>
        <w:t>Description du système de suivi du partenaire chargé de la mise en œuvre pour rendre compte des subventions mobilisées.</w:t>
      </w:r>
    </w:p>
    <w:p w14:paraId="4B4D7ED4" w14:textId="77777777" w:rsidR="0023462A" w:rsidRDefault="00A550FA">
      <w:pPr>
        <w:pStyle w:val="P68B1DB1-Normal34"/>
        <w:numPr>
          <w:ilvl w:val="0"/>
          <w:numId w:val="129"/>
        </w:numPr>
        <w:spacing w:after="120" w:line="240" w:lineRule="auto"/>
        <w:jc w:val="both"/>
        <w:rPr>
          <w:noProof/>
        </w:rPr>
      </w:pPr>
      <w:r>
        <w:rPr>
          <w:noProof/>
        </w:rPr>
        <w:t xml:space="preserve">Description des procédures du partenaire chargé de la mise en œuvre qui garantiront la prévention, la détection et la correction de la fraude, de la corruption et des conflits d’intérêts. </w:t>
      </w:r>
    </w:p>
    <w:p w14:paraId="770761C8" w14:textId="77777777" w:rsidR="0023462A" w:rsidRDefault="00A550FA">
      <w:pPr>
        <w:pStyle w:val="P68B1DB1-Normal34"/>
        <w:numPr>
          <w:ilvl w:val="0"/>
          <w:numId w:val="129"/>
        </w:numPr>
        <w:spacing w:after="120" w:line="240" w:lineRule="auto"/>
        <w:jc w:val="both"/>
        <w:rPr>
          <w:noProof/>
        </w:rPr>
      </w:pPr>
      <w:r>
        <w:rPr>
          <w:noProof/>
        </w:rPr>
        <w:t>L’obligation de vérifier l’éligibilité de chaque opération conformément aux exigences énoncées dans l’accord de mise en œuvre avant d’octroyer une subvention à une opération.</w:t>
      </w:r>
    </w:p>
    <w:p w14:paraId="145FA8FF" w14:textId="6B619D95" w:rsidR="0023462A" w:rsidRDefault="00A550FA">
      <w:pPr>
        <w:pStyle w:val="P68B1DB1-Normal34"/>
        <w:numPr>
          <w:ilvl w:val="0"/>
          <w:numId w:val="129"/>
        </w:numPr>
        <w:spacing w:after="120" w:line="240" w:lineRule="auto"/>
        <w:jc w:val="both"/>
        <w:rPr>
          <w:noProof/>
        </w:rPr>
      </w:pPr>
      <w:r>
        <w:rPr>
          <w:noProof/>
        </w:rPr>
        <w:t xml:space="preserve">L’obligation de réaliser des audits ex post fondés sur les risques conformément à un plan d’audit de la Banque hongroise de développement. Ces audits vérifient i) l’efficacité des systèmes de contrôle, y compris la détection de la fraude, de la corruption et des conflits d’intérêts; ii) le respect du principe consistant à «ne pas causer de préjudice important», des règles en matière d’aides d’État, des exigences en matière de climat et d’objectifs numériques; et iii) que l’exigence selon laquelle les bénéficiaires finaux du régime n’ont pas reçu d’aide d’autres instruments de l’Union pour couvrir les mêmes coûts soit respectée. Les audits vérifient également la légalité des opérations et le respect des conditions de la convention de mise en œuvre et des conventions de subvention applicables. </w:t>
      </w:r>
    </w:p>
    <w:p w14:paraId="5F2D37B2" w14:textId="3D7BD6D7" w:rsidR="0023462A" w:rsidRDefault="00A550FA">
      <w:pPr>
        <w:pStyle w:val="P68B1DB1-ListParagraph35"/>
        <w:numPr>
          <w:ilvl w:val="0"/>
          <w:numId w:val="129"/>
        </w:numPr>
        <w:spacing w:after="120" w:line="240" w:lineRule="auto"/>
        <w:ind w:left="567"/>
        <w:contextualSpacing w:val="0"/>
        <w:jc w:val="both"/>
        <w:rPr>
          <w:noProof/>
        </w:rPr>
      </w:pPr>
      <w:r>
        <w:rPr>
          <w:noProof/>
        </w:rPr>
        <w:t>Exigences applicables aux investissements climatiques et numériques réalisés par le partenaire chargé de la mise en œuvre: au moins 856 756 163,36 EUR de l’investissement de la FRR dans le régime contribuent aux objectifs en matière de changement climatique conformément à l’annexe VI du règlement FRR et au moins 342 702 465,34 EUR contribuent à la transition numérique conformément à l’annexe VII du règlement FRR.</w:t>
      </w:r>
    </w:p>
    <w:p w14:paraId="60BAABCF" w14:textId="77777777" w:rsidR="0023462A" w:rsidRDefault="0023462A">
      <w:pPr>
        <w:spacing w:after="120" w:line="240" w:lineRule="auto"/>
        <w:jc w:val="both"/>
        <w:rPr>
          <w:rFonts w:ascii="Times New Roman" w:hAnsi="Times New Roman" w:cs="Times New Roman"/>
          <w:noProof/>
          <w:sz w:val="24"/>
          <w:szCs w:val="24"/>
        </w:rPr>
      </w:pPr>
    </w:p>
    <w:p w14:paraId="03481D58" w14:textId="77777777" w:rsidR="0023462A" w:rsidRDefault="0023462A">
      <w:pPr>
        <w:spacing w:after="120" w:line="240" w:lineRule="auto"/>
        <w:jc w:val="both"/>
        <w:rPr>
          <w:rFonts w:ascii="Times New Roman" w:hAnsi="Times New Roman" w:cs="Times New Roman"/>
          <w:b/>
          <w:noProof/>
          <w:color w:val="000000" w:themeColor="text1"/>
          <w:sz w:val="24"/>
          <w:szCs w:val="24"/>
        </w:rPr>
      </w:pPr>
    </w:p>
    <w:p w14:paraId="4D272DBC" w14:textId="752B3081" w:rsidR="0023462A" w:rsidRDefault="0023462A">
      <w:pPr>
        <w:spacing w:after="120" w:line="240" w:lineRule="auto"/>
        <w:rPr>
          <w:rFonts w:ascii="Times New Roman" w:hAnsi="Times New Roman" w:cs="Times New Roman"/>
          <w:noProof/>
          <w:sz w:val="24"/>
          <w:szCs w:val="24"/>
        </w:rPr>
      </w:pPr>
    </w:p>
    <w:p w14:paraId="731267D3" w14:textId="77777777" w:rsidR="0023462A" w:rsidRDefault="0023462A">
      <w:pPr>
        <w:spacing w:after="120" w:line="240" w:lineRule="auto"/>
        <w:jc w:val="both"/>
        <w:rPr>
          <w:rFonts w:ascii="Times New Roman" w:hAnsi="Times New Roman" w:cs="Times New Roman"/>
          <w:b/>
          <w:noProof/>
          <w:sz w:val="24"/>
          <w:szCs w:val="24"/>
        </w:rPr>
        <w:sectPr w:rsidR="0023462A" w:rsidSect="009030B8">
          <w:headerReference w:type="even" r:id="rId82"/>
          <w:headerReference w:type="default" r:id="rId83"/>
          <w:footerReference w:type="even" r:id="rId84"/>
          <w:footerReference w:type="default" r:id="rId85"/>
          <w:headerReference w:type="first" r:id="rId86"/>
          <w:footerReference w:type="first" r:id="rId87"/>
          <w:pgSz w:w="11907" w:h="16839"/>
          <w:pgMar w:top="1134" w:right="1134" w:bottom="1134" w:left="1134" w:header="567" w:footer="567" w:gutter="0"/>
          <w:cols w:space="708"/>
          <w:docGrid w:linePitch="360"/>
        </w:sectPr>
      </w:pPr>
    </w:p>
    <w:p w14:paraId="1149E66A" w14:textId="601B8DD9" w:rsidR="0023462A" w:rsidRDefault="00A550FA">
      <w:pPr>
        <w:pStyle w:val="P68B1DB1-Heading310"/>
        <w:spacing w:before="0" w:after="120"/>
        <w:rPr>
          <w:noProof/>
        </w:rPr>
      </w:pPr>
      <w:r>
        <w:rPr>
          <w:noProof/>
        </w:rPr>
        <w:t>F.2. Étapes, cibles, indicateurs et calendrier pour le suivi et la mise en œuvre du soutien financier non remboursable</w:t>
      </w:r>
    </w:p>
    <w:tbl>
      <w:tblPr>
        <w:tblStyle w:val="GridTable1Light-Accent11"/>
        <w:tblW w:w="15451" w:type="dxa"/>
        <w:tblInd w:w="-572" w:type="dxa"/>
        <w:tblLayout w:type="fixed"/>
        <w:tblLook w:val="06A0" w:firstRow="1" w:lastRow="0" w:firstColumn="1" w:lastColumn="0" w:noHBand="1" w:noVBand="1"/>
      </w:tblPr>
      <w:tblGrid>
        <w:gridCol w:w="963"/>
        <w:gridCol w:w="1418"/>
        <w:gridCol w:w="738"/>
        <w:gridCol w:w="1134"/>
        <w:gridCol w:w="1417"/>
        <w:gridCol w:w="993"/>
        <w:gridCol w:w="1134"/>
        <w:gridCol w:w="1134"/>
        <w:gridCol w:w="992"/>
        <w:gridCol w:w="1105"/>
        <w:gridCol w:w="4423"/>
      </w:tblGrid>
      <w:tr w:rsidR="0023462A" w14:paraId="76563845" w14:textId="77777777" w:rsidTr="009C289F">
        <w:trPr>
          <w:cnfStyle w:val="100000000000" w:firstRow="1" w:lastRow="0" w:firstColumn="0" w:lastColumn="0" w:oddVBand="0" w:evenVBand="0" w:oddHBand="0" w:evenHBand="0" w:firstRowFirstColumn="0" w:firstRowLastColumn="0" w:lastRowFirstColumn="0" w:lastRowLastColumn="0"/>
          <w:trHeight w:val="714"/>
          <w:tblHeader/>
        </w:trPr>
        <w:tc>
          <w:tcPr>
            <w:cnfStyle w:val="001000000000" w:firstRow="0" w:lastRow="0" w:firstColumn="1" w:lastColumn="0" w:oddVBand="0" w:evenVBand="0" w:oddHBand="0" w:evenHBand="0" w:firstRowFirstColumn="0" w:firstRowLastColumn="0" w:lastRowFirstColumn="0" w:lastRowLastColumn="0"/>
            <w:tcW w:w="963"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5B1920FC" w14:textId="77777777" w:rsidR="0023462A" w:rsidRDefault="00A550FA">
            <w:pPr>
              <w:pStyle w:val="P68B1DB1-Normal32"/>
              <w:spacing w:after="120"/>
              <w:jc w:val="center"/>
              <w:rPr>
                <w:noProof/>
              </w:rPr>
            </w:pPr>
            <w:r>
              <w:rPr>
                <w:noProof/>
              </w:rPr>
              <w:t>Seq. Numéro</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6E135164" w14:textId="77777777" w:rsidR="0023462A" w:rsidRDefault="00A550FA">
            <w:pPr>
              <w:pStyle w:val="P68B1DB1-Normal32"/>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Mesure connexe (réforme ou investissement)</w:t>
            </w:r>
          </w:p>
        </w:tc>
        <w:tc>
          <w:tcPr>
            <w:tcW w:w="738"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76264E1B" w14:textId="77777777" w:rsidR="0023462A" w:rsidRDefault="00A550FA">
            <w:pPr>
              <w:pStyle w:val="P68B1DB1-Normal32"/>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Étape/cible</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68F477D" w14:textId="77777777" w:rsidR="0023462A" w:rsidRDefault="00A550FA">
            <w:pPr>
              <w:pStyle w:val="P68B1DB1-Normal32"/>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Nom</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1B64C9F" w14:textId="1327142C" w:rsidR="0023462A" w:rsidRDefault="00A550FA">
            <w:pPr>
              <w:pStyle w:val="P68B1DB1-Normal32"/>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 xml:space="preserve">Indicateurs qualitatifs </w:t>
            </w:r>
            <w:r>
              <w:rPr>
                <w:noProof/>
              </w:rPr>
              <w:br/>
              <w:t>(pour les jalons)</w:t>
            </w:r>
          </w:p>
        </w:tc>
        <w:tc>
          <w:tcPr>
            <w:tcW w:w="3261"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9A62ACE" w14:textId="1E566C4D" w:rsidR="0023462A" w:rsidRDefault="00A550FA">
            <w:pPr>
              <w:pStyle w:val="P68B1DB1-Normal32"/>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 xml:space="preserve">Indicateurs quantitatifs </w:t>
            </w:r>
            <w:r>
              <w:rPr>
                <w:noProof/>
              </w:rPr>
              <w:br/>
              <w:t>(pour les objectifs)</w:t>
            </w:r>
          </w:p>
        </w:tc>
        <w:tc>
          <w:tcPr>
            <w:tcW w:w="2097"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6C4FFC5" w14:textId="77777777" w:rsidR="0023462A" w:rsidRDefault="00A550FA">
            <w:pPr>
              <w:pStyle w:val="P68B1DB1-Normal32"/>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Calendrier indicatif d'achèvement</w:t>
            </w:r>
          </w:p>
        </w:tc>
        <w:tc>
          <w:tcPr>
            <w:tcW w:w="4423"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E9507BA" w14:textId="77777777" w:rsidR="0023462A" w:rsidRDefault="00A550FA">
            <w:pPr>
              <w:pStyle w:val="P68B1DB1-Normal32"/>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Description de chaque jalon et cible</w:t>
            </w:r>
          </w:p>
        </w:tc>
      </w:tr>
      <w:tr w:rsidR="0023462A" w14:paraId="78545893" w14:textId="77777777" w:rsidTr="009C289F">
        <w:trPr>
          <w:cnfStyle w:val="100000000000" w:firstRow="1" w:lastRow="0" w:firstColumn="0" w:lastColumn="0" w:oddVBand="0" w:evenVBand="0" w:oddHBand="0" w:evenHBand="0" w:firstRowFirstColumn="0" w:firstRowLastColumn="0" w:lastRowFirstColumn="0" w:lastRowLastColumn="0"/>
          <w:trHeight w:val="412"/>
          <w:tblHeader/>
        </w:trPr>
        <w:tc>
          <w:tcPr>
            <w:cnfStyle w:val="001000000000" w:firstRow="0" w:lastRow="0" w:firstColumn="1" w:lastColumn="0" w:oddVBand="0" w:evenVBand="0" w:oddHBand="0" w:evenHBand="0" w:firstRowFirstColumn="0" w:firstRowLastColumn="0" w:lastRowFirstColumn="0" w:lastRowLastColumn="0"/>
            <w:tcW w:w="963" w:type="dxa"/>
            <w:vMerge/>
            <w:tcBorders>
              <w:top w:val="single" w:sz="4" w:space="0" w:color="auto"/>
              <w:left w:val="single" w:sz="4" w:space="0" w:color="auto"/>
              <w:bottom w:val="single" w:sz="4" w:space="0" w:color="auto"/>
              <w:right w:val="single" w:sz="4" w:space="0" w:color="auto"/>
            </w:tcBorders>
            <w:vAlign w:val="center"/>
          </w:tcPr>
          <w:p w14:paraId="64B996C4" w14:textId="77777777" w:rsidR="0023462A" w:rsidRDefault="0023462A">
            <w:pPr>
              <w:spacing w:after="120"/>
              <w:jc w:val="center"/>
              <w:rPr>
                <w:rFonts w:ascii="Times New Roman" w:hAnsi="Times New Roman" w:cs="Times New Roman"/>
                <w:b w:val="0"/>
                <w:noProof/>
                <w:sz w:val="18"/>
                <w:szCs w:val="18"/>
              </w:rPr>
            </w:pPr>
          </w:p>
        </w:tc>
        <w:tc>
          <w:tcPr>
            <w:tcW w:w="1418" w:type="dxa"/>
            <w:vMerge/>
            <w:tcBorders>
              <w:top w:val="single" w:sz="4" w:space="0" w:color="auto"/>
              <w:left w:val="single" w:sz="4" w:space="0" w:color="auto"/>
              <w:bottom w:val="single" w:sz="4" w:space="0" w:color="auto"/>
              <w:right w:val="single" w:sz="4" w:space="0" w:color="auto"/>
            </w:tcBorders>
            <w:vAlign w:val="center"/>
          </w:tcPr>
          <w:p w14:paraId="3ED9C607" w14:textId="77777777" w:rsidR="0023462A" w:rsidRDefault="0023462A">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738" w:type="dxa"/>
            <w:vMerge/>
            <w:tcBorders>
              <w:top w:val="single" w:sz="4" w:space="0" w:color="auto"/>
              <w:left w:val="single" w:sz="4" w:space="0" w:color="auto"/>
              <w:bottom w:val="single" w:sz="4" w:space="0" w:color="auto"/>
              <w:right w:val="single" w:sz="4" w:space="0" w:color="auto"/>
            </w:tcBorders>
            <w:vAlign w:val="center"/>
          </w:tcPr>
          <w:p w14:paraId="438ED8CE" w14:textId="77777777" w:rsidR="0023462A" w:rsidRDefault="0023462A">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5A201DA4" w14:textId="77777777" w:rsidR="0023462A" w:rsidRDefault="0023462A">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417" w:type="dxa"/>
            <w:vMerge/>
            <w:tcBorders>
              <w:top w:val="single" w:sz="4" w:space="0" w:color="auto"/>
              <w:left w:val="single" w:sz="4" w:space="0" w:color="auto"/>
              <w:bottom w:val="single" w:sz="4" w:space="0" w:color="auto"/>
              <w:right w:val="single" w:sz="4" w:space="0" w:color="auto"/>
            </w:tcBorders>
            <w:vAlign w:val="center"/>
          </w:tcPr>
          <w:p w14:paraId="1D1E0F5F" w14:textId="77777777" w:rsidR="0023462A" w:rsidRDefault="0023462A">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25406D7B" w14:textId="77777777" w:rsidR="0023462A" w:rsidRDefault="00A550FA">
            <w:pPr>
              <w:pStyle w:val="P68B1DB1-Normal32"/>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Unité de mesure</w:t>
            </w:r>
          </w:p>
        </w:tc>
        <w:tc>
          <w:tcPr>
            <w:tcW w:w="1134"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3B4C37A" w14:textId="77777777" w:rsidR="0023462A" w:rsidRDefault="00A550FA">
            <w:pPr>
              <w:pStyle w:val="P68B1DB1-Normal32"/>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Données de référence</w:t>
            </w:r>
          </w:p>
        </w:tc>
        <w:tc>
          <w:tcPr>
            <w:tcW w:w="1134"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8BBF736" w14:textId="77777777" w:rsidR="0023462A" w:rsidRDefault="00A550FA">
            <w:pPr>
              <w:pStyle w:val="P68B1DB1-Normal32"/>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Objectif</w:t>
            </w:r>
          </w:p>
        </w:tc>
        <w:tc>
          <w:tcPr>
            <w:tcW w:w="992"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1E07AEEE" w14:textId="77777777" w:rsidR="0023462A" w:rsidRDefault="00A550FA">
            <w:pPr>
              <w:pStyle w:val="P68B1DB1-Normal32"/>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Trimestre</w:t>
            </w:r>
          </w:p>
        </w:tc>
        <w:tc>
          <w:tcPr>
            <w:tcW w:w="1105"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27CEB1E9" w14:textId="77777777" w:rsidR="0023462A" w:rsidRDefault="00A550FA">
            <w:pPr>
              <w:pStyle w:val="P68B1DB1-Normal32"/>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Année</w:t>
            </w:r>
          </w:p>
        </w:tc>
        <w:tc>
          <w:tcPr>
            <w:tcW w:w="4423" w:type="dxa"/>
            <w:vMerge/>
            <w:vAlign w:val="center"/>
          </w:tcPr>
          <w:p w14:paraId="3F8BFC21" w14:textId="77777777" w:rsidR="0023462A" w:rsidRDefault="0023462A">
            <w:pPr>
              <w:spacing w:after="1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r>
      <w:tr w:rsidR="00A52B72" w14:paraId="4F9DA1B5" w14:textId="77777777" w:rsidTr="009C289F">
        <w:tc>
          <w:tcPr>
            <w:cnfStyle w:val="001000000000" w:firstRow="0" w:lastRow="0" w:firstColumn="1" w:lastColumn="0" w:oddVBand="0" w:evenVBand="0" w:oddHBand="0" w:evenHBand="0" w:firstRowFirstColumn="0" w:firstRowLastColumn="0" w:lastRowFirstColumn="0" w:lastRowLastColumn="0"/>
            <w:tcW w:w="963" w:type="dxa"/>
            <w:tcBorders>
              <w:top w:val="single" w:sz="4" w:space="0" w:color="auto"/>
              <w:left w:val="single" w:sz="4" w:space="0" w:color="auto"/>
              <w:bottom w:val="single" w:sz="4" w:space="0" w:color="auto"/>
              <w:right w:val="single" w:sz="4" w:space="0" w:color="auto"/>
            </w:tcBorders>
            <w:shd w:val="clear" w:color="auto" w:fill="C6EFCE"/>
            <w:vAlign w:val="center"/>
          </w:tcPr>
          <w:p w14:paraId="56D6F065" w14:textId="1C1DA2FD" w:rsidR="0023462A" w:rsidRDefault="00A550FA">
            <w:pPr>
              <w:pStyle w:val="P68B1DB1-Normal32"/>
              <w:spacing w:after="120"/>
              <w:jc w:val="center"/>
              <w:rPr>
                <w:b w:val="0"/>
                <w:noProof/>
              </w:rPr>
            </w:pPr>
            <w:r>
              <w:rPr>
                <w:noProof/>
              </w:rPr>
              <w:t>35</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tcPr>
          <w:p w14:paraId="0ED1293D"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C6.R1 Transformation de la régulation de l'électricité</w:t>
            </w:r>
          </w:p>
        </w:tc>
        <w:tc>
          <w:tcPr>
            <w:tcW w:w="738" w:type="dxa"/>
            <w:tcBorders>
              <w:top w:val="single" w:sz="4" w:space="0" w:color="auto"/>
              <w:left w:val="single" w:sz="4" w:space="0" w:color="auto"/>
              <w:bottom w:val="single" w:sz="4" w:space="0" w:color="auto"/>
              <w:right w:val="single" w:sz="4" w:space="0" w:color="auto"/>
            </w:tcBorders>
            <w:shd w:val="clear" w:color="auto" w:fill="C6EFCE"/>
            <w:vAlign w:val="center"/>
          </w:tcPr>
          <w:p w14:paraId="0927B4C6"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Étape</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534EB877"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Entrée en vigueur du ou des actes juridiques concernant le comptage brut</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tcPr>
          <w:p w14:paraId="0E079157" w14:textId="3F68C443"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Disposition indiquant l’entrée en vigueur du ou des actes juridiques </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tcPr>
          <w:p w14:paraId="535F5D7E"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0C928F08"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6D85DABA"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tcPr>
          <w:p w14:paraId="432513F2" w14:textId="38027FA1"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T2</w:t>
            </w:r>
          </w:p>
        </w:tc>
        <w:tc>
          <w:tcPr>
            <w:tcW w:w="1105" w:type="dxa"/>
            <w:tcBorders>
              <w:top w:val="single" w:sz="4" w:space="0" w:color="auto"/>
              <w:left w:val="single" w:sz="4" w:space="0" w:color="auto"/>
              <w:bottom w:val="single" w:sz="4" w:space="0" w:color="auto"/>
              <w:right w:val="single" w:sz="4" w:space="0" w:color="auto"/>
            </w:tcBorders>
            <w:shd w:val="clear" w:color="auto" w:fill="C6EFCE"/>
            <w:vAlign w:val="center"/>
          </w:tcPr>
          <w:p w14:paraId="007B06DB" w14:textId="52E71469"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423" w:type="dxa"/>
            <w:tcBorders>
              <w:top w:val="single" w:sz="4" w:space="0" w:color="auto"/>
              <w:left w:val="single" w:sz="4" w:space="0" w:color="auto"/>
              <w:bottom w:val="single" w:sz="4" w:space="0" w:color="auto"/>
              <w:right w:val="single" w:sz="4" w:space="0" w:color="auto"/>
            </w:tcBorders>
            <w:shd w:val="clear" w:color="auto" w:fill="C6EFCE"/>
            <w:vAlign w:val="center"/>
          </w:tcPr>
          <w:p w14:paraId="0AC2AE2B" w14:textId="50E25ED6"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Entrée en vigueur d’un ou de plusieurs actes juridiques introduisant une comptabilisation séparée de l’électricité injectée dans le réseau et de l’électricité consommée à partir du réseau. </w:t>
            </w:r>
          </w:p>
          <w:p w14:paraId="69A05A59"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Pour les utilisateurs qui ont installé un système de panneaux solaires sur la base d’une demande de connexion présentée après le 1er janvier 2024, le ou les actes juridiques prévoient l’entrée en vigueur automatique du système de comptabilité séparée.</w:t>
            </w:r>
          </w:p>
          <w:p w14:paraId="47B6EC8C" w14:textId="5FBBECD5"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Pour les utilisateurs qui ont installé un système de panneaux solaires sur la base d’une demande de raccordement présentée avant le 31 décembre 2023, le ou les actes juridiques prévoient l’entrée en vigueur du système de comptabilité séparée dix ans après l’installation du système de panneaux solaires.</w:t>
            </w:r>
          </w:p>
        </w:tc>
      </w:tr>
      <w:tr w:rsidR="00A52B72" w14:paraId="0C45F139" w14:textId="77777777" w:rsidTr="009C289F">
        <w:tc>
          <w:tcPr>
            <w:cnfStyle w:val="001000000000" w:firstRow="0" w:lastRow="0" w:firstColumn="1" w:lastColumn="0" w:oddVBand="0" w:evenVBand="0" w:oddHBand="0" w:evenHBand="0" w:firstRowFirstColumn="0" w:firstRowLastColumn="0" w:lastRowFirstColumn="0" w:lastRowLastColumn="0"/>
            <w:tcW w:w="963" w:type="dxa"/>
            <w:tcBorders>
              <w:top w:val="single" w:sz="4" w:space="0" w:color="auto"/>
              <w:left w:val="single" w:sz="4" w:space="0" w:color="auto"/>
              <w:bottom w:val="single" w:sz="4" w:space="0" w:color="auto"/>
              <w:right w:val="single" w:sz="4" w:space="0" w:color="auto"/>
            </w:tcBorders>
            <w:shd w:val="clear" w:color="auto" w:fill="C6EFCE"/>
            <w:vAlign w:val="center"/>
          </w:tcPr>
          <w:p w14:paraId="6D517757" w14:textId="175D261D" w:rsidR="0023462A" w:rsidRDefault="00A550FA">
            <w:pPr>
              <w:pStyle w:val="P68B1DB1-Normal32"/>
              <w:spacing w:after="120"/>
              <w:jc w:val="center"/>
              <w:rPr>
                <w:b w:val="0"/>
                <w:noProof/>
              </w:rPr>
            </w:pPr>
            <w:r>
              <w:rPr>
                <w:noProof/>
              </w:rPr>
              <w:t>36</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tcPr>
          <w:p w14:paraId="695C3598"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C6.R2 Encourager le déploiement de l'énergie éolienne terrestre</w:t>
            </w:r>
          </w:p>
        </w:tc>
        <w:tc>
          <w:tcPr>
            <w:tcW w:w="738" w:type="dxa"/>
            <w:tcBorders>
              <w:top w:val="single" w:sz="4" w:space="0" w:color="auto"/>
              <w:left w:val="single" w:sz="4" w:space="0" w:color="auto"/>
              <w:bottom w:val="single" w:sz="4" w:space="0" w:color="auto"/>
              <w:right w:val="single" w:sz="4" w:space="0" w:color="auto"/>
            </w:tcBorders>
            <w:shd w:val="clear" w:color="auto" w:fill="C6EFCE"/>
            <w:vAlign w:val="center"/>
          </w:tcPr>
          <w:p w14:paraId="11810521"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Étape</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1DAE6E99"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Entrée en vigueur du ou des actes juridiques</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tcPr>
          <w:p w14:paraId="47D5B27B"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Disposition indiquant l’entrée en vigueur d’un ou de plusieurs actes juridiques</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tcPr>
          <w:p w14:paraId="6C2CFCC9" w14:textId="77777777" w:rsidR="0023462A" w:rsidRDefault="0023462A">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14EA9EA3" w14:textId="77777777" w:rsidR="0023462A" w:rsidRDefault="0023462A">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07D4912F" w14:textId="77777777" w:rsidR="0023462A" w:rsidRDefault="0023462A">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tcPr>
          <w:p w14:paraId="00D273DF"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T2</w:t>
            </w:r>
          </w:p>
        </w:tc>
        <w:tc>
          <w:tcPr>
            <w:tcW w:w="1105" w:type="dxa"/>
            <w:tcBorders>
              <w:top w:val="single" w:sz="4" w:space="0" w:color="auto"/>
              <w:left w:val="single" w:sz="4" w:space="0" w:color="auto"/>
              <w:bottom w:val="single" w:sz="4" w:space="0" w:color="auto"/>
              <w:right w:val="single" w:sz="4" w:space="0" w:color="auto"/>
            </w:tcBorders>
            <w:shd w:val="clear" w:color="auto" w:fill="C6EFCE"/>
            <w:vAlign w:val="center"/>
          </w:tcPr>
          <w:p w14:paraId="24B3E38B"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423" w:type="dxa"/>
            <w:tcBorders>
              <w:top w:val="single" w:sz="4" w:space="0" w:color="auto"/>
              <w:left w:val="single" w:sz="4" w:space="0" w:color="auto"/>
              <w:bottom w:val="single" w:sz="4" w:space="0" w:color="auto"/>
              <w:right w:val="single" w:sz="4" w:space="0" w:color="auto"/>
            </w:tcBorders>
            <w:shd w:val="clear" w:color="auto" w:fill="C6EFCE"/>
            <w:vAlign w:val="center"/>
          </w:tcPr>
          <w:p w14:paraId="242D0173"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Entrée en vigueur du ou des actes juridiques qui:</w:t>
            </w:r>
          </w:p>
          <w:p w14:paraId="6D9D4F5C" w14:textId="12B6D94C" w:rsidR="0023462A" w:rsidRDefault="00A550FA">
            <w:pPr>
              <w:pStyle w:val="P68B1DB1-ListParagraph43"/>
              <w:numPr>
                <w:ilvl w:val="0"/>
                <w:numId w:val="127"/>
              </w:numPr>
              <w:spacing w:after="120"/>
              <w:ind w:left="342" w:hanging="342"/>
              <w:contextualSpacing w:val="0"/>
              <w:cnfStyle w:val="000000000000" w:firstRow="0" w:lastRow="0" w:firstColumn="0" w:lastColumn="0" w:oddVBand="0" w:evenVBand="0" w:oddHBand="0" w:evenHBand="0" w:firstRowFirstColumn="0" w:firstRowLastColumn="0" w:lastRowFirstColumn="0" w:lastRowLastColumn="0"/>
              <w:rPr>
                <w:noProof/>
              </w:rPr>
            </w:pPr>
            <w:r>
              <w:rPr>
                <w:noProof/>
              </w:rPr>
              <w:t>Augmenter la limite de hauteur maximale pour les éoliennes à 199 m et réduire la distance minimale entre les centrales éoliennes et les zones résidentielles à 700 m sur l’ensemble du territoire hongrois.</w:t>
            </w:r>
          </w:p>
          <w:p w14:paraId="46FA75EB" w14:textId="77777777" w:rsidR="0023462A" w:rsidRDefault="00A550FA">
            <w:pPr>
              <w:pStyle w:val="P68B1DB1-ListParagraph43"/>
              <w:numPr>
                <w:ilvl w:val="0"/>
                <w:numId w:val="127"/>
              </w:numPr>
              <w:spacing w:after="120"/>
              <w:ind w:left="342" w:hanging="342"/>
              <w:contextualSpacing w:val="0"/>
              <w:cnfStyle w:val="000000000000" w:firstRow="0" w:lastRow="0" w:firstColumn="0" w:lastColumn="0" w:oddVBand="0" w:evenVBand="0" w:oddHBand="0" w:evenHBand="0" w:firstRowFirstColumn="0" w:firstRowLastColumn="0" w:lastRowFirstColumn="0" w:lastRowLastColumn="0"/>
              <w:rPr>
                <w:noProof/>
              </w:rPr>
            </w:pPr>
            <w:r>
              <w:rPr>
                <w:noProof/>
              </w:rPr>
              <w:t xml:space="preserve">Désigner au moins 25 zones prioritaires pour l'éolien terrestre. </w:t>
            </w:r>
          </w:p>
          <w:p w14:paraId="118A936A" w14:textId="726AB1E7" w:rsidR="0023462A" w:rsidRDefault="00A550FA">
            <w:pPr>
              <w:pStyle w:val="P68B1DB1-ListParagraph43"/>
              <w:numPr>
                <w:ilvl w:val="0"/>
                <w:numId w:val="127"/>
              </w:numPr>
              <w:spacing w:after="120"/>
              <w:ind w:left="342" w:hanging="342"/>
              <w:contextualSpacing w:val="0"/>
              <w:cnfStyle w:val="000000000000" w:firstRow="0" w:lastRow="0" w:firstColumn="0" w:lastColumn="0" w:oddVBand="0" w:evenVBand="0" w:oddHBand="0" w:evenHBand="0" w:firstRowFirstColumn="0" w:firstRowLastColumn="0" w:lastRowFirstColumn="0" w:lastRowLastColumn="0"/>
              <w:rPr>
                <w:noProof/>
              </w:rPr>
            </w:pPr>
            <w:r>
              <w:rPr>
                <w:noProof/>
              </w:rPr>
              <w:t>Établir que, dans les zones prioritaires: il n’est pas tenu de désigner des espaces verts, des terres agricoles ou des terres forestières pour compenser les zones désignées pour le développement éolien; et les permis environnementaux et de construction pour l’éolien terrestre sont délivrés dans un délai maximal de 50 jours après le dépôt de la demande.</w:t>
            </w:r>
          </w:p>
        </w:tc>
      </w:tr>
      <w:tr w:rsidR="00A52B72" w14:paraId="59DEB3F3" w14:textId="77777777" w:rsidTr="009C289F">
        <w:tc>
          <w:tcPr>
            <w:cnfStyle w:val="001000000000" w:firstRow="0" w:lastRow="0" w:firstColumn="1" w:lastColumn="0" w:oddVBand="0" w:evenVBand="0" w:oddHBand="0" w:evenHBand="0" w:firstRowFirstColumn="0" w:firstRowLastColumn="0" w:lastRowFirstColumn="0" w:lastRowLastColumn="0"/>
            <w:tcW w:w="963" w:type="dxa"/>
            <w:tcBorders>
              <w:top w:val="single" w:sz="4" w:space="0" w:color="auto"/>
              <w:left w:val="single" w:sz="4" w:space="0" w:color="auto"/>
              <w:bottom w:val="single" w:sz="4" w:space="0" w:color="auto"/>
              <w:right w:val="single" w:sz="4" w:space="0" w:color="auto"/>
            </w:tcBorders>
            <w:shd w:val="clear" w:color="auto" w:fill="C6EFCE"/>
            <w:vAlign w:val="center"/>
          </w:tcPr>
          <w:p w14:paraId="7243D585" w14:textId="0237D326" w:rsidR="0023462A" w:rsidRDefault="00A550FA">
            <w:pPr>
              <w:pStyle w:val="P68B1DB1-Normal32"/>
              <w:spacing w:after="120"/>
              <w:jc w:val="center"/>
              <w:rPr>
                <w:b w:val="0"/>
                <w:noProof/>
              </w:rPr>
            </w:pPr>
            <w:r>
              <w:rPr>
                <w:noProof/>
              </w:rPr>
              <w:t>37</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tcPr>
          <w:p w14:paraId="2F6349E7"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C6.R2 Encourager le déploiement de l'énergie éolienne terrestre</w:t>
            </w:r>
          </w:p>
        </w:tc>
        <w:tc>
          <w:tcPr>
            <w:tcW w:w="738" w:type="dxa"/>
            <w:tcBorders>
              <w:top w:val="single" w:sz="4" w:space="0" w:color="auto"/>
              <w:left w:val="single" w:sz="4" w:space="0" w:color="auto"/>
              <w:bottom w:val="single" w:sz="4" w:space="0" w:color="auto"/>
              <w:right w:val="single" w:sz="4" w:space="0" w:color="auto"/>
            </w:tcBorders>
            <w:shd w:val="clear" w:color="auto" w:fill="C6EFCE"/>
            <w:vAlign w:val="center"/>
          </w:tcPr>
          <w:p w14:paraId="0F16DCB1"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Étape</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7B1D277F"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Entrée en vigueur du ou des actes juridiques</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tcPr>
          <w:p w14:paraId="288131FE"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Disposition indiquant son entrée en vigueur</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tcPr>
          <w:p w14:paraId="7F67A4AD" w14:textId="77777777" w:rsidR="0023462A" w:rsidRDefault="0023462A">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46258505" w14:textId="77777777" w:rsidR="0023462A" w:rsidRDefault="0023462A">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286CFA8B" w14:textId="77777777" w:rsidR="0023462A" w:rsidRDefault="0023462A">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tcPr>
          <w:p w14:paraId="77D46548"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T2</w:t>
            </w:r>
          </w:p>
        </w:tc>
        <w:tc>
          <w:tcPr>
            <w:tcW w:w="1105" w:type="dxa"/>
            <w:tcBorders>
              <w:top w:val="single" w:sz="4" w:space="0" w:color="auto"/>
              <w:left w:val="single" w:sz="4" w:space="0" w:color="auto"/>
              <w:bottom w:val="single" w:sz="4" w:space="0" w:color="auto"/>
              <w:right w:val="single" w:sz="4" w:space="0" w:color="auto"/>
            </w:tcBorders>
            <w:shd w:val="clear" w:color="auto" w:fill="C6EFCE"/>
            <w:vAlign w:val="center"/>
          </w:tcPr>
          <w:p w14:paraId="2A3E839A"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423" w:type="dxa"/>
            <w:tcBorders>
              <w:top w:val="single" w:sz="4" w:space="0" w:color="auto"/>
              <w:left w:val="single" w:sz="4" w:space="0" w:color="auto"/>
              <w:bottom w:val="single" w:sz="4" w:space="0" w:color="auto"/>
              <w:right w:val="single" w:sz="4" w:space="0" w:color="auto"/>
            </w:tcBorders>
            <w:shd w:val="clear" w:color="auto" w:fill="C6EFCE"/>
            <w:vAlign w:val="center"/>
          </w:tcPr>
          <w:p w14:paraId="3B4B7BF2" w14:textId="6941A3AC"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Entrée en vigueur d’un ou de plusieurs actes juridiques établissant un plan d’enchères au moins annuelles pour le raccordement au réseau de la technologie éolienne. Les enchères allouent un volume minimal de 4 GW de capacité de production d’énergie éolienne pour la période 2026-2030. Publication d’un appel d’offres pour une capacité éolienne d’au moins 700 MW au 31 août 2026.</w:t>
            </w:r>
          </w:p>
        </w:tc>
      </w:tr>
      <w:tr w:rsidR="00A52B72" w14:paraId="3B36569B" w14:textId="77777777" w:rsidTr="009C289F">
        <w:tc>
          <w:tcPr>
            <w:cnfStyle w:val="001000000000" w:firstRow="0" w:lastRow="0" w:firstColumn="1" w:lastColumn="0" w:oddVBand="0" w:evenVBand="0" w:oddHBand="0" w:evenHBand="0" w:firstRowFirstColumn="0" w:firstRowLastColumn="0" w:lastRowFirstColumn="0" w:lastRowLastColumn="0"/>
            <w:tcW w:w="963" w:type="dxa"/>
            <w:tcBorders>
              <w:top w:val="single" w:sz="4" w:space="0" w:color="auto"/>
              <w:left w:val="single" w:sz="4" w:space="0" w:color="auto"/>
              <w:bottom w:val="single" w:sz="4" w:space="0" w:color="auto"/>
              <w:right w:val="single" w:sz="4" w:space="0" w:color="auto"/>
            </w:tcBorders>
            <w:shd w:val="clear" w:color="auto" w:fill="C6EFCE"/>
            <w:vAlign w:val="center"/>
          </w:tcPr>
          <w:p w14:paraId="4FAA6497" w14:textId="32ABFF65" w:rsidR="0023462A" w:rsidRDefault="00A550FA">
            <w:pPr>
              <w:pStyle w:val="P68B1DB1-Normal32"/>
              <w:spacing w:after="120"/>
              <w:jc w:val="center"/>
              <w:rPr>
                <w:b w:val="0"/>
                <w:noProof/>
              </w:rPr>
            </w:pPr>
            <w:r>
              <w:rPr>
                <w:noProof/>
              </w:rPr>
              <w:t>38</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tcPr>
          <w:p w14:paraId="56E1E399" w14:textId="0B718E14"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C6.R3 Accélérer le raccordement des projets d'énergies renouvelables au réseau</w:t>
            </w:r>
          </w:p>
        </w:tc>
        <w:tc>
          <w:tcPr>
            <w:tcW w:w="738" w:type="dxa"/>
            <w:tcBorders>
              <w:top w:val="single" w:sz="4" w:space="0" w:color="auto"/>
              <w:left w:val="single" w:sz="4" w:space="0" w:color="auto"/>
              <w:bottom w:val="single" w:sz="4" w:space="0" w:color="auto"/>
              <w:right w:val="single" w:sz="4" w:space="0" w:color="auto"/>
            </w:tcBorders>
            <w:shd w:val="clear" w:color="auto" w:fill="C6EFCE"/>
            <w:vAlign w:val="center"/>
          </w:tcPr>
          <w:p w14:paraId="32E55041"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Étape</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2244A821"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Entrée en vigueur du ou des actes juridiques</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tcPr>
          <w:p w14:paraId="3EF2BDA6"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Disposition indiquant l’entrée en vigueur d’un ou de plusieurs actes juridiques</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tcPr>
          <w:p w14:paraId="016263F9" w14:textId="77777777" w:rsidR="0023462A" w:rsidRDefault="0023462A">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36A1F2B1" w14:textId="77777777" w:rsidR="0023462A" w:rsidRDefault="0023462A">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7DE842B8" w14:textId="77777777" w:rsidR="0023462A" w:rsidRDefault="0023462A">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tcPr>
          <w:p w14:paraId="52549104"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T2</w:t>
            </w:r>
          </w:p>
        </w:tc>
        <w:tc>
          <w:tcPr>
            <w:tcW w:w="1105" w:type="dxa"/>
            <w:tcBorders>
              <w:top w:val="single" w:sz="4" w:space="0" w:color="auto"/>
              <w:left w:val="single" w:sz="4" w:space="0" w:color="auto"/>
              <w:bottom w:val="single" w:sz="4" w:space="0" w:color="auto"/>
              <w:right w:val="single" w:sz="4" w:space="0" w:color="auto"/>
            </w:tcBorders>
            <w:shd w:val="clear" w:color="auto" w:fill="C6EFCE"/>
            <w:vAlign w:val="center"/>
          </w:tcPr>
          <w:p w14:paraId="114C302E"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423" w:type="dxa"/>
            <w:tcBorders>
              <w:top w:val="single" w:sz="4" w:space="0" w:color="auto"/>
              <w:left w:val="single" w:sz="4" w:space="0" w:color="auto"/>
              <w:bottom w:val="single" w:sz="4" w:space="0" w:color="auto"/>
              <w:right w:val="single" w:sz="4" w:space="0" w:color="auto"/>
            </w:tcBorders>
            <w:shd w:val="clear" w:color="auto" w:fill="C6EFCE"/>
            <w:vAlign w:val="center"/>
          </w:tcPr>
          <w:p w14:paraId="32E11381"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Entrée en vigueur du ou des actes juridiques qui:</w:t>
            </w:r>
          </w:p>
          <w:p w14:paraId="7FB5F794" w14:textId="7006B669" w:rsidR="0023462A" w:rsidRDefault="00A550FA">
            <w:pPr>
              <w:pStyle w:val="P68B1DB1-ListParagraph43"/>
              <w:numPr>
                <w:ilvl w:val="0"/>
                <w:numId w:val="104"/>
              </w:numPr>
              <w:spacing w:after="120"/>
              <w:ind w:left="346" w:hanging="346"/>
              <w:contextualSpacing w:val="0"/>
              <w:cnfStyle w:val="000000000000" w:firstRow="0" w:lastRow="0" w:firstColumn="0" w:lastColumn="0" w:oddVBand="0" w:evenVBand="0" w:oddHBand="0" w:evenHBand="0" w:firstRowFirstColumn="0" w:firstRowLastColumn="0" w:lastRowFirstColumn="0" w:lastRowLastColumn="0"/>
              <w:rPr>
                <w:rFonts w:eastAsia="Calibri"/>
                <w:noProof/>
              </w:rPr>
            </w:pPr>
            <w:r>
              <w:rPr>
                <w:noProof/>
              </w:rPr>
              <w:t>mettre en place une procédure d’autorisation intégrée unique pour les permis environnementaux et de construction pour l’installation de centrales solaires et éoliennes terrestres d’une capacité supérieure à 0,5 MW;</w:t>
            </w:r>
          </w:p>
          <w:p w14:paraId="02E7E00E" w14:textId="52EDB87E" w:rsidR="0023462A" w:rsidRDefault="00A550FA">
            <w:pPr>
              <w:pStyle w:val="P68B1DB1-ListParagraph43"/>
              <w:numPr>
                <w:ilvl w:val="0"/>
                <w:numId w:val="104"/>
              </w:numPr>
              <w:spacing w:after="120"/>
              <w:ind w:left="346" w:hanging="346"/>
              <w:contextualSpacing w:val="0"/>
              <w:cnfStyle w:val="000000000000" w:firstRow="0" w:lastRow="0" w:firstColumn="0" w:lastColumn="0" w:oddVBand="0" w:evenVBand="0" w:oddHBand="0" w:evenHBand="0" w:firstRowFirstColumn="0" w:firstRowLastColumn="0" w:lastRowFirstColumn="0" w:lastRowLastColumn="0"/>
              <w:rPr>
                <w:rFonts w:eastAsia="Calibri"/>
                <w:noProof/>
              </w:rPr>
            </w:pPr>
            <w:r>
              <w:rPr>
                <w:noProof/>
              </w:rPr>
              <w:t>fixe(nt) les sanctions financières applicables aux autorités participant à la procédure d’autorisation intégrée pour les permis environnementaux et de construction qui n’octroient pas de permis dans les délais fixés par la loi dans le cadre de la procédure administrative.</w:t>
            </w:r>
          </w:p>
          <w:p w14:paraId="148B3329" w14:textId="7170D7BF" w:rsidR="0023462A" w:rsidRDefault="00A550FA">
            <w:pPr>
              <w:pStyle w:val="P68B1DB1-ListParagraph51"/>
              <w:numPr>
                <w:ilvl w:val="0"/>
                <w:numId w:val="104"/>
              </w:numPr>
              <w:spacing w:after="120"/>
              <w:ind w:left="346" w:hanging="346"/>
              <w:contextualSpacing w:val="0"/>
              <w:cnfStyle w:val="000000000000" w:firstRow="0" w:lastRow="0" w:firstColumn="0" w:lastColumn="0" w:oddVBand="0" w:evenVBand="0" w:oddHBand="0" w:evenHBand="0" w:firstRowFirstColumn="0" w:firstRowLastColumn="0" w:lastRowFirstColumn="0" w:lastRowLastColumn="0"/>
              <w:rPr>
                <w:noProof/>
              </w:rPr>
            </w:pPr>
            <w:r>
              <w:rPr>
                <w:noProof/>
              </w:rPr>
              <w:t>Autoriser la colocation de centrales éoliennes et solaires.</w:t>
            </w:r>
          </w:p>
        </w:tc>
      </w:tr>
      <w:tr w:rsidR="00A52B72" w14:paraId="04BEDE59" w14:textId="77777777" w:rsidTr="009C289F">
        <w:trPr>
          <w:trHeight w:val="56"/>
        </w:trPr>
        <w:tc>
          <w:tcPr>
            <w:cnfStyle w:val="001000000000" w:firstRow="0" w:lastRow="0" w:firstColumn="1" w:lastColumn="0" w:oddVBand="0" w:evenVBand="0" w:oddHBand="0" w:evenHBand="0" w:firstRowFirstColumn="0" w:firstRowLastColumn="0" w:lastRowFirstColumn="0" w:lastRowLastColumn="0"/>
            <w:tcW w:w="963" w:type="dxa"/>
            <w:tcBorders>
              <w:top w:val="single" w:sz="4" w:space="0" w:color="auto"/>
              <w:left w:val="single" w:sz="4" w:space="0" w:color="auto"/>
              <w:bottom w:val="single" w:sz="4" w:space="0" w:color="auto"/>
              <w:right w:val="single" w:sz="4" w:space="0" w:color="auto"/>
            </w:tcBorders>
            <w:shd w:val="clear" w:color="auto" w:fill="C6EFCE"/>
            <w:vAlign w:val="center"/>
          </w:tcPr>
          <w:p w14:paraId="2EA55752" w14:textId="6F1B9671" w:rsidR="0023462A" w:rsidRDefault="00A550FA">
            <w:pPr>
              <w:pStyle w:val="P68B1DB1-Normal32"/>
              <w:spacing w:after="120"/>
              <w:jc w:val="center"/>
              <w:rPr>
                <w:b w:val="0"/>
                <w:noProof/>
              </w:rPr>
            </w:pPr>
            <w:r>
              <w:rPr>
                <w:noProof/>
              </w:rPr>
              <w:t>39</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tcPr>
          <w:p w14:paraId="1813A48E"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C6.R3 Accélérer le raccordement des projets d'énergies renouvelables au réseau</w:t>
            </w:r>
          </w:p>
        </w:tc>
        <w:tc>
          <w:tcPr>
            <w:tcW w:w="738" w:type="dxa"/>
            <w:tcBorders>
              <w:top w:val="single" w:sz="4" w:space="0" w:color="auto"/>
              <w:left w:val="single" w:sz="4" w:space="0" w:color="auto"/>
              <w:bottom w:val="single" w:sz="4" w:space="0" w:color="auto"/>
              <w:right w:val="single" w:sz="4" w:space="0" w:color="auto"/>
            </w:tcBorders>
            <w:shd w:val="clear" w:color="auto" w:fill="C6EFCE"/>
            <w:vAlign w:val="center"/>
          </w:tcPr>
          <w:p w14:paraId="449CA52A"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Objectif</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48792455"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Autorisation de raccordement au réseau pour la capacité des centrales électriques renouvelables</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tcPr>
          <w:p w14:paraId="6A73B62E"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Capacité totale autorisée en matière d’énergies renouvelables</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tcPr>
          <w:p w14:paraId="7420F2BA"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MW</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2F0CB89E"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1613405F" w14:textId="2A596780"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6 200 </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tcPr>
          <w:p w14:paraId="7B992E1C" w14:textId="10676E01"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T2</w:t>
            </w:r>
          </w:p>
        </w:tc>
        <w:tc>
          <w:tcPr>
            <w:tcW w:w="1105" w:type="dxa"/>
            <w:tcBorders>
              <w:top w:val="single" w:sz="4" w:space="0" w:color="auto"/>
              <w:left w:val="single" w:sz="4" w:space="0" w:color="auto"/>
              <w:bottom w:val="single" w:sz="4" w:space="0" w:color="auto"/>
              <w:right w:val="single" w:sz="4" w:space="0" w:color="auto"/>
            </w:tcBorders>
            <w:shd w:val="clear" w:color="auto" w:fill="C6EFCE"/>
            <w:vAlign w:val="center"/>
          </w:tcPr>
          <w:p w14:paraId="3E8AF1D1" w14:textId="6AF3E711"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423" w:type="dxa"/>
            <w:tcBorders>
              <w:top w:val="single" w:sz="4" w:space="0" w:color="auto"/>
              <w:left w:val="single" w:sz="4" w:space="0" w:color="auto"/>
              <w:bottom w:val="single" w:sz="4" w:space="0" w:color="auto"/>
              <w:right w:val="single" w:sz="4" w:space="0" w:color="auto"/>
            </w:tcBorders>
            <w:shd w:val="clear" w:color="auto" w:fill="C6EFCE"/>
            <w:vAlign w:val="center"/>
          </w:tcPr>
          <w:p w14:paraId="736BAC53" w14:textId="04CB9112"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strike/>
                <w:noProof/>
              </w:rPr>
            </w:pPr>
            <w:r>
              <w:rPr>
                <w:noProof/>
              </w:rPr>
              <w:t>Installation et raccordement total de 6 200 MW de centrales solaires et éoliennes terrestres.</w:t>
            </w:r>
          </w:p>
        </w:tc>
      </w:tr>
      <w:tr w:rsidR="00A52B72" w14:paraId="590F8371" w14:textId="77777777" w:rsidTr="009C289F">
        <w:tc>
          <w:tcPr>
            <w:cnfStyle w:val="001000000000" w:firstRow="0" w:lastRow="0" w:firstColumn="1" w:lastColumn="0" w:oddVBand="0" w:evenVBand="0" w:oddHBand="0" w:evenHBand="0" w:firstRowFirstColumn="0" w:firstRowLastColumn="0" w:lastRowFirstColumn="0" w:lastRowLastColumn="0"/>
            <w:tcW w:w="963" w:type="dxa"/>
            <w:tcBorders>
              <w:top w:val="single" w:sz="4" w:space="0" w:color="auto"/>
              <w:left w:val="single" w:sz="4" w:space="0" w:color="auto"/>
              <w:bottom w:val="single" w:sz="4" w:space="0" w:color="auto"/>
              <w:right w:val="single" w:sz="4" w:space="0" w:color="auto"/>
            </w:tcBorders>
            <w:shd w:val="clear" w:color="auto" w:fill="C6EFCE"/>
            <w:vAlign w:val="center"/>
          </w:tcPr>
          <w:p w14:paraId="2964A8EB" w14:textId="74AC480B" w:rsidR="0023462A" w:rsidRDefault="00A550FA">
            <w:pPr>
              <w:pStyle w:val="P68B1DB1-Normal32"/>
              <w:spacing w:after="120"/>
              <w:jc w:val="center"/>
              <w:rPr>
                <w:b w:val="0"/>
                <w:noProof/>
              </w:rPr>
            </w:pPr>
            <w:r>
              <w:rPr>
                <w:noProof/>
              </w:rPr>
              <w:t>39bis</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tcPr>
          <w:p w14:paraId="15B0F5C6"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C6.R3 Accélérer le raccordement des projets d'énergies renouvelables au réseau</w:t>
            </w:r>
          </w:p>
        </w:tc>
        <w:tc>
          <w:tcPr>
            <w:tcW w:w="738" w:type="dxa"/>
            <w:tcBorders>
              <w:top w:val="single" w:sz="4" w:space="0" w:color="auto"/>
              <w:left w:val="single" w:sz="4" w:space="0" w:color="auto"/>
              <w:bottom w:val="single" w:sz="4" w:space="0" w:color="auto"/>
              <w:right w:val="single" w:sz="4" w:space="0" w:color="auto"/>
            </w:tcBorders>
            <w:shd w:val="clear" w:color="auto" w:fill="C6EFCE"/>
            <w:vAlign w:val="center"/>
          </w:tcPr>
          <w:p w14:paraId="40D15B76"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Étape</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3AAE8FFD"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Entrée en vigueur du ou des actes juridiques</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tcPr>
          <w:p w14:paraId="55D6B9BF"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Disposition indiquant son entrée en vigueur</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tcPr>
          <w:p w14:paraId="29A0B040" w14:textId="77777777" w:rsidR="0023462A" w:rsidRDefault="0023462A">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14965541" w14:textId="77777777" w:rsidR="0023462A" w:rsidRDefault="0023462A">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66515575" w14:textId="77777777" w:rsidR="0023462A" w:rsidRDefault="0023462A">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tcPr>
          <w:p w14:paraId="59486835"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T2</w:t>
            </w:r>
          </w:p>
        </w:tc>
        <w:tc>
          <w:tcPr>
            <w:tcW w:w="1105" w:type="dxa"/>
            <w:tcBorders>
              <w:top w:val="single" w:sz="4" w:space="0" w:color="auto"/>
              <w:left w:val="single" w:sz="4" w:space="0" w:color="auto"/>
              <w:bottom w:val="single" w:sz="4" w:space="0" w:color="auto"/>
              <w:right w:val="single" w:sz="4" w:space="0" w:color="auto"/>
            </w:tcBorders>
            <w:shd w:val="clear" w:color="auto" w:fill="C6EFCE"/>
            <w:vAlign w:val="center"/>
          </w:tcPr>
          <w:p w14:paraId="49D29903"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423" w:type="dxa"/>
            <w:tcBorders>
              <w:top w:val="single" w:sz="4" w:space="0" w:color="auto"/>
              <w:left w:val="single" w:sz="4" w:space="0" w:color="auto"/>
              <w:bottom w:val="single" w:sz="4" w:space="0" w:color="auto"/>
              <w:right w:val="single" w:sz="4" w:space="0" w:color="auto"/>
            </w:tcBorders>
            <w:shd w:val="clear" w:color="auto" w:fill="C6EFCE"/>
            <w:vAlign w:val="center"/>
          </w:tcPr>
          <w:p w14:paraId="2F44E72D" w14:textId="77777777" w:rsidR="0023462A" w:rsidRDefault="00A550FA">
            <w:pPr>
              <w:pStyle w:val="P68B1DB1-Normal49"/>
              <w:spacing w:after="120"/>
              <w:cnfStyle w:val="000000000000" w:firstRow="0" w:lastRow="0" w:firstColumn="0" w:lastColumn="0" w:oddVBand="0" w:evenVBand="0" w:oddHBand="0" w:evenHBand="0" w:firstRowFirstColumn="0" w:firstRowLastColumn="0" w:lastRowFirstColumn="0" w:lastRowLastColumn="0"/>
              <w:rPr>
                <w:noProof/>
              </w:rPr>
            </w:pPr>
            <w:r>
              <w:rPr>
                <w:noProof/>
              </w:rPr>
              <w:t>Entrée en vigueur du ou des actes juridiques qui:</w:t>
            </w:r>
          </w:p>
          <w:p w14:paraId="01657016" w14:textId="5B93A99F" w:rsidR="0023462A" w:rsidRDefault="00A550FA">
            <w:pPr>
              <w:pStyle w:val="P68B1DB1-ListParagraph51"/>
              <w:numPr>
                <w:ilvl w:val="0"/>
                <w:numId w:val="128"/>
              </w:numPr>
              <w:spacing w:after="120"/>
              <w:ind w:left="347" w:hanging="347"/>
              <w:contextualSpacing w:val="0"/>
              <w:cnfStyle w:val="000000000000" w:firstRow="0" w:lastRow="0" w:firstColumn="0" w:lastColumn="0" w:oddVBand="0" w:evenVBand="0" w:oddHBand="0" w:evenHBand="0" w:firstRowFirstColumn="0" w:firstRowLastColumn="0" w:lastRowFirstColumn="0" w:lastRowLastColumn="0"/>
              <w:rPr>
                <w:noProof/>
              </w:rPr>
            </w:pPr>
            <w:r>
              <w:rPr>
                <w:noProof/>
              </w:rPr>
              <w:t>établit que les systèmes photovoltaïques résidentiels nouvellement construits (jusqu’à 10,8 kVA) ne nécessitent qu’une notification au GRD pour être raccordés au réseau;</w:t>
            </w:r>
          </w:p>
          <w:p w14:paraId="2B899B17" w14:textId="4A77A778" w:rsidR="0023462A" w:rsidRDefault="00A550FA">
            <w:pPr>
              <w:pStyle w:val="P68B1DB1-ListParagraph43"/>
              <w:numPr>
                <w:ilvl w:val="0"/>
                <w:numId w:val="128"/>
              </w:numPr>
              <w:spacing w:after="120"/>
              <w:ind w:left="347" w:hanging="347"/>
              <w:contextualSpacing w:val="0"/>
              <w:cnfStyle w:val="000000000000" w:firstRow="0" w:lastRow="0" w:firstColumn="0" w:lastColumn="0" w:oddVBand="0" w:evenVBand="0" w:oddHBand="0" w:evenHBand="0" w:firstRowFirstColumn="0" w:firstRowLastColumn="0" w:lastRowFirstColumn="0" w:lastRowLastColumn="0"/>
              <w:rPr>
                <w:noProof/>
              </w:rPr>
            </w:pPr>
            <w:r>
              <w:rPr>
                <w:noProof/>
              </w:rPr>
              <w:t>Prévoir que les GRD raccordent les petites installations photovoltaïques (d’une capacité maximale de 10,8 kVA) au réseau dans un délai maximal de deux mois à compter de la notification de l’installation par le propriétaire.</w:t>
            </w:r>
          </w:p>
        </w:tc>
      </w:tr>
      <w:tr w:rsidR="00A52B72" w14:paraId="09830560" w14:textId="77777777" w:rsidTr="009C289F">
        <w:tc>
          <w:tcPr>
            <w:cnfStyle w:val="001000000000" w:firstRow="0" w:lastRow="0" w:firstColumn="1" w:lastColumn="0" w:oddVBand="0" w:evenVBand="0" w:oddHBand="0" w:evenHBand="0" w:firstRowFirstColumn="0" w:firstRowLastColumn="0" w:lastRowFirstColumn="0" w:lastRowLastColumn="0"/>
            <w:tcW w:w="963" w:type="dxa"/>
            <w:tcBorders>
              <w:top w:val="single" w:sz="4" w:space="0" w:color="auto"/>
              <w:left w:val="single" w:sz="4" w:space="0" w:color="auto"/>
              <w:bottom w:val="single" w:sz="4" w:space="0" w:color="auto"/>
              <w:right w:val="single" w:sz="4" w:space="0" w:color="auto"/>
            </w:tcBorders>
            <w:shd w:val="clear" w:color="auto" w:fill="C6EFCE"/>
            <w:vAlign w:val="center"/>
          </w:tcPr>
          <w:p w14:paraId="43327355" w14:textId="1054B420" w:rsidR="0023462A" w:rsidRDefault="00A550FA">
            <w:pPr>
              <w:pStyle w:val="P68B1DB1-Normal32"/>
              <w:spacing w:after="120"/>
              <w:jc w:val="center"/>
              <w:rPr>
                <w:b w:val="0"/>
                <w:noProof/>
              </w:rPr>
            </w:pPr>
            <w:r>
              <w:rPr>
                <w:noProof/>
              </w:rPr>
              <w:t>40</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tcPr>
          <w:p w14:paraId="017F6DFB"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C6.R4 Fixation de normes minimales d'efficacité énergétique</w:t>
            </w:r>
          </w:p>
        </w:tc>
        <w:tc>
          <w:tcPr>
            <w:tcW w:w="738" w:type="dxa"/>
            <w:tcBorders>
              <w:top w:val="single" w:sz="4" w:space="0" w:color="auto"/>
              <w:left w:val="single" w:sz="4" w:space="0" w:color="auto"/>
              <w:bottom w:val="single" w:sz="4" w:space="0" w:color="auto"/>
              <w:right w:val="single" w:sz="4" w:space="0" w:color="auto"/>
            </w:tcBorders>
            <w:shd w:val="clear" w:color="auto" w:fill="C6EFCE"/>
            <w:vAlign w:val="center"/>
          </w:tcPr>
          <w:p w14:paraId="10AAF175"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Étape</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08FDBC9F" w14:textId="02F791B0"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Fixation d’exigences minimales en matière d’efficacité énergétique pour les régimes d’aide à la rénovation des bâtiments</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tcPr>
          <w:p w14:paraId="0939D7B3"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Entrée en vigueur du ou des actes juridiques</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tcPr>
          <w:p w14:paraId="0B14A524" w14:textId="77777777" w:rsidR="0023462A" w:rsidRDefault="0023462A">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32100D44" w14:textId="77777777" w:rsidR="0023462A" w:rsidRDefault="0023462A">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2CD9A7DC" w14:textId="77777777" w:rsidR="0023462A" w:rsidRDefault="0023462A">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tcPr>
          <w:p w14:paraId="35095CF4" w14:textId="1C8EF948"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T2</w:t>
            </w:r>
          </w:p>
        </w:tc>
        <w:tc>
          <w:tcPr>
            <w:tcW w:w="1105" w:type="dxa"/>
            <w:tcBorders>
              <w:top w:val="single" w:sz="4" w:space="0" w:color="auto"/>
              <w:left w:val="single" w:sz="4" w:space="0" w:color="auto"/>
              <w:bottom w:val="single" w:sz="4" w:space="0" w:color="auto"/>
              <w:right w:val="single" w:sz="4" w:space="0" w:color="auto"/>
            </w:tcBorders>
            <w:shd w:val="clear" w:color="auto" w:fill="C6EFCE"/>
            <w:vAlign w:val="center"/>
          </w:tcPr>
          <w:p w14:paraId="433FDD69" w14:textId="33FE07D6"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423" w:type="dxa"/>
            <w:tcBorders>
              <w:top w:val="single" w:sz="4" w:space="0" w:color="auto"/>
              <w:left w:val="single" w:sz="4" w:space="0" w:color="auto"/>
              <w:bottom w:val="single" w:sz="4" w:space="0" w:color="auto"/>
              <w:right w:val="single" w:sz="4" w:space="0" w:color="auto"/>
            </w:tcBorders>
            <w:shd w:val="clear" w:color="auto" w:fill="C6EFCE"/>
            <w:vAlign w:val="center"/>
          </w:tcPr>
          <w:p w14:paraId="041DE266"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Entrée en vigueur d’un ou de plusieurs actes juridiques prévoyant que, pour les régimes d’aide à la rénovation des bâtiments (co)financés par des fonds de l’UE, une réduction d’au moins 30 % de la consommation d’énergie doit être atteinte. </w:t>
            </w:r>
          </w:p>
        </w:tc>
      </w:tr>
      <w:tr w:rsidR="00A52B72" w14:paraId="65CA9D32" w14:textId="77777777" w:rsidTr="009C289F">
        <w:tc>
          <w:tcPr>
            <w:cnfStyle w:val="001000000000" w:firstRow="0" w:lastRow="0" w:firstColumn="1" w:lastColumn="0" w:oddVBand="0" w:evenVBand="0" w:oddHBand="0" w:evenHBand="0" w:firstRowFirstColumn="0" w:firstRowLastColumn="0" w:lastRowFirstColumn="0" w:lastRowLastColumn="0"/>
            <w:tcW w:w="963" w:type="dxa"/>
            <w:tcBorders>
              <w:top w:val="single" w:sz="4" w:space="0" w:color="auto"/>
              <w:left w:val="single" w:sz="4" w:space="0" w:color="auto"/>
              <w:bottom w:val="single" w:sz="4" w:space="0" w:color="auto"/>
              <w:right w:val="single" w:sz="4" w:space="0" w:color="auto"/>
            </w:tcBorders>
            <w:shd w:val="clear" w:color="auto" w:fill="C6EFCE"/>
            <w:vAlign w:val="center"/>
          </w:tcPr>
          <w:p w14:paraId="0271EEB3" w14:textId="337F7DED" w:rsidR="0023462A" w:rsidRDefault="00A550FA">
            <w:pPr>
              <w:pStyle w:val="P68B1DB1-Normal32"/>
              <w:spacing w:after="120"/>
              <w:jc w:val="center"/>
              <w:rPr>
                <w:b w:val="0"/>
                <w:noProof/>
              </w:rPr>
            </w:pPr>
            <w:r>
              <w:rPr>
                <w:noProof/>
              </w:rPr>
              <w:t>41</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tcPr>
          <w:p w14:paraId="67DEECB1"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C6.I1 Développement de réseaux classiques et intelligents pour les gestionnaires de réseau de transport et les gestionnaires de</w:t>
            </w:r>
            <w:r>
              <w:rPr>
                <w:b/>
                <w:noProof/>
              </w:rPr>
              <w:t xml:space="preserve"> </w:t>
            </w:r>
            <w:r>
              <w:rPr>
                <w:noProof/>
              </w:rPr>
              <w:t>réseau de distribution</w:t>
            </w:r>
          </w:p>
        </w:tc>
        <w:tc>
          <w:tcPr>
            <w:tcW w:w="738" w:type="dxa"/>
            <w:tcBorders>
              <w:top w:val="single" w:sz="4" w:space="0" w:color="auto"/>
              <w:left w:val="single" w:sz="4" w:space="0" w:color="auto"/>
              <w:bottom w:val="single" w:sz="4" w:space="0" w:color="auto"/>
              <w:right w:val="single" w:sz="4" w:space="0" w:color="auto"/>
            </w:tcBorders>
            <w:shd w:val="clear" w:color="auto" w:fill="C6EFCE"/>
            <w:vAlign w:val="center"/>
          </w:tcPr>
          <w:p w14:paraId="6E2B2DD3"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Objectif </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0989DB3C"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Capacité supplémentaire cumulée ajoutée au réseau</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tcPr>
          <w:p w14:paraId="08AC4FB6"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tcPr>
          <w:p w14:paraId="557AB476"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MW</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5F69E74F"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7CDBB6BC" w14:textId="667B76B6"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2 781</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tcPr>
          <w:p w14:paraId="13FE3FDD"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T2</w:t>
            </w:r>
          </w:p>
        </w:tc>
        <w:tc>
          <w:tcPr>
            <w:tcW w:w="1105" w:type="dxa"/>
            <w:tcBorders>
              <w:top w:val="single" w:sz="4" w:space="0" w:color="auto"/>
              <w:left w:val="single" w:sz="4" w:space="0" w:color="auto"/>
              <w:bottom w:val="single" w:sz="4" w:space="0" w:color="auto"/>
              <w:right w:val="single" w:sz="4" w:space="0" w:color="auto"/>
            </w:tcBorders>
            <w:shd w:val="clear" w:color="auto" w:fill="C6EFCE"/>
            <w:vAlign w:val="center"/>
          </w:tcPr>
          <w:p w14:paraId="1BE4B49D"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423" w:type="dxa"/>
            <w:tcBorders>
              <w:top w:val="single" w:sz="4" w:space="0" w:color="auto"/>
              <w:left w:val="single" w:sz="4" w:space="0" w:color="auto"/>
              <w:bottom w:val="single" w:sz="4" w:space="0" w:color="auto"/>
              <w:right w:val="single" w:sz="4" w:space="0" w:color="auto"/>
            </w:tcBorders>
            <w:shd w:val="clear" w:color="auto" w:fill="C6EFCE"/>
            <w:vAlign w:val="center"/>
          </w:tcPr>
          <w:p w14:paraId="2FF1AEC6" w14:textId="18ED1DD2"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Les réseaux de transport et de distribution sont construits ou mis à niveau pour permettre l’intégration d’au moins 2 781 MW de capacité d’hébergement supplémentaire. Un rapport technique préparé par le régulateur national (MEKH) et prouvant l’augmentation de la capacité d’hébergement est fourni.</w:t>
            </w:r>
          </w:p>
        </w:tc>
      </w:tr>
      <w:tr w:rsidR="00A52B72" w14:paraId="397B72C6" w14:textId="77777777" w:rsidTr="009C289F">
        <w:trPr>
          <w:trHeight w:val="543"/>
        </w:trPr>
        <w:tc>
          <w:tcPr>
            <w:cnfStyle w:val="001000000000" w:firstRow="0" w:lastRow="0" w:firstColumn="1" w:lastColumn="0" w:oddVBand="0" w:evenVBand="0" w:oddHBand="0" w:evenHBand="0" w:firstRowFirstColumn="0" w:firstRowLastColumn="0" w:lastRowFirstColumn="0" w:lastRowLastColumn="0"/>
            <w:tcW w:w="963" w:type="dxa"/>
            <w:tcBorders>
              <w:top w:val="single" w:sz="4" w:space="0" w:color="auto"/>
              <w:left w:val="single" w:sz="4" w:space="0" w:color="auto"/>
              <w:bottom w:val="single" w:sz="4" w:space="0" w:color="auto"/>
              <w:right w:val="single" w:sz="4" w:space="0" w:color="auto"/>
            </w:tcBorders>
            <w:shd w:val="clear" w:color="auto" w:fill="C6EFCE"/>
            <w:vAlign w:val="center"/>
          </w:tcPr>
          <w:p w14:paraId="28FD7B01" w14:textId="41888537" w:rsidR="0023462A" w:rsidRDefault="00A550FA">
            <w:pPr>
              <w:pStyle w:val="P68B1DB1-Normal32"/>
              <w:spacing w:after="120"/>
              <w:jc w:val="center"/>
              <w:rPr>
                <w:b w:val="0"/>
                <w:noProof/>
              </w:rPr>
            </w:pPr>
            <w:r>
              <w:rPr>
                <w:noProof/>
              </w:rPr>
              <w:t>42</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tcPr>
          <w:p w14:paraId="1F64A829"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C6.I2 Soutien à l'utilisation de panneaux solaires résidentiels et à la modernisation du chauffage</w:t>
            </w:r>
          </w:p>
        </w:tc>
        <w:tc>
          <w:tcPr>
            <w:tcW w:w="738" w:type="dxa"/>
            <w:tcBorders>
              <w:top w:val="single" w:sz="4" w:space="0" w:color="auto"/>
              <w:left w:val="single" w:sz="4" w:space="0" w:color="auto"/>
              <w:bottom w:val="single" w:sz="4" w:space="0" w:color="auto"/>
              <w:right w:val="single" w:sz="4" w:space="0" w:color="auto"/>
            </w:tcBorders>
            <w:shd w:val="clear" w:color="auto" w:fill="C6EFCE"/>
            <w:vAlign w:val="center"/>
          </w:tcPr>
          <w:p w14:paraId="7393FBB7"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Objectif </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0F2C9EFC"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Nombre de ménages bénéficiant d’une aide</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tcPr>
          <w:p w14:paraId="3DDBD4A2"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tcPr>
          <w:p w14:paraId="35790F56"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Numéro</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004E30D6"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52B42602" w14:textId="3BBC809B"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20 000 </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tcPr>
          <w:p w14:paraId="6422F145"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T2</w:t>
            </w:r>
          </w:p>
        </w:tc>
        <w:tc>
          <w:tcPr>
            <w:tcW w:w="1105" w:type="dxa"/>
            <w:tcBorders>
              <w:top w:val="single" w:sz="4" w:space="0" w:color="auto"/>
              <w:left w:val="single" w:sz="4" w:space="0" w:color="auto"/>
              <w:bottom w:val="single" w:sz="4" w:space="0" w:color="auto"/>
              <w:right w:val="single" w:sz="4" w:space="0" w:color="auto"/>
            </w:tcBorders>
            <w:shd w:val="clear" w:color="auto" w:fill="C6EFCE"/>
            <w:vAlign w:val="center"/>
          </w:tcPr>
          <w:p w14:paraId="2B8EC46D"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423" w:type="dxa"/>
            <w:tcBorders>
              <w:top w:val="single" w:sz="4" w:space="0" w:color="auto"/>
              <w:left w:val="single" w:sz="4" w:space="0" w:color="auto"/>
              <w:bottom w:val="single" w:sz="4" w:space="0" w:color="auto"/>
              <w:right w:val="single" w:sz="4" w:space="0" w:color="auto"/>
            </w:tcBorders>
            <w:shd w:val="clear" w:color="auto" w:fill="C6EFCE"/>
          </w:tcPr>
          <w:p w14:paraId="1F1253B4" w14:textId="1009E31D"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Au moins 20 000 ménages doivent avoir installé des systèmes de panneaux solaires.</w:t>
            </w:r>
          </w:p>
          <w:p w14:paraId="1D21EC85" w14:textId="04F72866"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Sur ce total, au moins 4 313 ménages doivent avoir installé des systèmes de panneaux solaires combinés à au moins l’un des éléments suivants: installation de systèmes de chauffage électrique, installation d’une unité de stockage ou remplacement de fenêtres et/ou de portes.</w:t>
            </w:r>
          </w:p>
        </w:tc>
      </w:tr>
      <w:tr w:rsidR="00A52B72" w14:paraId="74A417CE" w14:textId="77777777" w:rsidTr="009C289F">
        <w:trPr>
          <w:trHeight w:val="56"/>
        </w:trPr>
        <w:tc>
          <w:tcPr>
            <w:cnfStyle w:val="001000000000" w:firstRow="0" w:lastRow="0" w:firstColumn="1" w:lastColumn="0" w:oddVBand="0" w:evenVBand="0" w:oddHBand="0" w:evenHBand="0" w:firstRowFirstColumn="0" w:firstRowLastColumn="0" w:lastRowFirstColumn="0" w:lastRowLastColumn="0"/>
            <w:tcW w:w="963" w:type="dxa"/>
            <w:tcBorders>
              <w:top w:val="single" w:sz="4" w:space="0" w:color="auto"/>
              <w:left w:val="single" w:sz="4" w:space="0" w:color="auto"/>
              <w:bottom w:val="single" w:sz="4" w:space="0" w:color="auto"/>
              <w:right w:val="single" w:sz="4" w:space="0" w:color="auto"/>
            </w:tcBorders>
            <w:shd w:val="clear" w:color="auto" w:fill="C6EFCE"/>
            <w:vAlign w:val="center"/>
          </w:tcPr>
          <w:p w14:paraId="4FEEE235" w14:textId="2D6B7170" w:rsidR="0023462A" w:rsidRDefault="00A550FA">
            <w:pPr>
              <w:pStyle w:val="P68B1DB1-Normal32"/>
              <w:spacing w:after="120"/>
              <w:jc w:val="center"/>
              <w:rPr>
                <w:b w:val="0"/>
                <w:noProof/>
              </w:rPr>
            </w:pPr>
            <w:r>
              <w:rPr>
                <w:noProof/>
              </w:rPr>
              <w:t>43</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tcPr>
          <w:p w14:paraId="1A68E1A6" w14:textId="0DEBA318"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C6.I3 Installation d'installations de stockage d'énergie sur le réseau pour les acteurs du marché de l'énergie</w:t>
            </w:r>
          </w:p>
        </w:tc>
        <w:tc>
          <w:tcPr>
            <w:tcW w:w="738" w:type="dxa"/>
            <w:tcBorders>
              <w:top w:val="single" w:sz="4" w:space="0" w:color="auto"/>
              <w:left w:val="single" w:sz="4" w:space="0" w:color="auto"/>
              <w:bottom w:val="single" w:sz="4" w:space="0" w:color="auto"/>
              <w:right w:val="single" w:sz="4" w:space="0" w:color="auto"/>
            </w:tcBorders>
            <w:shd w:val="clear" w:color="auto" w:fill="C6EFCE"/>
            <w:vAlign w:val="center"/>
          </w:tcPr>
          <w:p w14:paraId="44A56157"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Objectif</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17941DC0"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Capacité des installations de stockage d'énergie installées</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tcPr>
          <w:p w14:paraId="28460BBE" w14:textId="77777777" w:rsidR="0023462A" w:rsidRDefault="0023462A">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tcPr>
          <w:p w14:paraId="223D4C52"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MWh</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24A5A687"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01F2607D" w14:textId="45D94A12"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676</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tcPr>
          <w:p w14:paraId="4A6C4DE9"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T2</w:t>
            </w:r>
          </w:p>
        </w:tc>
        <w:tc>
          <w:tcPr>
            <w:tcW w:w="1105" w:type="dxa"/>
            <w:tcBorders>
              <w:top w:val="single" w:sz="4" w:space="0" w:color="auto"/>
              <w:left w:val="single" w:sz="4" w:space="0" w:color="auto"/>
              <w:bottom w:val="single" w:sz="4" w:space="0" w:color="auto"/>
              <w:right w:val="single" w:sz="4" w:space="0" w:color="auto"/>
            </w:tcBorders>
            <w:shd w:val="clear" w:color="auto" w:fill="C6EFCE"/>
            <w:vAlign w:val="center"/>
          </w:tcPr>
          <w:p w14:paraId="37F5CDD2"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2026 </w:t>
            </w:r>
          </w:p>
        </w:tc>
        <w:tc>
          <w:tcPr>
            <w:tcW w:w="4423" w:type="dxa"/>
            <w:tcBorders>
              <w:top w:val="single" w:sz="4" w:space="0" w:color="auto"/>
              <w:left w:val="single" w:sz="4" w:space="0" w:color="auto"/>
              <w:bottom w:val="single" w:sz="4" w:space="0" w:color="auto"/>
              <w:right w:val="single" w:sz="4" w:space="0" w:color="auto"/>
            </w:tcBorders>
            <w:shd w:val="clear" w:color="auto" w:fill="C6EFCE"/>
          </w:tcPr>
          <w:p w14:paraId="6BE5CA87" w14:textId="77777777" w:rsidR="0023462A" w:rsidRDefault="00A550FA">
            <w:pPr>
              <w:pStyle w:val="P68B1DB1-Normal32"/>
              <w:spacing w:after="120"/>
              <w:jc w:val="both"/>
              <w:cnfStyle w:val="000000000000" w:firstRow="0" w:lastRow="0" w:firstColumn="0" w:lastColumn="0" w:oddVBand="0" w:evenVBand="0" w:oddHBand="0" w:evenHBand="0" w:firstRowFirstColumn="0" w:firstRowLastColumn="0" w:lastRowFirstColumn="0" w:lastRowLastColumn="0"/>
              <w:rPr>
                <w:noProof/>
              </w:rPr>
            </w:pPr>
            <w:r>
              <w:rPr>
                <w:noProof/>
              </w:rPr>
              <w:t>Lancement d’un ou de plusieurs appels soutenant l’installation d’installations de stockage avec: (i) une référence à la neutralité technologique vis-à-vis des installations de stockage, et (ii) l’obligation pour les destinataires d’être en mesure d’introduire des capacités sur le marché de l’équilibrage certifiées par le gestionnaire de réseau de transport.</w:t>
            </w:r>
          </w:p>
          <w:p w14:paraId="699783B1" w14:textId="5B885F05" w:rsidR="0023462A" w:rsidRDefault="00A550FA">
            <w:pPr>
              <w:pStyle w:val="P68B1DB1-Normal32"/>
              <w:spacing w:after="120"/>
              <w:jc w:val="both"/>
              <w:cnfStyle w:val="000000000000" w:firstRow="0" w:lastRow="0" w:firstColumn="0" w:lastColumn="0" w:oddVBand="0" w:evenVBand="0" w:oddHBand="0" w:evenHBand="0" w:firstRowFirstColumn="0" w:firstRowLastColumn="0" w:lastRowFirstColumn="0" w:lastRowLastColumn="0"/>
              <w:rPr>
                <w:noProof/>
              </w:rPr>
            </w:pPr>
            <w:r>
              <w:rPr>
                <w:noProof/>
              </w:rPr>
              <w:t>Au moins 676 MWh de capacité des installations de stockage d'énergie du réseau sont installés.</w:t>
            </w:r>
          </w:p>
        </w:tc>
      </w:tr>
      <w:tr w:rsidR="00A52B72" w14:paraId="6CFBEAF3" w14:textId="77777777" w:rsidTr="009C289F">
        <w:trPr>
          <w:trHeight w:val="118"/>
        </w:trPr>
        <w:tc>
          <w:tcPr>
            <w:cnfStyle w:val="001000000000" w:firstRow="0" w:lastRow="0" w:firstColumn="1" w:lastColumn="0" w:oddVBand="0" w:evenVBand="0" w:oddHBand="0" w:evenHBand="0" w:firstRowFirstColumn="0" w:firstRowLastColumn="0" w:lastRowFirstColumn="0" w:lastRowLastColumn="0"/>
            <w:tcW w:w="963" w:type="dxa"/>
            <w:tcBorders>
              <w:top w:val="single" w:sz="4" w:space="0" w:color="auto"/>
              <w:left w:val="single" w:sz="4" w:space="0" w:color="auto"/>
              <w:bottom w:val="single" w:sz="4" w:space="0" w:color="auto"/>
              <w:right w:val="single" w:sz="4" w:space="0" w:color="auto"/>
            </w:tcBorders>
            <w:shd w:val="clear" w:color="auto" w:fill="C6EFCE"/>
            <w:vAlign w:val="center"/>
          </w:tcPr>
          <w:p w14:paraId="5632395D" w14:textId="19B21F95" w:rsidR="0023462A" w:rsidRDefault="00A550FA">
            <w:pPr>
              <w:pStyle w:val="P68B1DB1-Normal32"/>
              <w:spacing w:after="120"/>
              <w:jc w:val="center"/>
              <w:rPr>
                <w:b w:val="0"/>
                <w:noProof/>
              </w:rPr>
            </w:pPr>
            <w:r>
              <w:rPr>
                <w:noProof/>
              </w:rPr>
              <w:t>44</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tcPr>
          <w:p w14:paraId="5FCF849E" w14:textId="77E73683"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C6.I4 Diffusion des compteurs intelligents</w:t>
            </w:r>
          </w:p>
        </w:tc>
        <w:tc>
          <w:tcPr>
            <w:tcW w:w="738" w:type="dxa"/>
            <w:tcBorders>
              <w:top w:val="single" w:sz="4" w:space="0" w:color="auto"/>
              <w:left w:val="single" w:sz="4" w:space="0" w:color="auto"/>
              <w:bottom w:val="single" w:sz="4" w:space="0" w:color="auto"/>
              <w:right w:val="single" w:sz="4" w:space="0" w:color="auto"/>
            </w:tcBorders>
            <w:shd w:val="clear" w:color="auto" w:fill="C6EFCE"/>
            <w:vAlign w:val="center"/>
          </w:tcPr>
          <w:p w14:paraId="371F8774"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Objectif</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4F9C2FC0" w14:textId="33471002"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Installation de compteurs intelligents </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tcPr>
          <w:p w14:paraId="35E0C4F3" w14:textId="77777777" w:rsidR="0023462A" w:rsidRDefault="0023462A">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tcPr>
          <w:p w14:paraId="0AF05CD9"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Numéro</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422697A5"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5D94723A" w14:textId="56A74E4F"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290 680</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tcPr>
          <w:p w14:paraId="22EEFA62"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T2</w:t>
            </w:r>
          </w:p>
        </w:tc>
        <w:tc>
          <w:tcPr>
            <w:tcW w:w="1105" w:type="dxa"/>
            <w:tcBorders>
              <w:top w:val="single" w:sz="4" w:space="0" w:color="auto"/>
              <w:left w:val="single" w:sz="4" w:space="0" w:color="auto"/>
              <w:bottom w:val="single" w:sz="4" w:space="0" w:color="auto"/>
              <w:right w:val="single" w:sz="4" w:space="0" w:color="auto"/>
            </w:tcBorders>
            <w:shd w:val="clear" w:color="auto" w:fill="C6EFCE"/>
            <w:vAlign w:val="center"/>
          </w:tcPr>
          <w:p w14:paraId="450836E0"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423" w:type="dxa"/>
            <w:tcBorders>
              <w:top w:val="single" w:sz="4" w:space="0" w:color="auto"/>
              <w:left w:val="single" w:sz="4" w:space="0" w:color="auto"/>
              <w:bottom w:val="single" w:sz="4" w:space="0" w:color="auto"/>
              <w:right w:val="single" w:sz="4" w:space="0" w:color="auto"/>
            </w:tcBorders>
            <w:shd w:val="clear" w:color="auto" w:fill="C6EFCE"/>
          </w:tcPr>
          <w:p w14:paraId="672E0ED5" w14:textId="5F1CF76E" w:rsidR="0023462A" w:rsidRDefault="00A550FA">
            <w:pPr>
              <w:pStyle w:val="P68B1DB1-Normal32"/>
              <w:spacing w:after="120"/>
              <w:jc w:val="both"/>
              <w:cnfStyle w:val="000000000000" w:firstRow="0" w:lastRow="0" w:firstColumn="0" w:lastColumn="0" w:oddVBand="0" w:evenVBand="0" w:oddHBand="0" w:evenHBand="0" w:firstRowFirstColumn="0" w:firstRowLastColumn="0" w:lastRowFirstColumn="0" w:lastRowLastColumn="0"/>
              <w:rPr>
                <w:noProof/>
              </w:rPr>
            </w:pPr>
            <w:r>
              <w:rPr>
                <w:noProof/>
              </w:rPr>
              <w:t>Au moins 290 680 compteurs intelligents installés par les gestionnaires de réseau de distribution.</w:t>
            </w:r>
          </w:p>
        </w:tc>
      </w:tr>
      <w:tr w:rsidR="00A52B72" w14:paraId="54BCC7FC" w14:textId="77777777" w:rsidTr="009C289F">
        <w:trPr>
          <w:trHeight w:val="479"/>
        </w:trPr>
        <w:tc>
          <w:tcPr>
            <w:cnfStyle w:val="001000000000" w:firstRow="0" w:lastRow="0" w:firstColumn="1" w:lastColumn="0" w:oddVBand="0" w:evenVBand="0" w:oddHBand="0" w:evenHBand="0" w:firstRowFirstColumn="0" w:firstRowLastColumn="0" w:lastRowFirstColumn="0" w:lastRowLastColumn="0"/>
            <w:tcW w:w="963" w:type="dxa"/>
            <w:tcBorders>
              <w:top w:val="single" w:sz="4" w:space="0" w:color="auto"/>
              <w:left w:val="single" w:sz="4" w:space="0" w:color="auto"/>
              <w:bottom w:val="single" w:sz="4" w:space="0" w:color="auto"/>
              <w:right w:val="single" w:sz="4" w:space="0" w:color="auto"/>
            </w:tcBorders>
            <w:shd w:val="clear" w:color="auto" w:fill="C6EFCE"/>
            <w:vAlign w:val="center"/>
          </w:tcPr>
          <w:p w14:paraId="177169DC" w14:textId="7C2342C9" w:rsidR="0023462A" w:rsidRDefault="00A550FA">
            <w:pPr>
              <w:pStyle w:val="P68B1DB1-Normal32"/>
              <w:spacing w:after="120"/>
              <w:jc w:val="center"/>
              <w:rPr>
                <w:b w:val="0"/>
                <w:noProof/>
              </w:rPr>
            </w:pPr>
            <w:r>
              <w:rPr>
                <w:noProof/>
              </w:rPr>
              <w:t>45</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tcPr>
          <w:p w14:paraId="74F6E0E1" w14:textId="6FC61B51"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rFonts w:eastAsia="Calibri"/>
                <w:noProof/>
              </w:rPr>
            </w:pPr>
            <w:r>
              <w:rPr>
                <w:noProof/>
              </w:rPr>
              <w:t>C6.I5. Investissements dans l'efficacité énergétique des bâtiments publics</w:t>
            </w:r>
          </w:p>
          <w:p w14:paraId="3E1E0E46" w14:textId="77777777" w:rsidR="0023462A" w:rsidRDefault="0023462A">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738" w:type="dxa"/>
            <w:tcBorders>
              <w:top w:val="single" w:sz="4" w:space="0" w:color="auto"/>
              <w:left w:val="single" w:sz="4" w:space="0" w:color="auto"/>
              <w:bottom w:val="single" w:sz="4" w:space="0" w:color="auto"/>
              <w:right w:val="single" w:sz="4" w:space="0" w:color="auto"/>
            </w:tcBorders>
            <w:shd w:val="clear" w:color="auto" w:fill="C6EFCE"/>
            <w:vAlign w:val="center"/>
          </w:tcPr>
          <w:p w14:paraId="22167B0F"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Objectif</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537BA9F1"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Nombre de bâtiments publics ayant bénéficié d’une rénovation visant à améliorer l’efficacité énergétique</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tcPr>
          <w:p w14:paraId="4A3364EE" w14:textId="77777777" w:rsidR="0023462A" w:rsidRDefault="0023462A">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tcPr>
          <w:p w14:paraId="30B3EB42"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Numéro</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015512EE"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37C3E0AB" w14:textId="1E12EDD6"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180</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tcPr>
          <w:p w14:paraId="708EE067"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T2</w:t>
            </w:r>
          </w:p>
        </w:tc>
        <w:tc>
          <w:tcPr>
            <w:tcW w:w="1105" w:type="dxa"/>
            <w:tcBorders>
              <w:top w:val="single" w:sz="4" w:space="0" w:color="auto"/>
              <w:left w:val="single" w:sz="4" w:space="0" w:color="auto"/>
              <w:bottom w:val="single" w:sz="4" w:space="0" w:color="auto"/>
              <w:right w:val="single" w:sz="4" w:space="0" w:color="auto"/>
            </w:tcBorders>
            <w:shd w:val="clear" w:color="auto" w:fill="C6EFCE"/>
            <w:vAlign w:val="center"/>
          </w:tcPr>
          <w:p w14:paraId="3443C462" w14:textId="77777777"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423" w:type="dxa"/>
            <w:tcBorders>
              <w:top w:val="single" w:sz="4" w:space="0" w:color="auto"/>
              <w:left w:val="single" w:sz="4" w:space="0" w:color="auto"/>
              <w:bottom w:val="single" w:sz="4" w:space="0" w:color="auto"/>
              <w:right w:val="single" w:sz="4" w:space="0" w:color="auto"/>
            </w:tcBorders>
            <w:shd w:val="clear" w:color="auto" w:fill="C6EFCE"/>
          </w:tcPr>
          <w:p w14:paraId="26D1ABE9" w14:textId="5BFF1DA8" w:rsidR="0023462A" w:rsidRDefault="00A550FA">
            <w:pPr>
              <w:pStyle w:val="P68B1DB1-Normal32"/>
              <w:spacing w:after="120"/>
              <w:jc w:val="both"/>
              <w:cnfStyle w:val="000000000000" w:firstRow="0" w:lastRow="0" w:firstColumn="0" w:lastColumn="0" w:oddVBand="0" w:evenVBand="0" w:oddHBand="0" w:evenHBand="0" w:firstRowFirstColumn="0" w:firstRowLastColumn="0" w:lastRowFirstColumn="0" w:lastRowLastColumn="0"/>
              <w:rPr>
                <w:noProof/>
              </w:rPr>
            </w:pPr>
            <w:r>
              <w:rPr>
                <w:noProof/>
              </w:rPr>
              <w:t>Rénovation de l'efficacité énergétique dans au moins 180 bâtiments publics.</w:t>
            </w:r>
          </w:p>
        </w:tc>
      </w:tr>
      <w:tr w:rsidR="00A52B72" w14:paraId="4FD7A860" w14:textId="77777777" w:rsidTr="009C289F">
        <w:trPr>
          <w:trHeight w:val="479"/>
        </w:trPr>
        <w:tc>
          <w:tcPr>
            <w:cnfStyle w:val="001000000000" w:firstRow="0" w:lastRow="0" w:firstColumn="1" w:lastColumn="0" w:oddVBand="0" w:evenVBand="0" w:oddHBand="0" w:evenHBand="0" w:firstRowFirstColumn="0" w:firstRowLastColumn="0" w:lastRowFirstColumn="0" w:lastRowLastColumn="0"/>
            <w:tcW w:w="963" w:type="dxa"/>
            <w:tcBorders>
              <w:top w:val="single" w:sz="4" w:space="0" w:color="auto"/>
              <w:left w:val="single" w:sz="4" w:space="0" w:color="auto"/>
              <w:bottom w:val="single" w:sz="4" w:space="0" w:color="auto"/>
              <w:right w:val="single" w:sz="4" w:space="0" w:color="auto"/>
            </w:tcBorders>
            <w:shd w:val="clear" w:color="auto" w:fill="C6EFCE"/>
          </w:tcPr>
          <w:p w14:paraId="72A316B1" w14:textId="6521A3B9" w:rsidR="0023462A" w:rsidRDefault="00A550FA">
            <w:pPr>
              <w:pStyle w:val="P68B1DB1-Normal32"/>
              <w:spacing w:after="120"/>
              <w:jc w:val="center"/>
              <w:rPr>
                <w:b w:val="0"/>
                <w:noProof/>
              </w:rPr>
            </w:pPr>
            <w:r>
              <w:rPr>
                <w:noProof/>
              </w:rPr>
              <w:t>46</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75AA74D7" w14:textId="22CF5B9B"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C6.I6. Régime de subventions pour le développement du réseau électrique</w:t>
            </w:r>
          </w:p>
        </w:tc>
        <w:tc>
          <w:tcPr>
            <w:tcW w:w="738" w:type="dxa"/>
            <w:tcBorders>
              <w:top w:val="single" w:sz="4" w:space="0" w:color="auto"/>
              <w:left w:val="single" w:sz="4" w:space="0" w:color="auto"/>
              <w:bottom w:val="single" w:sz="4" w:space="0" w:color="auto"/>
              <w:right w:val="single" w:sz="4" w:space="0" w:color="auto"/>
            </w:tcBorders>
            <w:shd w:val="clear" w:color="auto" w:fill="C6EFCE"/>
          </w:tcPr>
          <w:p w14:paraId="275155B7" w14:textId="3363BC64" w:rsidR="0023462A" w:rsidRDefault="00A550FA">
            <w:pPr>
              <w:pStyle w:val="P68B1DB1-Normal32"/>
              <w:spacing w:after="120"/>
              <w:jc w:val="center"/>
              <w:cnfStyle w:val="000000000000" w:firstRow="0" w:lastRow="0" w:firstColumn="0" w:lastColumn="0" w:oddVBand="0" w:evenVBand="0" w:oddHBand="0" w:evenHBand="0" w:firstRowFirstColumn="0" w:firstRowLastColumn="0" w:lastRowFirstColumn="0" w:lastRowLastColumn="0"/>
              <w:rPr>
                <w:noProof/>
              </w:rPr>
            </w:pPr>
            <w:r>
              <w:rPr>
                <w:noProof/>
              </w:rPr>
              <w:t>Étape</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76521FD3" w14:textId="3B3273B6"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Accord de mise en œuvre</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tcPr>
          <w:p w14:paraId="479BD365" w14:textId="7E8E81F1"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Entrée en vigueur de l'accord de mise en œuvre</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tcPr>
          <w:p w14:paraId="40099957" w14:textId="17A9A01B" w:rsidR="0023462A" w:rsidRDefault="0023462A">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4B4C7BAB" w14:textId="616FDE62" w:rsidR="0023462A" w:rsidRDefault="0023462A">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50311986" w14:textId="1BB346BF" w:rsidR="0023462A" w:rsidRDefault="0023462A">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tcPr>
          <w:p w14:paraId="06AD11AF" w14:textId="7DC34AE1" w:rsidR="0023462A" w:rsidRDefault="00A550FA">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T2</w:t>
            </w:r>
          </w:p>
        </w:tc>
        <w:tc>
          <w:tcPr>
            <w:tcW w:w="1105" w:type="dxa"/>
            <w:tcBorders>
              <w:top w:val="single" w:sz="4" w:space="0" w:color="auto"/>
              <w:left w:val="single" w:sz="4" w:space="0" w:color="auto"/>
              <w:bottom w:val="single" w:sz="4" w:space="0" w:color="auto"/>
              <w:right w:val="single" w:sz="4" w:space="0" w:color="auto"/>
            </w:tcBorders>
            <w:shd w:val="clear" w:color="auto" w:fill="C6EFCE"/>
            <w:vAlign w:val="center"/>
          </w:tcPr>
          <w:p w14:paraId="388C1E8C" w14:textId="481C97B1" w:rsidR="0023462A" w:rsidRDefault="00A550FA">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423" w:type="dxa"/>
            <w:tcBorders>
              <w:top w:val="single" w:sz="4" w:space="0" w:color="auto"/>
              <w:left w:val="single" w:sz="4" w:space="0" w:color="auto"/>
              <w:bottom w:val="single" w:sz="4" w:space="0" w:color="auto"/>
              <w:right w:val="single" w:sz="4" w:space="0" w:color="auto"/>
            </w:tcBorders>
            <w:shd w:val="clear" w:color="auto" w:fill="C6EFCE"/>
          </w:tcPr>
          <w:p w14:paraId="727CAEA2" w14:textId="0BF4482E" w:rsidR="0023462A" w:rsidRDefault="00A550FA">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Entrée en vigueur de l'accord de mise en œuvre.</w:t>
            </w:r>
          </w:p>
        </w:tc>
      </w:tr>
      <w:tr w:rsidR="00A52B72" w14:paraId="19722DE1" w14:textId="77777777" w:rsidTr="009C289F">
        <w:trPr>
          <w:trHeight w:val="479"/>
        </w:trPr>
        <w:tc>
          <w:tcPr>
            <w:cnfStyle w:val="001000000000" w:firstRow="0" w:lastRow="0" w:firstColumn="1" w:lastColumn="0" w:oddVBand="0" w:evenVBand="0" w:oddHBand="0" w:evenHBand="0" w:firstRowFirstColumn="0" w:firstRowLastColumn="0" w:lastRowFirstColumn="0" w:lastRowLastColumn="0"/>
            <w:tcW w:w="963" w:type="dxa"/>
            <w:tcBorders>
              <w:top w:val="single" w:sz="4" w:space="0" w:color="auto"/>
              <w:left w:val="single" w:sz="4" w:space="0" w:color="auto"/>
              <w:bottom w:val="single" w:sz="4" w:space="0" w:color="auto"/>
              <w:right w:val="single" w:sz="4" w:space="0" w:color="auto"/>
            </w:tcBorders>
            <w:shd w:val="clear" w:color="auto" w:fill="C6EFCE"/>
          </w:tcPr>
          <w:p w14:paraId="5889C5ED" w14:textId="5692ED69" w:rsidR="0023462A" w:rsidRDefault="00A550FA">
            <w:pPr>
              <w:pStyle w:val="P68B1DB1-Normal32"/>
              <w:spacing w:after="120"/>
              <w:jc w:val="center"/>
              <w:rPr>
                <w:b w:val="0"/>
                <w:noProof/>
              </w:rPr>
            </w:pPr>
            <w:r>
              <w:rPr>
                <w:noProof/>
              </w:rPr>
              <w:t>47</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387AF455" w14:textId="4F76C224"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C6.I6. Régime de subventions pour le développement du réseau électrique</w:t>
            </w:r>
          </w:p>
        </w:tc>
        <w:tc>
          <w:tcPr>
            <w:tcW w:w="738" w:type="dxa"/>
            <w:tcBorders>
              <w:top w:val="single" w:sz="4" w:space="0" w:color="auto"/>
              <w:left w:val="single" w:sz="4" w:space="0" w:color="auto"/>
              <w:bottom w:val="single" w:sz="4" w:space="0" w:color="auto"/>
              <w:right w:val="single" w:sz="4" w:space="0" w:color="auto"/>
            </w:tcBorders>
            <w:shd w:val="clear" w:color="auto" w:fill="C6EFCE"/>
          </w:tcPr>
          <w:p w14:paraId="5FFC358C" w14:textId="067C6284" w:rsidR="0023462A" w:rsidRDefault="00A550FA">
            <w:pPr>
              <w:pStyle w:val="P68B1DB1-Normal32"/>
              <w:spacing w:after="120"/>
              <w:jc w:val="center"/>
              <w:cnfStyle w:val="000000000000" w:firstRow="0" w:lastRow="0" w:firstColumn="0" w:lastColumn="0" w:oddVBand="0" w:evenVBand="0" w:oddHBand="0" w:evenHBand="0" w:firstRowFirstColumn="0" w:firstRowLastColumn="0" w:lastRowFirstColumn="0" w:lastRowLastColumn="0"/>
              <w:rPr>
                <w:noProof/>
              </w:rPr>
            </w:pPr>
            <w:r>
              <w:rPr>
                <w:noProof/>
              </w:rPr>
              <w:t>Objectif</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699F1F70" w14:textId="2A69A7A4"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Accords juridiques signés avec les bénéficiaires finaux</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tcPr>
          <w:p w14:paraId="1885F4E4" w14:textId="77777777" w:rsidR="0023462A" w:rsidRDefault="0023462A">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tcPr>
          <w:p w14:paraId="66108333" w14:textId="3581CF40" w:rsidR="0023462A" w:rsidRDefault="00A550FA">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Pourcentage (%)</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22863A75" w14:textId="4FF8891D" w:rsidR="0023462A" w:rsidRDefault="00A550FA">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127D68CF" w14:textId="0CB10697" w:rsidR="0023462A" w:rsidRDefault="00A550FA">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100</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tcPr>
          <w:p w14:paraId="702A798E" w14:textId="5DAAC2FD"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T2</w:t>
            </w:r>
          </w:p>
        </w:tc>
        <w:tc>
          <w:tcPr>
            <w:tcW w:w="1105" w:type="dxa"/>
            <w:tcBorders>
              <w:top w:val="single" w:sz="4" w:space="0" w:color="auto"/>
              <w:left w:val="single" w:sz="4" w:space="0" w:color="auto"/>
              <w:bottom w:val="single" w:sz="4" w:space="0" w:color="auto"/>
              <w:right w:val="single" w:sz="4" w:space="0" w:color="auto"/>
            </w:tcBorders>
            <w:shd w:val="clear" w:color="auto" w:fill="C6EFCE"/>
            <w:vAlign w:val="center"/>
          </w:tcPr>
          <w:p w14:paraId="28862ACF" w14:textId="7B0748AF"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423" w:type="dxa"/>
            <w:tcBorders>
              <w:top w:val="single" w:sz="4" w:space="0" w:color="auto"/>
              <w:left w:val="single" w:sz="4" w:space="0" w:color="auto"/>
              <w:bottom w:val="single" w:sz="4" w:space="0" w:color="auto"/>
              <w:right w:val="single" w:sz="4" w:space="0" w:color="auto"/>
            </w:tcBorders>
            <w:shd w:val="clear" w:color="auto" w:fill="C6EFCE"/>
          </w:tcPr>
          <w:p w14:paraId="3E25022B" w14:textId="6BCCDF15" w:rsidR="0023462A" w:rsidRDefault="00A550FA">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La MFB a conclu des conventions de subvention légales avec les bénéficiaires pour un montant nécessaire à l’utilisation de 100 % de l’investissement de la FRR dans le régime (en tenant compte des frais de gestion). </w:t>
            </w:r>
          </w:p>
        </w:tc>
      </w:tr>
      <w:tr w:rsidR="00A52B72" w14:paraId="0174032A" w14:textId="77777777" w:rsidTr="009C289F">
        <w:trPr>
          <w:trHeight w:val="479"/>
        </w:trPr>
        <w:tc>
          <w:tcPr>
            <w:cnfStyle w:val="001000000000" w:firstRow="0" w:lastRow="0" w:firstColumn="1" w:lastColumn="0" w:oddVBand="0" w:evenVBand="0" w:oddHBand="0" w:evenHBand="0" w:firstRowFirstColumn="0" w:firstRowLastColumn="0" w:lastRowFirstColumn="0" w:lastRowLastColumn="0"/>
            <w:tcW w:w="963" w:type="dxa"/>
            <w:tcBorders>
              <w:top w:val="single" w:sz="4" w:space="0" w:color="auto"/>
              <w:left w:val="single" w:sz="4" w:space="0" w:color="auto"/>
              <w:bottom w:val="single" w:sz="4" w:space="0" w:color="auto"/>
              <w:right w:val="single" w:sz="4" w:space="0" w:color="auto"/>
            </w:tcBorders>
            <w:shd w:val="clear" w:color="auto" w:fill="C6EFCE"/>
          </w:tcPr>
          <w:p w14:paraId="26759671" w14:textId="7D832CA8" w:rsidR="0023462A" w:rsidRDefault="00A550FA">
            <w:pPr>
              <w:pStyle w:val="P68B1DB1-Normal32"/>
              <w:spacing w:after="120"/>
              <w:jc w:val="center"/>
              <w:rPr>
                <w:b w:val="0"/>
                <w:noProof/>
              </w:rPr>
            </w:pPr>
            <w:r>
              <w:rPr>
                <w:noProof/>
              </w:rPr>
              <w:t>48</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08194492" w14:textId="7A23400D" w:rsidR="0023462A" w:rsidRDefault="00A550FA">
            <w:pPr>
              <w:pStyle w:val="P68B1DB1-Normal32"/>
              <w:spacing w:after="120"/>
              <w:cnfStyle w:val="000000000000" w:firstRow="0" w:lastRow="0" w:firstColumn="0" w:lastColumn="0" w:oddVBand="0" w:evenVBand="0" w:oddHBand="0" w:evenHBand="0" w:firstRowFirstColumn="0" w:firstRowLastColumn="0" w:lastRowFirstColumn="0" w:lastRowLastColumn="0"/>
              <w:rPr>
                <w:rFonts w:eastAsia="Times New Roman"/>
                <w:noProof/>
              </w:rPr>
            </w:pPr>
            <w:r>
              <w:rPr>
                <w:noProof/>
              </w:rPr>
              <w:t>C6.I6. Régime de subventions pour le développement du réseau électrique</w:t>
            </w:r>
          </w:p>
        </w:tc>
        <w:tc>
          <w:tcPr>
            <w:tcW w:w="738" w:type="dxa"/>
            <w:tcBorders>
              <w:top w:val="single" w:sz="4" w:space="0" w:color="auto"/>
              <w:left w:val="single" w:sz="4" w:space="0" w:color="auto"/>
              <w:bottom w:val="single" w:sz="4" w:space="0" w:color="auto"/>
              <w:right w:val="single" w:sz="4" w:space="0" w:color="auto"/>
            </w:tcBorders>
            <w:shd w:val="clear" w:color="auto" w:fill="C6EFCE"/>
          </w:tcPr>
          <w:p w14:paraId="4C684E82" w14:textId="0E7D3AB6" w:rsidR="0023462A" w:rsidRDefault="00A550FA">
            <w:pPr>
              <w:pStyle w:val="P68B1DB1-Normal27"/>
              <w:spacing w:after="120"/>
              <w:jc w:val="center"/>
              <w:cnfStyle w:val="000000000000" w:firstRow="0" w:lastRow="0" w:firstColumn="0" w:lastColumn="0" w:oddVBand="0" w:evenVBand="0" w:oddHBand="0" w:evenHBand="0" w:firstRowFirstColumn="0" w:firstRowLastColumn="0" w:lastRowFirstColumn="0" w:lastRowLastColumn="0"/>
              <w:rPr>
                <w:noProof/>
              </w:rPr>
            </w:pPr>
            <w:r>
              <w:rPr>
                <w:noProof/>
              </w:rPr>
              <w:t>Étape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5898B747" w14:textId="680F572D" w:rsidR="0023462A" w:rsidRDefault="00A550FA">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Le ministère a terminé l'investissement</w:t>
            </w:r>
          </w:p>
        </w:tc>
        <w:tc>
          <w:tcPr>
            <w:tcW w:w="1417" w:type="dxa"/>
            <w:tcBorders>
              <w:top w:val="single" w:sz="4" w:space="0" w:color="auto"/>
              <w:left w:val="single" w:sz="4" w:space="0" w:color="auto"/>
              <w:bottom w:val="single" w:sz="4" w:space="0" w:color="auto"/>
              <w:right w:val="single" w:sz="4" w:space="0" w:color="auto"/>
            </w:tcBorders>
            <w:shd w:val="clear" w:color="auto" w:fill="C6EFCE"/>
          </w:tcPr>
          <w:p w14:paraId="75BC07C4" w14:textId="77777777" w:rsidR="0023462A" w:rsidRDefault="0023462A">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4982D666" w14:textId="77777777" w:rsidR="0023462A" w:rsidRDefault="0023462A">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3B67EBFC" w14:textId="77777777" w:rsidR="0023462A" w:rsidRDefault="0023462A">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CD4EFBA" w14:textId="77777777" w:rsidR="0023462A" w:rsidRDefault="0023462A">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tcPr>
          <w:p w14:paraId="2FFD697E" w14:textId="2C552DF5" w:rsidR="0023462A" w:rsidRDefault="00A550FA">
            <w:pPr>
              <w:pStyle w:val="P68B1DB1-Normal32"/>
              <w:spacing w:after="120"/>
              <w:jc w:val="center"/>
              <w:cnfStyle w:val="000000000000" w:firstRow="0" w:lastRow="0" w:firstColumn="0" w:lastColumn="0" w:oddVBand="0" w:evenVBand="0" w:oddHBand="0" w:evenHBand="0" w:firstRowFirstColumn="0" w:firstRowLastColumn="0" w:lastRowFirstColumn="0" w:lastRowLastColumn="0"/>
              <w:rPr>
                <w:rFonts w:eastAsia="Times New Roman"/>
                <w:noProof/>
              </w:rPr>
            </w:pPr>
            <w:r>
              <w:rPr>
                <w:noProof/>
              </w:rPr>
              <w:t>T2</w:t>
            </w:r>
          </w:p>
        </w:tc>
        <w:tc>
          <w:tcPr>
            <w:tcW w:w="1105" w:type="dxa"/>
            <w:tcBorders>
              <w:top w:val="single" w:sz="4" w:space="0" w:color="auto"/>
              <w:left w:val="single" w:sz="4" w:space="0" w:color="auto"/>
              <w:bottom w:val="single" w:sz="4" w:space="0" w:color="auto"/>
              <w:right w:val="single" w:sz="4" w:space="0" w:color="auto"/>
            </w:tcBorders>
            <w:shd w:val="clear" w:color="auto" w:fill="C6EFCE"/>
            <w:vAlign w:val="center"/>
          </w:tcPr>
          <w:p w14:paraId="27C4E616" w14:textId="5AD0CC78" w:rsidR="0023462A" w:rsidRDefault="00A550FA">
            <w:pPr>
              <w:pStyle w:val="P68B1DB1-Normal32"/>
              <w:spacing w:after="120"/>
              <w:jc w:val="center"/>
              <w:cnfStyle w:val="000000000000" w:firstRow="0" w:lastRow="0" w:firstColumn="0" w:lastColumn="0" w:oddVBand="0" w:evenVBand="0" w:oddHBand="0" w:evenHBand="0" w:firstRowFirstColumn="0" w:firstRowLastColumn="0" w:lastRowFirstColumn="0" w:lastRowLastColumn="0"/>
              <w:rPr>
                <w:rFonts w:eastAsia="Times New Roman"/>
                <w:noProof/>
              </w:rPr>
            </w:pPr>
            <w:r>
              <w:rPr>
                <w:noProof/>
              </w:rPr>
              <w:t>2026</w:t>
            </w:r>
          </w:p>
        </w:tc>
        <w:tc>
          <w:tcPr>
            <w:tcW w:w="4423" w:type="dxa"/>
            <w:tcBorders>
              <w:top w:val="single" w:sz="4" w:space="0" w:color="auto"/>
              <w:left w:val="single" w:sz="4" w:space="0" w:color="auto"/>
              <w:bottom w:val="single" w:sz="4" w:space="0" w:color="auto"/>
              <w:right w:val="single" w:sz="4" w:space="0" w:color="auto"/>
            </w:tcBorders>
            <w:shd w:val="clear" w:color="auto" w:fill="C6EFCE"/>
          </w:tcPr>
          <w:p w14:paraId="47BB8F44" w14:textId="1256CCD8" w:rsidR="0023462A" w:rsidRDefault="00A550FA">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La Hongrie transfère 856 756 163,36 EUR à la MFB pour la facilité (en tenant compte des frais de gestion).</w:t>
            </w:r>
          </w:p>
        </w:tc>
      </w:tr>
    </w:tbl>
    <w:p w14:paraId="7F73DDF1" w14:textId="77777777" w:rsidR="0023462A" w:rsidRDefault="0023462A">
      <w:pPr>
        <w:spacing w:after="120" w:line="240" w:lineRule="auto"/>
        <w:rPr>
          <w:rFonts w:ascii="Times New Roman" w:hAnsi="Times New Roman" w:cs="Times New Roman"/>
          <w:noProof/>
          <w:sz w:val="24"/>
          <w:szCs w:val="24"/>
        </w:rPr>
        <w:sectPr w:rsidR="0023462A" w:rsidSect="009030B8">
          <w:headerReference w:type="even" r:id="rId88"/>
          <w:headerReference w:type="default" r:id="rId89"/>
          <w:footerReference w:type="even" r:id="rId90"/>
          <w:footerReference w:type="default" r:id="rId91"/>
          <w:headerReference w:type="first" r:id="rId92"/>
          <w:footerReference w:type="first" r:id="rId93"/>
          <w:pgSz w:w="16839" w:h="11907" w:orient="landscape"/>
          <w:pgMar w:top="1134" w:right="1134" w:bottom="1134" w:left="1134" w:header="567" w:footer="567" w:gutter="0"/>
          <w:cols w:space="708"/>
          <w:docGrid w:linePitch="360"/>
        </w:sectPr>
      </w:pPr>
    </w:p>
    <w:p w14:paraId="3B223A06" w14:textId="6FB9E496" w:rsidR="0023462A" w:rsidRDefault="00A550FA">
      <w:pPr>
        <w:pStyle w:val="P68B1DB1-Normal44"/>
        <w:keepNext/>
        <w:spacing w:after="120" w:line="240" w:lineRule="auto"/>
        <w:jc w:val="both"/>
        <w:outlineLvl w:val="1"/>
        <w:rPr>
          <w:rFonts w:cs="Times New Roman"/>
          <w:caps/>
          <w:noProof/>
          <w:szCs w:val="24"/>
        </w:rPr>
      </w:pPr>
      <w:r>
        <w:rPr>
          <w:noProof/>
        </w:rPr>
        <w:t xml:space="preserve">G. Élément 7: SANTÉ </w:t>
      </w:r>
    </w:p>
    <w:p w14:paraId="6F219F4F" w14:textId="34D67A54" w:rsidR="0023462A" w:rsidRDefault="00A550FA">
      <w:pPr>
        <w:pStyle w:val="P68B1DB1-Normal6"/>
        <w:autoSpaceDE w:val="0"/>
        <w:autoSpaceDN w:val="0"/>
        <w:adjustRightInd w:val="0"/>
        <w:spacing w:after="120" w:line="240" w:lineRule="auto"/>
        <w:jc w:val="both"/>
        <w:rPr>
          <w:rFonts w:eastAsiaTheme="minorHAnsi"/>
          <w:noProof/>
        </w:rPr>
      </w:pPr>
      <w:r>
        <w:rPr>
          <w:noProof/>
        </w:rPr>
        <w:t>Cette composante du plan hongrois pour la reprise et la résilience répond à plusieurs défis auxquels le système de santé hongrois est actuellement confronté, tels que l’inégalité d’accès aux services et la forte incidence des paiements informels (gratuits); une dépendance excessive à l’égard des hôpitaux dans la fourniture de services et des pénuries régionales de main-d’œuvre au sein du système de santé.</w:t>
      </w:r>
    </w:p>
    <w:p w14:paraId="77E99015" w14:textId="13AF5766" w:rsidR="0023462A" w:rsidRDefault="00A550FA">
      <w:pPr>
        <w:pStyle w:val="P68B1DB1-Normal6"/>
        <w:autoSpaceDE w:val="0"/>
        <w:autoSpaceDN w:val="0"/>
        <w:adjustRightInd w:val="0"/>
        <w:spacing w:after="120" w:line="240" w:lineRule="auto"/>
        <w:jc w:val="both"/>
        <w:rPr>
          <w:rFonts w:eastAsiaTheme="minorHAnsi"/>
          <w:noProof/>
        </w:rPr>
      </w:pPr>
      <w:r>
        <w:rPr>
          <w:noProof/>
        </w:rPr>
        <w:t>L’objectif principal de ce volet est de mettre en place un système de soins moderne et efficace, capable de relever les défis du XXIe siècle et accessible à tous, conformément au principe 16 du socle européen des droits sociaux. À cette fin, le volet vise à i) éradiquer les paiements de gratification dans le système de santé; ii) renforcer le rôle des médecins généralistes; iii) rationaliser les soins aux patients hospitalisés et moderniser ses infrastructures et iv) accroître l’utilisation des technologies de l’information et de la communication (TIC) afin d’améliorer la qualité et l’efficacité des services de soins de santé.</w:t>
      </w:r>
    </w:p>
    <w:p w14:paraId="56497588" w14:textId="77777777" w:rsidR="0023462A" w:rsidRDefault="00A550FA">
      <w:pPr>
        <w:pStyle w:val="P68B1DB1-Normal6"/>
        <w:autoSpaceDE w:val="0"/>
        <w:autoSpaceDN w:val="0"/>
        <w:adjustRightInd w:val="0"/>
        <w:spacing w:after="120" w:line="240" w:lineRule="auto"/>
        <w:jc w:val="both"/>
        <w:rPr>
          <w:rFonts w:eastAsiaTheme="minorHAnsi"/>
          <w:noProof/>
        </w:rPr>
      </w:pPr>
      <w:r>
        <w:rPr>
          <w:noProof/>
        </w:rPr>
        <w:t xml:space="preserve">Le volet soutient la mise en œuvre des recommandations par pays sur le soutien aux mesures de santé préventives et le renforcement des soins de santé primaires (recommandations par pays no 2 de 2019 et no 3 de 2022), sur la lutte contre les pénuries de professionnels de la santé et la garantie d’un approvisionnement adéquat en produits et infrastructures médicaux critiques (recommandation par pays no 1 de 2020) et sur la garantie de l’accès aux services essentiels pour tous (recommandation par pays no 2 de 2020). Elle devrait également contribuer à la mise en œuvre du socle européen des droits sociaux. </w:t>
      </w:r>
    </w:p>
    <w:p w14:paraId="2B548A6C" w14:textId="43ACCB41" w:rsidR="0023462A" w:rsidRDefault="00A550FA">
      <w:pPr>
        <w:pStyle w:val="P68B1DB1-Normal6"/>
        <w:autoSpaceDE w:val="0"/>
        <w:autoSpaceDN w:val="0"/>
        <w:adjustRightInd w:val="0"/>
        <w:spacing w:after="120" w:line="240" w:lineRule="auto"/>
        <w:jc w:val="both"/>
        <w:rPr>
          <w:rFonts w:eastAsiaTheme="minorHAnsi"/>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654F19D7" w14:textId="1089041B" w:rsidR="0023462A" w:rsidRDefault="00A550FA">
      <w:pPr>
        <w:pStyle w:val="P68B1DB1-Heading310"/>
        <w:spacing w:before="0" w:after="120"/>
        <w:rPr>
          <w:noProof/>
        </w:rPr>
      </w:pPr>
      <w:r>
        <w:rPr>
          <w:noProof/>
        </w:rPr>
        <w:t>G.1. Description des réformes et des investissements pour le soutien financier non remboursable</w:t>
      </w:r>
    </w:p>
    <w:p w14:paraId="269F2752" w14:textId="53C74126" w:rsidR="0023462A" w:rsidRDefault="00A550FA">
      <w:pPr>
        <w:pStyle w:val="P68B1DB1-Heading411"/>
        <w:spacing w:before="0" w:after="120" w:line="240" w:lineRule="auto"/>
        <w:rPr>
          <w:rFonts w:eastAsiaTheme="minorHAnsi"/>
          <w:noProof/>
        </w:rPr>
      </w:pPr>
      <w:r>
        <w:rPr>
          <w:noProof/>
        </w:rPr>
        <w:t xml:space="preserve">C7.R1 : Éradication des paiements de gratification dans le secteur de la santé </w:t>
      </w:r>
    </w:p>
    <w:p w14:paraId="42B442F0" w14:textId="77777777" w:rsidR="0023462A" w:rsidRDefault="00A550FA">
      <w:pPr>
        <w:pStyle w:val="P68B1DB1-Normal6"/>
        <w:spacing w:after="120" w:line="240" w:lineRule="auto"/>
        <w:jc w:val="both"/>
        <w:rPr>
          <w:rFonts w:eastAsiaTheme="minorHAnsi"/>
          <w:noProof/>
        </w:rPr>
      </w:pPr>
      <w:r>
        <w:rPr>
          <w:noProof/>
        </w:rPr>
        <w:t xml:space="preserve">L’objectif de la mesure est d’éradiquer la pratique des paiements informels de gratification dans les services de soins de santé tout en créant de meilleures conditions financières et de travail pour les médecins. </w:t>
      </w:r>
    </w:p>
    <w:p w14:paraId="53C80993" w14:textId="0BB02FC8" w:rsidR="0023462A" w:rsidRDefault="00A550FA">
      <w:pPr>
        <w:pStyle w:val="P68B1DB1-Normal12"/>
        <w:spacing w:after="120" w:line="240" w:lineRule="auto"/>
        <w:jc w:val="both"/>
        <w:rPr>
          <w:rFonts w:ascii="Times New Roman" w:hAnsi="Times New Roman"/>
          <w:noProof/>
        </w:rPr>
      </w:pPr>
      <w:r>
        <w:rPr>
          <w:rFonts w:ascii="Times New Roman" w:hAnsi="Times New Roman"/>
          <w:noProof/>
        </w:rPr>
        <w:t xml:space="preserve">La mesure consiste </w:t>
      </w:r>
      <w:r>
        <w:rPr>
          <w:rFonts w:ascii="Times New Roman" w:hAnsi="Times New Roman" w:cs="Times New Roman"/>
          <w:noProof/>
          <w:szCs w:val="24"/>
        </w:rPr>
        <w:t>en l’entrée en vigueur d’un</w:t>
      </w:r>
      <w:r>
        <w:rPr>
          <w:rFonts w:ascii="Times New Roman" w:hAnsi="Times New Roman"/>
          <w:noProof/>
        </w:rPr>
        <w:t xml:space="preserve"> ou de plusieurs actes juridiques pour: (i) l’introduction d’un nouveau contrat de travail pour les médecins </w:t>
      </w:r>
      <w:r>
        <w:rPr>
          <w:rFonts w:ascii="Times New Roman" w:hAnsi="Times New Roman" w:cs="Times New Roman"/>
          <w:noProof/>
          <w:szCs w:val="24"/>
        </w:rPr>
        <w:t xml:space="preserve">dans le but d’augmenter </w:t>
      </w:r>
      <w:r>
        <w:rPr>
          <w:rFonts w:ascii="Times New Roman" w:hAnsi="Times New Roman"/>
          <w:noProof/>
        </w:rPr>
        <w:t xml:space="preserve"> </w:t>
      </w:r>
      <w:r>
        <w:rPr>
          <w:rFonts w:ascii="Times New Roman" w:hAnsi="Times New Roman" w:cs="Times New Roman"/>
          <w:noProof/>
          <w:szCs w:val="24"/>
        </w:rPr>
        <w:t>leurs</w:t>
      </w:r>
      <w:r>
        <w:rPr>
          <w:rFonts w:ascii="Times New Roman" w:hAnsi="Times New Roman"/>
          <w:noProof/>
        </w:rPr>
        <w:t xml:space="preserve"> salaires </w:t>
      </w:r>
      <w:r>
        <w:rPr>
          <w:rFonts w:ascii="Times New Roman" w:hAnsi="Times New Roman" w:cs="Times New Roman"/>
          <w:noProof/>
          <w:szCs w:val="24"/>
        </w:rPr>
        <w:t xml:space="preserve">et (ii) </w:t>
      </w:r>
      <w:r>
        <w:rPr>
          <w:rFonts w:ascii="Times New Roman" w:hAnsi="Times New Roman"/>
          <w:noProof/>
        </w:rPr>
        <w:t xml:space="preserve">la criminalisation des paiements de gratification. </w:t>
      </w:r>
    </w:p>
    <w:p w14:paraId="2792B720" w14:textId="0C4EFDC3" w:rsidR="0023462A" w:rsidRDefault="00A550FA">
      <w:pPr>
        <w:pStyle w:val="P68B1DB1-Heading411"/>
        <w:spacing w:before="0" w:after="120" w:line="240" w:lineRule="auto"/>
        <w:rPr>
          <w:noProof/>
        </w:rPr>
      </w:pPr>
      <w:r>
        <w:rPr>
          <w:noProof/>
        </w:rPr>
        <w:t>C7.I1 : Modernisation du système de santé au XXIe siècle</w:t>
      </w:r>
    </w:p>
    <w:p w14:paraId="16099DFA" w14:textId="6DAB21CA" w:rsidR="0023462A" w:rsidRDefault="00A550FA">
      <w:pPr>
        <w:pStyle w:val="P68B1DB1-Normal6"/>
        <w:spacing w:after="120" w:line="240" w:lineRule="auto"/>
        <w:jc w:val="both"/>
        <w:rPr>
          <w:noProof/>
        </w:rPr>
      </w:pPr>
      <w:r>
        <w:rPr>
          <w:noProof/>
        </w:rPr>
        <w:t xml:space="preserve">L’objectif de la mesure est d’améliorer la qualité des soins en améliorant les infrastructures de soins de santé et en modernisant les équipements de soins de santé dans les unités de soins de santé. </w:t>
      </w:r>
    </w:p>
    <w:p w14:paraId="3CEBF3F3" w14:textId="593C3A44" w:rsidR="0023462A" w:rsidRDefault="00A550FA">
      <w:pPr>
        <w:pStyle w:val="P68B1DB1-Normal6"/>
        <w:spacing w:after="120" w:line="240" w:lineRule="auto"/>
        <w:jc w:val="both"/>
        <w:rPr>
          <w:noProof/>
        </w:rPr>
      </w:pPr>
      <w:r>
        <w:rPr>
          <w:noProof/>
        </w:rPr>
        <w:t>La mesure consiste à fournir un soutien financier pour les travaux de rénovation et de rénovation, ainsi que pour l’achat d’équipements de soins de santé.</w:t>
      </w:r>
    </w:p>
    <w:p w14:paraId="428820EA" w14:textId="1FFB8EBF" w:rsidR="0023462A" w:rsidRDefault="00A550FA">
      <w:pPr>
        <w:pStyle w:val="P68B1DB1-Heading411"/>
        <w:spacing w:before="0" w:after="120" w:line="240" w:lineRule="auto"/>
        <w:rPr>
          <w:rFonts w:eastAsiaTheme="minorHAnsi"/>
          <w:noProof/>
        </w:rPr>
      </w:pPr>
      <w:r>
        <w:rPr>
          <w:noProof/>
        </w:rPr>
        <w:t>C7.I2 : Soutenir la transformation numérique de la santé</w:t>
      </w:r>
    </w:p>
    <w:p w14:paraId="712AB268" w14:textId="76943484" w:rsidR="0023462A" w:rsidRDefault="00A550FA">
      <w:pPr>
        <w:pStyle w:val="P68B1DB1-Normal12"/>
        <w:spacing w:after="120" w:line="240" w:lineRule="auto"/>
        <w:jc w:val="both"/>
        <w:rPr>
          <w:rFonts w:ascii="Times New Roman" w:hAnsi="Times New Roman" w:cs="Times New Roman"/>
          <w:noProof/>
          <w:szCs w:val="24"/>
        </w:rPr>
      </w:pPr>
      <w:r>
        <w:rPr>
          <w:rFonts w:ascii="Times New Roman" w:hAnsi="Times New Roman"/>
          <w:noProof/>
        </w:rPr>
        <w:t xml:space="preserve">L’objectif de </w:t>
      </w:r>
      <w:r>
        <w:rPr>
          <w:rFonts w:ascii="Times New Roman" w:hAnsi="Times New Roman" w:cs="Times New Roman"/>
          <w:noProof/>
          <w:szCs w:val="24"/>
        </w:rPr>
        <w:t xml:space="preserve">cette mesure </w:t>
      </w:r>
      <w:r>
        <w:rPr>
          <w:rFonts w:ascii="Times New Roman" w:hAnsi="Times New Roman"/>
          <w:noProof/>
        </w:rPr>
        <w:t xml:space="preserve">est de </w:t>
      </w:r>
      <w:r>
        <w:rPr>
          <w:rFonts w:ascii="Times New Roman" w:hAnsi="Times New Roman" w:cs="Times New Roman"/>
          <w:noProof/>
          <w:szCs w:val="24"/>
        </w:rPr>
        <w:t>soutenir</w:t>
      </w:r>
      <w:r>
        <w:rPr>
          <w:rFonts w:ascii="Times New Roman" w:hAnsi="Times New Roman"/>
          <w:noProof/>
        </w:rPr>
        <w:t xml:space="preserve"> la </w:t>
      </w:r>
      <w:r>
        <w:rPr>
          <w:rFonts w:ascii="Times New Roman" w:hAnsi="Times New Roman" w:cs="Times New Roman"/>
          <w:noProof/>
          <w:szCs w:val="24"/>
        </w:rPr>
        <w:t>transformation numérique</w:t>
      </w:r>
      <w:r>
        <w:rPr>
          <w:rFonts w:ascii="Times New Roman" w:hAnsi="Times New Roman"/>
          <w:noProof/>
        </w:rPr>
        <w:t xml:space="preserve"> des </w:t>
      </w:r>
      <w:r>
        <w:rPr>
          <w:rFonts w:ascii="Times New Roman" w:hAnsi="Times New Roman" w:cs="Times New Roman"/>
          <w:noProof/>
          <w:szCs w:val="24"/>
        </w:rPr>
        <w:t xml:space="preserve">services de santé en développant le processus numérique </w:t>
      </w:r>
      <w:r>
        <w:rPr>
          <w:rFonts w:ascii="Times New Roman" w:hAnsi="Times New Roman"/>
          <w:noProof/>
        </w:rPr>
        <w:t xml:space="preserve">et </w:t>
      </w:r>
      <w:r>
        <w:rPr>
          <w:rFonts w:ascii="Times New Roman" w:hAnsi="Times New Roman" w:cs="Times New Roman"/>
          <w:noProof/>
          <w:szCs w:val="24"/>
        </w:rPr>
        <w:t xml:space="preserve">en améliorant </w:t>
      </w:r>
      <w:r>
        <w:rPr>
          <w:rFonts w:ascii="Times New Roman" w:hAnsi="Times New Roman"/>
          <w:noProof/>
        </w:rPr>
        <w:t>l’efficacité.</w:t>
      </w:r>
      <w:r>
        <w:rPr>
          <w:rFonts w:ascii="Times New Roman" w:hAnsi="Times New Roman" w:cs="Times New Roman"/>
          <w:noProof/>
          <w:szCs w:val="24"/>
        </w:rPr>
        <w:t xml:space="preserve"> </w:t>
      </w:r>
    </w:p>
    <w:p w14:paraId="49EAC3DE" w14:textId="6A0BE849" w:rsidR="0023462A" w:rsidRDefault="00A550FA">
      <w:pPr>
        <w:pStyle w:val="P68B1DB1-Normal36"/>
        <w:spacing w:after="120" w:line="240" w:lineRule="auto"/>
        <w:jc w:val="both"/>
        <w:rPr>
          <w:noProof/>
        </w:rPr>
      </w:pPr>
      <w:r>
        <w:rPr>
          <w:noProof/>
        </w:rPr>
        <w:t xml:space="preserve">Cette mesure consiste à numériser les fonctions et procédures nouvelles ou améliorées du système de soins de santé en ligne. </w:t>
      </w:r>
    </w:p>
    <w:p w14:paraId="500EAEF5" w14:textId="7361FDAD" w:rsidR="0023462A" w:rsidRDefault="00A550FA">
      <w:pPr>
        <w:pStyle w:val="P68B1DB1-Heading411"/>
        <w:spacing w:before="0" w:after="120" w:line="240" w:lineRule="auto"/>
        <w:rPr>
          <w:rFonts w:eastAsiaTheme="minorHAnsi"/>
          <w:noProof/>
        </w:rPr>
      </w:pPr>
      <w:r>
        <w:rPr>
          <w:noProof/>
        </w:rPr>
        <w:t xml:space="preserve">C7.I3 : Développement des soins de santé primaires </w:t>
      </w:r>
    </w:p>
    <w:p w14:paraId="250C32C6" w14:textId="1AD42FA8" w:rsidR="0023462A" w:rsidRDefault="00A550FA">
      <w:pPr>
        <w:pStyle w:val="P68B1DB1-Normal12"/>
        <w:spacing w:after="120" w:line="240" w:lineRule="auto"/>
        <w:jc w:val="both"/>
        <w:rPr>
          <w:rFonts w:ascii="Times New Roman" w:eastAsiaTheme="minorHAnsi" w:hAnsi="Times New Roman"/>
          <w:noProof/>
        </w:rPr>
      </w:pPr>
      <w:r>
        <w:rPr>
          <w:rFonts w:ascii="Times New Roman" w:hAnsi="Times New Roman"/>
          <w:noProof/>
        </w:rPr>
        <w:t xml:space="preserve">L’objectif de la mesure est d’améliorer  les services de soins de santé primaires </w:t>
      </w:r>
      <w:r>
        <w:rPr>
          <w:rFonts w:ascii="Times New Roman" w:hAnsi="Times New Roman" w:cs="Times New Roman"/>
          <w:noProof/>
          <w:szCs w:val="24"/>
        </w:rPr>
        <w:t xml:space="preserve">par l’intermédiaire </w:t>
      </w:r>
      <w:r>
        <w:rPr>
          <w:rFonts w:ascii="Times New Roman" w:hAnsi="Times New Roman"/>
          <w:noProof/>
        </w:rPr>
        <w:t xml:space="preserve">de médecins généralistes et de services </w:t>
      </w:r>
      <w:r>
        <w:rPr>
          <w:rFonts w:ascii="Times New Roman" w:hAnsi="Times New Roman" w:cs="Times New Roman"/>
          <w:noProof/>
          <w:szCs w:val="24"/>
        </w:rPr>
        <w:t>locaux</w:t>
      </w:r>
      <w:r>
        <w:rPr>
          <w:rFonts w:ascii="Times New Roman" w:hAnsi="Times New Roman"/>
          <w:noProof/>
        </w:rPr>
        <w:t xml:space="preserve"> </w:t>
      </w:r>
      <w:r>
        <w:rPr>
          <w:rFonts w:ascii="Times New Roman" w:hAnsi="Times New Roman" w:cs="Times New Roman"/>
          <w:noProof/>
          <w:szCs w:val="24"/>
        </w:rPr>
        <w:t>et</w:t>
      </w:r>
      <w:r>
        <w:rPr>
          <w:rFonts w:ascii="Times New Roman" w:hAnsi="Times New Roman"/>
          <w:noProof/>
        </w:rPr>
        <w:t xml:space="preserve"> </w:t>
      </w:r>
      <w:r>
        <w:rPr>
          <w:rFonts w:ascii="Times New Roman" w:hAnsi="Times New Roman" w:cs="Times New Roman"/>
          <w:noProof/>
          <w:szCs w:val="24"/>
        </w:rPr>
        <w:t>d’alléger la pression sur les soins spécialisés.</w:t>
      </w:r>
      <w:r>
        <w:rPr>
          <w:rFonts w:ascii="Times New Roman" w:hAnsi="Times New Roman"/>
          <w:noProof/>
        </w:rPr>
        <w:t xml:space="preserve"> </w:t>
      </w:r>
      <w:r>
        <w:rPr>
          <w:rFonts w:ascii="Times New Roman" w:hAnsi="Times New Roman" w:cs="Times New Roman"/>
          <w:noProof/>
          <w:szCs w:val="24"/>
        </w:rPr>
        <w:t xml:space="preserve"> </w:t>
      </w:r>
    </w:p>
    <w:p w14:paraId="638DC4BF" w14:textId="6DE386D4" w:rsidR="0023462A" w:rsidRDefault="00A550FA">
      <w:pPr>
        <w:pStyle w:val="P68B1DB1-Normal12"/>
        <w:spacing w:after="120" w:line="240" w:lineRule="auto"/>
        <w:jc w:val="both"/>
        <w:rPr>
          <w:rFonts w:ascii="Times New Roman" w:hAnsi="Times New Roman" w:cs="Times New Roman"/>
          <w:noProof/>
          <w:szCs w:val="24"/>
        </w:rPr>
      </w:pPr>
      <w:r>
        <w:rPr>
          <w:rFonts w:ascii="Times New Roman" w:hAnsi="Times New Roman"/>
          <w:noProof/>
        </w:rPr>
        <w:t xml:space="preserve">La mesure </w:t>
      </w:r>
      <w:r>
        <w:rPr>
          <w:rFonts w:ascii="Times New Roman" w:hAnsi="Times New Roman" w:cs="Times New Roman"/>
          <w:noProof/>
          <w:szCs w:val="24"/>
        </w:rPr>
        <w:t xml:space="preserve">consiste à créer des </w:t>
      </w:r>
      <w:r>
        <w:rPr>
          <w:rFonts w:ascii="Times New Roman" w:hAnsi="Times New Roman"/>
          <w:noProof/>
        </w:rPr>
        <w:t>communautés de médecins généralistes</w:t>
      </w:r>
      <w:r>
        <w:rPr>
          <w:rFonts w:ascii="Times New Roman" w:hAnsi="Times New Roman" w:cs="Times New Roman"/>
          <w:noProof/>
          <w:szCs w:val="24"/>
        </w:rPr>
        <w:t>, à augmenter</w:t>
      </w:r>
      <w:r>
        <w:rPr>
          <w:rFonts w:ascii="Times New Roman" w:hAnsi="Times New Roman"/>
          <w:noProof/>
        </w:rPr>
        <w:t xml:space="preserve"> le nombre de médecins </w:t>
      </w:r>
      <w:r>
        <w:rPr>
          <w:rFonts w:ascii="Times New Roman" w:hAnsi="Times New Roman" w:cs="Times New Roman"/>
          <w:noProof/>
          <w:szCs w:val="24"/>
        </w:rPr>
        <w:t>dans ces</w:t>
      </w:r>
      <w:r>
        <w:rPr>
          <w:rFonts w:ascii="Times New Roman" w:hAnsi="Times New Roman"/>
          <w:noProof/>
        </w:rPr>
        <w:t xml:space="preserve"> communautés</w:t>
      </w:r>
      <w:r>
        <w:rPr>
          <w:rFonts w:ascii="Times New Roman" w:hAnsi="Times New Roman" w:cs="Times New Roman"/>
          <w:noProof/>
          <w:szCs w:val="24"/>
        </w:rPr>
        <w:t>, et à inscrire les patients au programme de</w:t>
      </w:r>
      <w:r>
        <w:rPr>
          <w:rFonts w:ascii="Times New Roman" w:hAnsi="Times New Roman"/>
          <w:noProof/>
        </w:rPr>
        <w:t xml:space="preserve"> gestion des maladies chroniques et au programme de prévention</w:t>
      </w:r>
      <w:r>
        <w:rPr>
          <w:rFonts w:ascii="Times New Roman" w:hAnsi="Times New Roman" w:cs="Times New Roman"/>
          <w:noProof/>
          <w:szCs w:val="24"/>
        </w:rPr>
        <w:t>.</w:t>
      </w:r>
    </w:p>
    <w:p w14:paraId="5625515D" w14:textId="340C5749" w:rsidR="0023462A" w:rsidRDefault="00A550FA">
      <w:pPr>
        <w:pStyle w:val="P68B1DB1-Heading411"/>
        <w:spacing w:before="0" w:after="120" w:line="240" w:lineRule="auto"/>
        <w:rPr>
          <w:rFonts w:eastAsiaTheme="minorHAnsi"/>
          <w:noProof/>
        </w:rPr>
      </w:pPr>
      <w:r>
        <w:rPr>
          <w:noProof/>
        </w:rPr>
        <w:t>C7.I4 : Infrastructures sanitaires et sociales locales</w:t>
      </w:r>
    </w:p>
    <w:p w14:paraId="3A34B4BC" w14:textId="3D76D283" w:rsidR="0023462A" w:rsidRDefault="00A550FA">
      <w:pPr>
        <w:pStyle w:val="P68B1DB1-Normal12"/>
        <w:spacing w:after="120" w:line="240" w:lineRule="auto"/>
        <w:jc w:val="both"/>
        <w:rPr>
          <w:rFonts w:ascii="Times New Roman" w:hAnsi="Times New Roman"/>
          <w:noProof/>
        </w:rPr>
      </w:pPr>
      <w:r>
        <w:rPr>
          <w:rFonts w:ascii="Times New Roman" w:hAnsi="Times New Roman"/>
          <w:noProof/>
        </w:rPr>
        <w:t xml:space="preserve">L’objectif de la mesure est d’améliorer </w:t>
      </w:r>
      <w:r>
        <w:rPr>
          <w:rFonts w:ascii="Times New Roman" w:hAnsi="Times New Roman" w:cs="Times New Roman"/>
          <w:noProof/>
          <w:szCs w:val="24"/>
        </w:rPr>
        <w:t>la qualité, l’accessibilité et l’efficacité des services de santé et des services sociaux.</w:t>
      </w:r>
      <w:r>
        <w:rPr>
          <w:rFonts w:ascii="Times New Roman" w:hAnsi="Times New Roman"/>
          <w:noProof/>
        </w:rPr>
        <w:t xml:space="preserve"> </w:t>
      </w:r>
    </w:p>
    <w:p w14:paraId="0420F6B0" w14:textId="4FD24D4C" w:rsidR="0023462A" w:rsidRDefault="00A550FA">
      <w:pPr>
        <w:pStyle w:val="P68B1DB1-Normal12"/>
        <w:spacing w:after="120" w:line="240" w:lineRule="auto"/>
        <w:jc w:val="both"/>
        <w:rPr>
          <w:rFonts w:ascii="Times New Roman" w:hAnsi="Times New Roman" w:cs="Times New Roman"/>
          <w:bCs/>
          <w:noProof/>
          <w:szCs w:val="24"/>
        </w:rPr>
      </w:pPr>
      <w:r>
        <w:rPr>
          <w:rFonts w:ascii="Times New Roman" w:hAnsi="Times New Roman" w:cs="Times New Roman"/>
          <w:noProof/>
          <w:szCs w:val="24"/>
        </w:rPr>
        <w:t>La mesure consiste en la rénovation d’établissements de soins de santé et d’aide sociale, ainsi qu’en la livraison d’équipements connexes.</w:t>
      </w:r>
      <w:r>
        <w:rPr>
          <w:rFonts w:ascii="Times New Roman" w:hAnsi="Times New Roman"/>
          <w:noProof/>
        </w:rPr>
        <w:t xml:space="preserve"> </w:t>
      </w:r>
      <w:r>
        <w:rPr>
          <w:rFonts w:ascii="Times New Roman" w:hAnsi="Times New Roman" w:cs="Times New Roman"/>
          <w:noProof/>
          <w:szCs w:val="24"/>
        </w:rPr>
        <w:t xml:space="preserve"> </w:t>
      </w:r>
    </w:p>
    <w:p w14:paraId="1DC8DD11" w14:textId="392AE54E" w:rsidR="0023462A" w:rsidRDefault="0023462A">
      <w:pPr>
        <w:spacing w:after="120" w:line="240" w:lineRule="auto"/>
        <w:jc w:val="both"/>
        <w:rPr>
          <w:rFonts w:ascii="Times New Roman" w:hAnsi="Times New Roman" w:cs="Times New Roman"/>
          <w:bCs/>
          <w:noProof/>
          <w:sz w:val="24"/>
          <w:szCs w:val="24"/>
        </w:rPr>
        <w:sectPr w:rsidR="0023462A" w:rsidSect="009030B8">
          <w:headerReference w:type="even" r:id="rId94"/>
          <w:headerReference w:type="default" r:id="rId95"/>
          <w:footerReference w:type="even" r:id="rId96"/>
          <w:footerReference w:type="default" r:id="rId97"/>
          <w:headerReference w:type="first" r:id="rId98"/>
          <w:footerReference w:type="first" r:id="rId99"/>
          <w:pgSz w:w="11907" w:h="16839"/>
          <w:pgMar w:top="1134" w:right="1134" w:bottom="1134" w:left="1134" w:header="567" w:footer="567" w:gutter="0"/>
          <w:cols w:space="708"/>
          <w:docGrid w:linePitch="360"/>
        </w:sectPr>
      </w:pPr>
    </w:p>
    <w:p w14:paraId="3DD59205" w14:textId="736F4BDC" w:rsidR="0023462A" w:rsidRDefault="00A550FA">
      <w:pPr>
        <w:pStyle w:val="P68B1DB1-Heading310"/>
        <w:spacing w:before="0" w:after="120"/>
        <w:rPr>
          <w:noProof/>
        </w:rPr>
      </w:pPr>
      <w:r>
        <w:rPr>
          <w:noProof/>
        </w:rPr>
        <w:t xml:space="preserve">G.2. </w:t>
      </w:r>
      <w:r>
        <w:rPr>
          <w:noProof/>
        </w:rPr>
        <w:tab/>
        <w:t>Étapes, cibles, indicateurs et calendrier pour le suivi et la mise en œuvre du soutien financier non remboursable</w:t>
      </w:r>
    </w:p>
    <w:tbl>
      <w:tblPr>
        <w:tblW w:w="15307"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30"/>
        <w:gridCol w:w="1249"/>
        <w:gridCol w:w="851"/>
        <w:gridCol w:w="1560"/>
        <w:gridCol w:w="1417"/>
        <w:gridCol w:w="1418"/>
        <w:gridCol w:w="1134"/>
        <w:gridCol w:w="850"/>
        <w:gridCol w:w="1134"/>
        <w:gridCol w:w="1334"/>
        <w:gridCol w:w="3630"/>
      </w:tblGrid>
      <w:tr w:rsidR="0023462A" w14:paraId="36450DA5" w14:textId="77777777" w:rsidTr="009C289F">
        <w:trPr>
          <w:trHeight w:val="300"/>
          <w:tblHeader/>
          <w:jc w:val="center"/>
        </w:trPr>
        <w:tc>
          <w:tcPr>
            <w:tcW w:w="73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54F902D" w14:textId="77777777" w:rsidR="0023462A" w:rsidRDefault="00A550FA">
            <w:pPr>
              <w:pStyle w:val="P68B1DB1-Normal37"/>
              <w:spacing w:after="120" w:line="240" w:lineRule="auto"/>
              <w:jc w:val="center"/>
              <w:textAlignment w:val="baseline"/>
              <w:rPr>
                <w:noProof/>
              </w:rPr>
            </w:pPr>
            <w:r>
              <w:rPr>
                <w:noProof/>
              </w:rPr>
              <w:t>Seq. Numéro</w:t>
            </w:r>
          </w:p>
        </w:tc>
        <w:tc>
          <w:tcPr>
            <w:tcW w:w="124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5AD755" w14:textId="77777777" w:rsidR="0023462A" w:rsidRDefault="00A550FA">
            <w:pPr>
              <w:pStyle w:val="P68B1DB1-Normal37"/>
              <w:spacing w:after="120" w:line="240" w:lineRule="auto"/>
              <w:jc w:val="center"/>
              <w:textAlignment w:val="baseline"/>
              <w:rPr>
                <w:rFonts w:eastAsiaTheme="minorHAnsi"/>
                <w:noProof/>
              </w:rPr>
            </w:pPr>
            <w:r>
              <w:rPr>
                <w:noProof/>
              </w:rPr>
              <w:t>Mesure connexe (réforme ou investissement)</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0038834" w14:textId="77777777" w:rsidR="0023462A" w:rsidRDefault="00A550FA">
            <w:pPr>
              <w:pStyle w:val="P68B1DB1-Normal37"/>
              <w:spacing w:after="120" w:line="240" w:lineRule="auto"/>
              <w:jc w:val="center"/>
              <w:textAlignment w:val="baseline"/>
              <w:rPr>
                <w:rFonts w:eastAsiaTheme="minorHAnsi"/>
                <w:noProof/>
              </w:rPr>
            </w:pPr>
            <w:r>
              <w:rPr>
                <w:noProof/>
              </w:rPr>
              <w:t>Étape</w:t>
            </w:r>
            <w:r>
              <w:rPr>
                <w:noProof/>
              </w:rPr>
              <w:br/>
              <w:t>/Cible</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28D3929" w14:textId="77777777" w:rsidR="0023462A" w:rsidRDefault="00A550FA">
            <w:pPr>
              <w:pStyle w:val="P68B1DB1-Normal37"/>
              <w:spacing w:after="120" w:line="240" w:lineRule="auto"/>
              <w:jc w:val="center"/>
              <w:textAlignment w:val="baseline"/>
              <w:rPr>
                <w:rFonts w:eastAsiaTheme="minorHAnsi"/>
                <w:noProof/>
              </w:rPr>
            </w:pPr>
            <w:r>
              <w:rPr>
                <w:noProof/>
              </w:rPr>
              <w:t>Nom</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ED6C6EB" w14:textId="0A4B6596" w:rsidR="0023462A" w:rsidRDefault="00A550FA">
            <w:pPr>
              <w:pStyle w:val="P68B1DB1-Normal32"/>
              <w:spacing w:after="120" w:line="240" w:lineRule="auto"/>
              <w:jc w:val="center"/>
              <w:textAlignment w:val="baseline"/>
              <w:rPr>
                <w:rFonts w:eastAsiaTheme="minorHAnsi"/>
                <w:noProof/>
              </w:rPr>
            </w:pPr>
            <w:r>
              <w:rPr>
                <w:b/>
                <w:noProof/>
              </w:rPr>
              <w:t>Indicateurs qualitatifs</w:t>
            </w:r>
            <w:r>
              <w:rPr>
                <w:noProof/>
              </w:rPr>
              <w:br/>
            </w:r>
            <w:r>
              <w:rPr>
                <w:b/>
                <w:noProof/>
              </w:rPr>
              <w:t>(pour les jalons)</w:t>
            </w:r>
          </w:p>
        </w:tc>
        <w:tc>
          <w:tcPr>
            <w:tcW w:w="3402"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6099E3DC" w14:textId="4692C6AC" w:rsidR="0023462A" w:rsidRDefault="00A550FA">
            <w:pPr>
              <w:pStyle w:val="P68B1DB1-Normal32"/>
              <w:spacing w:after="120" w:line="240" w:lineRule="auto"/>
              <w:jc w:val="center"/>
              <w:textAlignment w:val="baseline"/>
              <w:rPr>
                <w:rFonts w:eastAsiaTheme="minorHAnsi"/>
                <w:noProof/>
              </w:rPr>
            </w:pPr>
            <w:r>
              <w:rPr>
                <w:b/>
                <w:noProof/>
              </w:rPr>
              <w:t>Indicateurs quantitatifs</w:t>
            </w:r>
            <w:r>
              <w:rPr>
                <w:noProof/>
              </w:rPr>
              <w:t xml:space="preserve"> </w:t>
            </w:r>
            <w:r>
              <w:rPr>
                <w:noProof/>
              </w:rPr>
              <w:br/>
            </w:r>
            <w:r>
              <w:rPr>
                <w:b/>
                <w:noProof/>
              </w:rPr>
              <w:t>(pour les objectifs)</w:t>
            </w:r>
          </w:p>
        </w:tc>
        <w:tc>
          <w:tcPr>
            <w:tcW w:w="2468"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0AC75B7F" w14:textId="364245C9" w:rsidR="0023462A" w:rsidRDefault="00A550FA">
            <w:pPr>
              <w:pStyle w:val="P68B1DB1-Normal37"/>
              <w:spacing w:after="120" w:line="240" w:lineRule="auto"/>
              <w:jc w:val="center"/>
              <w:textAlignment w:val="baseline"/>
              <w:rPr>
                <w:rFonts w:eastAsiaTheme="minorHAnsi"/>
                <w:noProof/>
              </w:rPr>
            </w:pPr>
            <w:r>
              <w:rPr>
                <w:noProof/>
              </w:rPr>
              <w:t xml:space="preserve">Calendrier indicatif d'achèvement </w:t>
            </w:r>
          </w:p>
        </w:tc>
        <w:tc>
          <w:tcPr>
            <w:tcW w:w="363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D0DD22F" w14:textId="77777777" w:rsidR="0023462A" w:rsidRDefault="00A550FA">
            <w:pPr>
              <w:pStyle w:val="P68B1DB1-Normal37"/>
              <w:spacing w:after="120" w:line="240" w:lineRule="auto"/>
              <w:jc w:val="center"/>
              <w:textAlignment w:val="baseline"/>
              <w:rPr>
                <w:rFonts w:eastAsiaTheme="minorHAnsi"/>
                <w:noProof/>
              </w:rPr>
            </w:pPr>
            <w:r>
              <w:rPr>
                <w:noProof/>
              </w:rPr>
              <w:t>Description de chaque jalon et cible</w:t>
            </w:r>
          </w:p>
        </w:tc>
      </w:tr>
      <w:tr w:rsidR="0023462A" w14:paraId="6FDC91C8" w14:textId="77777777" w:rsidTr="009C289F">
        <w:trPr>
          <w:trHeight w:val="975"/>
          <w:tblHeader/>
          <w:jc w:val="center"/>
        </w:trPr>
        <w:tc>
          <w:tcPr>
            <w:tcW w:w="730" w:type="dxa"/>
            <w:vMerge/>
            <w:tcBorders>
              <w:top w:val="single" w:sz="4" w:space="0" w:color="auto"/>
              <w:left w:val="single" w:sz="4" w:space="0" w:color="auto"/>
              <w:bottom w:val="single" w:sz="4" w:space="0" w:color="auto"/>
              <w:right w:val="single" w:sz="4" w:space="0" w:color="auto"/>
            </w:tcBorders>
            <w:vAlign w:val="center"/>
            <w:hideMark/>
          </w:tcPr>
          <w:p w14:paraId="1229521A" w14:textId="77777777" w:rsidR="0023462A" w:rsidRDefault="0023462A">
            <w:pPr>
              <w:spacing w:after="120" w:line="240" w:lineRule="auto"/>
              <w:jc w:val="center"/>
              <w:rPr>
                <w:rFonts w:ascii="Times New Roman" w:hAnsi="Times New Roman" w:cs="Times New Roman"/>
                <w:noProof/>
                <w:sz w:val="18"/>
                <w:szCs w:val="18"/>
              </w:rPr>
            </w:pPr>
          </w:p>
        </w:tc>
        <w:tc>
          <w:tcPr>
            <w:tcW w:w="1249" w:type="dxa"/>
            <w:vMerge/>
            <w:tcBorders>
              <w:top w:val="single" w:sz="4" w:space="0" w:color="auto"/>
              <w:left w:val="single" w:sz="4" w:space="0" w:color="auto"/>
              <w:bottom w:val="single" w:sz="4" w:space="0" w:color="auto"/>
              <w:right w:val="single" w:sz="4" w:space="0" w:color="auto"/>
            </w:tcBorders>
            <w:vAlign w:val="center"/>
            <w:hideMark/>
          </w:tcPr>
          <w:p w14:paraId="563F7D25" w14:textId="77777777" w:rsidR="0023462A" w:rsidRDefault="0023462A">
            <w:pPr>
              <w:spacing w:after="120" w:line="240" w:lineRule="auto"/>
              <w:jc w:val="center"/>
              <w:rPr>
                <w:rFonts w:ascii="Times New Roman" w:hAnsi="Times New Roman" w:cs="Times New Roman"/>
                <w:noProof/>
                <w:sz w:val="18"/>
                <w:szCs w:val="18"/>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5CB0DC24" w14:textId="77777777" w:rsidR="0023462A" w:rsidRDefault="0023462A">
            <w:pPr>
              <w:spacing w:after="120" w:line="240" w:lineRule="auto"/>
              <w:jc w:val="center"/>
              <w:rPr>
                <w:rFonts w:ascii="Times New Roman" w:hAnsi="Times New Roman" w:cs="Times New Roman"/>
                <w:noProof/>
                <w:sz w:val="18"/>
                <w:szCs w:val="18"/>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07FA39E8" w14:textId="77777777" w:rsidR="0023462A" w:rsidRDefault="0023462A">
            <w:pPr>
              <w:spacing w:after="120" w:line="240" w:lineRule="auto"/>
              <w:jc w:val="center"/>
              <w:rPr>
                <w:rFonts w:ascii="Times New Roman" w:hAnsi="Times New Roman" w:cs="Times New Roman"/>
                <w:noProof/>
                <w:sz w:val="18"/>
                <w:szCs w:val="18"/>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258C312E" w14:textId="77777777" w:rsidR="0023462A" w:rsidRDefault="0023462A">
            <w:pPr>
              <w:spacing w:after="120" w:line="240" w:lineRule="auto"/>
              <w:jc w:val="center"/>
              <w:rPr>
                <w:rFonts w:ascii="Times New Roman" w:hAnsi="Times New Roman" w:cs="Times New Roman"/>
                <w:noProof/>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E477886" w14:textId="77777777" w:rsidR="0023462A" w:rsidRDefault="00A550FA">
            <w:pPr>
              <w:pStyle w:val="P68B1DB1-Normal37"/>
              <w:spacing w:after="120" w:line="240" w:lineRule="auto"/>
              <w:jc w:val="center"/>
              <w:textAlignment w:val="baseline"/>
              <w:rPr>
                <w:rFonts w:eastAsiaTheme="minorHAnsi"/>
                <w:noProof/>
              </w:rPr>
            </w:pPr>
            <w:r>
              <w:rPr>
                <w:noProof/>
              </w:rPr>
              <w:t>Unité de mesure</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6E752BE" w14:textId="77777777" w:rsidR="0023462A" w:rsidRDefault="00A550FA">
            <w:pPr>
              <w:pStyle w:val="P68B1DB1-Normal37"/>
              <w:spacing w:after="120" w:line="240" w:lineRule="auto"/>
              <w:jc w:val="center"/>
              <w:textAlignment w:val="baseline"/>
              <w:rPr>
                <w:rFonts w:eastAsiaTheme="minorHAnsi"/>
                <w:noProof/>
              </w:rPr>
            </w:pPr>
            <w:r>
              <w:rPr>
                <w:noProof/>
              </w:rPr>
              <w:t>Données de référence</w:t>
            </w: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35E275A" w14:textId="77777777" w:rsidR="0023462A" w:rsidRDefault="00A550FA">
            <w:pPr>
              <w:pStyle w:val="P68B1DB1-Normal37"/>
              <w:spacing w:after="120" w:line="240" w:lineRule="auto"/>
              <w:jc w:val="center"/>
              <w:textAlignment w:val="baseline"/>
              <w:rPr>
                <w:rFonts w:eastAsiaTheme="minorHAnsi"/>
                <w:noProof/>
              </w:rPr>
            </w:pPr>
            <w:r>
              <w:rPr>
                <w:noProof/>
              </w:rPr>
              <w:t>Objectif</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E1889DA" w14:textId="77777777" w:rsidR="0023462A" w:rsidRDefault="00A550FA">
            <w:pPr>
              <w:pStyle w:val="P68B1DB1-Normal37"/>
              <w:spacing w:after="120" w:line="240" w:lineRule="auto"/>
              <w:jc w:val="center"/>
              <w:textAlignment w:val="baseline"/>
              <w:rPr>
                <w:rFonts w:eastAsiaTheme="minorHAnsi"/>
                <w:noProof/>
              </w:rPr>
            </w:pPr>
            <w:r>
              <w:rPr>
                <w:noProof/>
              </w:rPr>
              <w:t>Trimestre</w:t>
            </w:r>
          </w:p>
        </w:tc>
        <w:tc>
          <w:tcPr>
            <w:tcW w:w="13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E6D4815" w14:textId="77777777" w:rsidR="0023462A" w:rsidRDefault="00A550FA">
            <w:pPr>
              <w:pStyle w:val="P68B1DB1-Normal37"/>
              <w:spacing w:after="120" w:line="240" w:lineRule="auto"/>
              <w:jc w:val="center"/>
              <w:textAlignment w:val="baseline"/>
              <w:rPr>
                <w:rFonts w:eastAsiaTheme="minorHAnsi"/>
                <w:noProof/>
              </w:rPr>
            </w:pPr>
            <w:r>
              <w:rPr>
                <w:noProof/>
              </w:rPr>
              <w:t>Année</w:t>
            </w:r>
          </w:p>
        </w:tc>
        <w:tc>
          <w:tcPr>
            <w:tcW w:w="3630" w:type="dxa"/>
            <w:vMerge/>
            <w:vAlign w:val="center"/>
            <w:hideMark/>
          </w:tcPr>
          <w:p w14:paraId="7173504D" w14:textId="77777777" w:rsidR="0023462A" w:rsidRDefault="0023462A">
            <w:pPr>
              <w:spacing w:after="120" w:line="240" w:lineRule="auto"/>
              <w:rPr>
                <w:rFonts w:ascii="Times New Roman" w:hAnsi="Times New Roman" w:cs="Times New Roman"/>
                <w:noProof/>
                <w:sz w:val="18"/>
                <w:szCs w:val="18"/>
              </w:rPr>
            </w:pPr>
          </w:p>
        </w:tc>
      </w:tr>
      <w:tr w:rsidR="0023462A" w14:paraId="263EAFC2" w14:textId="77777777" w:rsidTr="009C289F">
        <w:trPr>
          <w:trHeight w:val="915"/>
          <w:jc w:val="center"/>
        </w:trPr>
        <w:tc>
          <w:tcPr>
            <w:tcW w:w="730" w:type="dxa"/>
            <w:tcBorders>
              <w:top w:val="single" w:sz="4" w:space="0" w:color="auto"/>
              <w:left w:val="single" w:sz="4" w:space="0" w:color="auto"/>
              <w:bottom w:val="single" w:sz="4" w:space="0" w:color="auto"/>
              <w:right w:val="single" w:sz="4" w:space="0" w:color="auto"/>
            </w:tcBorders>
            <w:shd w:val="clear" w:color="auto" w:fill="C6EFCE"/>
            <w:vAlign w:val="center"/>
          </w:tcPr>
          <w:p w14:paraId="7BD19093" w14:textId="63AFA3E9" w:rsidR="0023462A" w:rsidRDefault="00A550FA">
            <w:pPr>
              <w:pStyle w:val="P68B1DB1-Normal32"/>
              <w:spacing w:after="120" w:line="240" w:lineRule="auto"/>
              <w:rPr>
                <w:noProof/>
              </w:rPr>
            </w:pPr>
            <w:r>
              <w:rPr>
                <w:noProof/>
              </w:rPr>
              <w:t>49</w:t>
            </w:r>
          </w:p>
        </w:tc>
        <w:tc>
          <w:tcPr>
            <w:tcW w:w="1249" w:type="dxa"/>
            <w:tcBorders>
              <w:top w:val="single" w:sz="4" w:space="0" w:color="auto"/>
              <w:left w:val="single" w:sz="4" w:space="0" w:color="auto"/>
              <w:bottom w:val="single" w:sz="4" w:space="0" w:color="auto"/>
              <w:right w:val="single" w:sz="4" w:space="0" w:color="auto"/>
            </w:tcBorders>
            <w:shd w:val="clear" w:color="auto" w:fill="C6EFCE"/>
            <w:vAlign w:val="center"/>
          </w:tcPr>
          <w:p w14:paraId="31A45F66" w14:textId="643006B9" w:rsidR="0023462A" w:rsidRDefault="00A550FA">
            <w:pPr>
              <w:pStyle w:val="P68B1DB1-Normal32"/>
              <w:spacing w:after="120" w:line="240" w:lineRule="auto"/>
              <w:rPr>
                <w:rFonts w:eastAsiaTheme="minorHAnsi"/>
                <w:noProof/>
              </w:rPr>
            </w:pPr>
            <w:r>
              <w:rPr>
                <w:noProof/>
              </w:rPr>
              <w:t>C7.R1 Éradication des paiements de gratification dans le secteur de la santé</w:t>
            </w:r>
          </w:p>
        </w:tc>
        <w:tc>
          <w:tcPr>
            <w:tcW w:w="851" w:type="dxa"/>
            <w:tcBorders>
              <w:top w:val="single" w:sz="4" w:space="0" w:color="auto"/>
              <w:left w:val="single" w:sz="4" w:space="0" w:color="auto"/>
              <w:bottom w:val="single" w:sz="4" w:space="0" w:color="auto"/>
              <w:right w:val="single" w:sz="4" w:space="0" w:color="auto"/>
            </w:tcBorders>
            <w:shd w:val="clear" w:color="auto" w:fill="C6EFCE"/>
            <w:vAlign w:val="center"/>
          </w:tcPr>
          <w:p w14:paraId="09EC999C" w14:textId="360FD8B3" w:rsidR="0023462A" w:rsidRDefault="00A550FA">
            <w:pPr>
              <w:pStyle w:val="P68B1DB1-Normal32"/>
              <w:spacing w:after="120" w:line="240" w:lineRule="auto"/>
              <w:rPr>
                <w:rFonts w:eastAsiaTheme="minorHAnsi"/>
                <w:noProof/>
              </w:rPr>
            </w:pPr>
            <w:r>
              <w:rPr>
                <w:noProof/>
              </w:rPr>
              <w:t xml:space="preserve"> Étape </w:t>
            </w:r>
          </w:p>
        </w:tc>
        <w:tc>
          <w:tcPr>
            <w:tcW w:w="1560" w:type="dxa"/>
            <w:tcBorders>
              <w:top w:val="single" w:sz="4" w:space="0" w:color="auto"/>
              <w:left w:val="single" w:sz="4" w:space="0" w:color="auto"/>
              <w:bottom w:val="single" w:sz="4" w:space="0" w:color="auto"/>
              <w:right w:val="single" w:sz="4" w:space="0" w:color="auto"/>
            </w:tcBorders>
            <w:shd w:val="clear" w:color="auto" w:fill="C6EFCE"/>
            <w:vAlign w:val="center"/>
          </w:tcPr>
          <w:p w14:paraId="70DC089A" w14:textId="49D69B9A" w:rsidR="0023462A" w:rsidRDefault="00A550FA">
            <w:pPr>
              <w:pStyle w:val="P68B1DB1-Normal32"/>
              <w:spacing w:after="120" w:line="240" w:lineRule="auto"/>
              <w:rPr>
                <w:rFonts w:eastAsiaTheme="minorHAnsi"/>
                <w:noProof/>
              </w:rPr>
            </w:pPr>
            <w:r>
              <w:rPr>
                <w:noProof/>
              </w:rPr>
              <w:t>Entrée en vigueur du ou des actes juridiques relatifs à l’éradication de la pratique du paiement de gratifications </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tcPr>
          <w:p w14:paraId="4442FFD2" w14:textId="073A0F08" w:rsidR="0023462A" w:rsidRDefault="00A550FA">
            <w:pPr>
              <w:pStyle w:val="P68B1DB1-Normal32"/>
              <w:spacing w:after="120" w:line="240" w:lineRule="auto"/>
              <w:rPr>
                <w:rFonts w:eastAsiaTheme="minorHAnsi"/>
                <w:noProof/>
              </w:rPr>
            </w:pPr>
            <w:r>
              <w:rPr>
                <w:noProof/>
              </w:rPr>
              <w:t xml:space="preserve">Disposition du ou des actes juridiques indiquant son entrée en vigueur </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tcPr>
          <w:p w14:paraId="595CE923" w14:textId="5B459D98" w:rsidR="0023462A" w:rsidRDefault="00A550FA">
            <w:pPr>
              <w:pStyle w:val="P68B1DB1-Normal32"/>
              <w:spacing w:after="120" w:line="240" w:lineRule="auto"/>
              <w:rPr>
                <w:rFonts w:eastAsiaTheme="minorHAnsi"/>
                <w:noProof/>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5C68D95A" w14:textId="750CF560" w:rsidR="0023462A" w:rsidRDefault="00A550FA">
            <w:pPr>
              <w:pStyle w:val="P68B1DB1-Normal32"/>
              <w:spacing w:after="120" w:line="240" w:lineRule="auto"/>
              <w:rPr>
                <w:rFonts w:eastAsiaTheme="minorHAnsi"/>
                <w:noProof/>
              </w:rPr>
            </w:pPr>
            <w:r>
              <w:rPr>
                <w:noProof/>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C6EFCE"/>
            <w:vAlign w:val="center"/>
          </w:tcPr>
          <w:p w14:paraId="3D673247" w14:textId="43A0549B" w:rsidR="0023462A" w:rsidRDefault="00A550FA">
            <w:pPr>
              <w:pStyle w:val="P68B1DB1-Normal32"/>
              <w:spacing w:after="120" w:line="240" w:lineRule="auto"/>
              <w:rPr>
                <w:rFonts w:eastAsiaTheme="minorHAnsi"/>
                <w:noProof/>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3B00ACCD" w14:textId="217EC252" w:rsidR="0023462A" w:rsidRDefault="00A550FA">
            <w:pPr>
              <w:pStyle w:val="P68B1DB1-Normal32"/>
              <w:spacing w:after="120" w:line="240" w:lineRule="auto"/>
              <w:jc w:val="center"/>
              <w:rPr>
                <w:rFonts w:eastAsiaTheme="minorHAnsi"/>
                <w:noProof/>
              </w:rPr>
            </w:pPr>
            <w:r>
              <w:rPr>
                <w:noProof/>
              </w:rPr>
              <w:t>T2</w:t>
            </w:r>
          </w:p>
        </w:tc>
        <w:tc>
          <w:tcPr>
            <w:tcW w:w="1334" w:type="dxa"/>
            <w:tcBorders>
              <w:top w:val="single" w:sz="4" w:space="0" w:color="auto"/>
              <w:left w:val="single" w:sz="4" w:space="0" w:color="auto"/>
              <w:bottom w:val="single" w:sz="4" w:space="0" w:color="auto"/>
              <w:right w:val="single" w:sz="4" w:space="0" w:color="auto"/>
            </w:tcBorders>
            <w:shd w:val="clear" w:color="auto" w:fill="C6EFCE"/>
            <w:vAlign w:val="center"/>
          </w:tcPr>
          <w:p w14:paraId="23F21A9A" w14:textId="16F198D6" w:rsidR="0023462A" w:rsidRDefault="00A550FA">
            <w:pPr>
              <w:pStyle w:val="P68B1DB1-Normal32"/>
              <w:spacing w:after="120" w:line="240" w:lineRule="auto"/>
              <w:jc w:val="center"/>
              <w:rPr>
                <w:rFonts w:eastAsiaTheme="minorHAnsi"/>
                <w:noProof/>
              </w:rPr>
            </w:pPr>
            <w:r>
              <w:rPr>
                <w:noProof/>
              </w:rPr>
              <w:t>2026</w:t>
            </w:r>
          </w:p>
        </w:tc>
        <w:tc>
          <w:tcPr>
            <w:tcW w:w="3630" w:type="dxa"/>
            <w:tcBorders>
              <w:top w:val="single" w:sz="4" w:space="0" w:color="auto"/>
              <w:left w:val="single" w:sz="4" w:space="0" w:color="auto"/>
              <w:bottom w:val="single" w:sz="4" w:space="0" w:color="auto"/>
              <w:right w:val="single" w:sz="4" w:space="0" w:color="auto"/>
            </w:tcBorders>
            <w:shd w:val="clear" w:color="auto" w:fill="C6EFCE"/>
            <w:vAlign w:val="center"/>
          </w:tcPr>
          <w:p w14:paraId="19F34F87" w14:textId="590F3722" w:rsidR="0023462A" w:rsidRDefault="00A550FA">
            <w:pPr>
              <w:pStyle w:val="P68B1DB1-Normal32"/>
              <w:spacing w:after="120" w:line="240" w:lineRule="auto"/>
              <w:ind w:left="52"/>
              <w:rPr>
                <w:noProof/>
              </w:rPr>
            </w:pPr>
            <w:r>
              <w:rPr>
                <w:noProof/>
              </w:rPr>
              <w:t xml:space="preserve">Entrée en vigueur d'une loi réglementant le contrat de travail des prestataires de services de santé appartenant à l'État, l'élimination et la criminalisation des paiements de gratification et du salaire des médecins en vertu du nouveau contrat de travail. </w:t>
            </w:r>
          </w:p>
        </w:tc>
      </w:tr>
      <w:tr w:rsidR="0023462A" w14:paraId="7AD11018" w14:textId="77777777" w:rsidTr="009C289F">
        <w:trPr>
          <w:trHeight w:val="553"/>
          <w:jc w:val="center"/>
        </w:trPr>
        <w:tc>
          <w:tcPr>
            <w:tcW w:w="730" w:type="dxa"/>
            <w:tcBorders>
              <w:top w:val="single" w:sz="4" w:space="0" w:color="auto"/>
              <w:left w:val="single" w:sz="4" w:space="0" w:color="auto"/>
              <w:bottom w:val="single" w:sz="4" w:space="0" w:color="auto"/>
              <w:right w:val="single" w:sz="4" w:space="0" w:color="auto"/>
            </w:tcBorders>
            <w:shd w:val="clear" w:color="auto" w:fill="C6EFCE"/>
            <w:vAlign w:val="center"/>
          </w:tcPr>
          <w:p w14:paraId="161F00B5" w14:textId="30AA0AC5" w:rsidR="0023462A" w:rsidRDefault="00A550FA">
            <w:pPr>
              <w:pStyle w:val="P68B1DB1-Normal32"/>
              <w:spacing w:after="120" w:line="240" w:lineRule="auto"/>
              <w:textAlignment w:val="baseline"/>
              <w:rPr>
                <w:noProof/>
              </w:rPr>
            </w:pPr>
            <w:r>
              <w:rPr>
                <w:noProof/>
              </w:rPr>
              <w:t>50</w:t>
            </w:r>
          </w:p>
        </w:tc>
        <w:tc>
          <w:tcPr>
            <w:tcW w:w="1249" w:type="dxa"/>
            <w:tcBorders>
              <w:top w:val="single" w:sz="4" w:space="0" w:color="auto"/>
              <w:left w:val="single" w:sz="4" w:space="0" w:color="auto"/>
              <w:bottom w:val="single" w:sz="4" w:space="0" w:color="auto"/>
              <w:right w:val="single" w:sz="4" w:space="0" w:color="auto"/>
            </w:tcBorders>
            <w:shd w:val="clear" w:color="auto" w:fill="C6EFCE"/>
            <w:vAlign w:val="center"/>
          </w:tcPr>
          <w:p w14:paraId="3E6AEFDA" w14:textId="066BEE87" w:rsidR="0023462A" w:rsidRDefault="00A550FA">
            <w:pPr>
              <w:pStyle w:val="P68B1DB1-Normal41"/>
              <w:spacing w:after="120" w:line="240" w:lineRule="auto"/>
              <w:textAlignment w:val="baseline"/>
              <w:rPr>
                <w:noProof/>
              </w:rPr>
            </w:pPr>
            <w:r>
              <w:rPr>
                <w:noProof/>
              </w:rPr>
              <w:t xml:space="preserve">C7.I1 Modernisation du système de santé pour le XXIe siècle </w:t>
            </w:r>
          </w:p>
        </w:tc>
        <w:tc>
          <w:tcPr>
            <w:tcW w:w="851" w:type="dxa"/>
            <w:tcBorders>
              <w:top w:val="single" w:sz="4" w:space="0" w:color="auto"/>
              <w:left w:val="single" w:sz="4" w:space="0" w:color="auto"/>
              <w:bottom w:val="single" w:sz="4" w:space="0" w:color="auto"/>
              <w:right w:val="single" w:sz="4" w:space="0" w:color="auto"/>
            </w:tcBorders>
            <w:shd w:val="clear" w:color="auto" w:fill="C6EFCE"/>
            <w:vAlign w:val="center"/>
          </w:tcPr>
          <w:p w14:paraId="27805EB4" w14:textId="269FD607" w:rsidR="0023462A" w:rsidRDefault="00A550FA">
            <w:pPr>
              <w:pStyle w:val="P68B1DB1-Normal27"/>
              <w:spacing w:after="120" w:line="240" w:lineRule="auto"/>
              <w:textAlignment w:val="baseline"/>
              <w:rPr>
                <w:noProof/>
              </w:rPr>
            </w:pPr>
            <w:r>
              <w:rPr>
                <w:noProof/>
              </w:rPr>
              <w:t xml:space="preserve"> Étape</w:t>
            </w:r>
          </w:p>
        </w:tc>
        <w:tc>
          <w:tcPr>
            <w:tcW w:w="1560" w:type="dxa"/>
            <w:tcBorders>
              <w:top w:val="single" w:sz="4" w:space="0" w:color="auto"/>
              <w:left w:val="single" w:sz="4" w:space="0" w:color="auto"/>
              <w:bottom w:val="single" w:sz="4" w:space="0" w:color="auto"/>
              <w:right w:val="single" w:sz="4" w:space="0" w:color="auto"/>
            </w:tcBorders>
            <w:shd w:val="clear" w:color="auto" w:fill="C6EFCE"/>
            <w:vAlign w:val="center"/>
          </w:tcPr>
          <w:p w14:paraId="390A38A9" w14:textId="24F33316" w:rsidR="0023462A" w:rsidRDefault="00A550FA">
            <w:pPr>
              <w:pStyle w:val="P68B1DB1-Normal27"/>
              <w:spacing w:after="120" w:line="240" w:lineRule="auto"/>
              <w:textAlignment w:val="baseline"/>
              <w:rPr>
                <w:noProof/>
              </w:rPr>
            </w:pPr>
            <w:r>
              <w:rPr>
                <w:noProof/>
                <w:color w:val="000000" w:themeColor="text1"/>
              </w:rPr>
              <w:t>Rénovation des établissements de santé et modernisation des équipements de soins de santé</w:t>
            </w:r>
            <w:r>
              <w:rPr>
                <w:noProof/>
              </w:rPr>
              <w:t xml:space="preserve"> </w:t>
            </w:r>
          </w:p>
          <w:p w14:paraId="02BDF76F" w14:textId="3C83BC65" w:rsidR="0023462A" w:rsidRDefault="0023462A">
            <w:pPr>
              <w:spacing w:after="120" w:line="240" w:lineRule="auto"/>
              <w:textAlignment w:val="baseline"/>
              <w:rPr>
                <w:rFonts w:ascii="Times New Roman" w:eastAsia="Times New Roman" w:hAnsi="Times New Roman" w:cs="Times New Roman"/>
                <w:noProof/>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tcPr>
          <w:p w14:paraId="4CCA2135" w14:textId="20FB8F9D" w:rsidR="0023462A" w:rsidRDefault="00A550FA">
            <w:pPr>
              <w:pStyle w:val="P68B1DB1-Normal41"/>
              <w:spacing w:after="120" w:line="240" w:lineRule="auto"/>
              <w:textAlignment w:val="baseline"/>
              <w:rPr>
                <w:noProof/>
              </w:rPr>
            </w:pPr>
            <w:r>
              <w:rPr>
                <w:noProof/>
              </w:rPr>
              <w:t>Déboursement des fonds</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tcPr>
          <w:p w14:paraId="0168DDD4" w14:textId="43FFD7C8" w:rsidR="0023462A" w:rsidRDefault="0023462A">
            <w:pPr>
              <w:spacing w:after="120" w:line="240" w:lineRule="auto"/>
              <w:textAlignment w:val="baseline"/>
              <w:rPr>
                <w:rFonts w:ascii="Times New Roman" w:hAnsi="Times New Roman" w:cs="Times New Roman"/>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2F12C3E4" w14:textId="4905EF98" w:rsidR="0023462A" w:rsidRDefault="0023462A">
            <w:pPr>
              <w:spacing w:after="120" w:line="240" w:lineRule="auto"/>
              <w:jc w:val="center"/>
              <w:textAlignment w:val="baseline"/>
              <w:rPr>
                <w:rFonts w:ascii="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vAlign w:val="center"/>
          </w:tcPr>
          <w:p w14:paraId="7DF1CC4E" w14:textId="48475D87" w:rsidR="0023462A" w:rsidRDefault="0023462A">
            <w:pPr>
              <w:spacing w:after="120" w:line="240" w:lineRule="auto"/>
              <w:jc w:val="center"/>
              <w:textAlignment w:val="baseline"/>
              <w:rPr>
                <w:rFonts w:ascii="Times New Roman" w:hAnsi="Times New Roman" w:cs="Times New Roman"/>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4037C6CE" w14:textId="68C36908" w:rsidR="0023462A" w:rsidRDefault="00A550FA">
            <w:pPr>
              <w:pStyle w:val="P68B1DB1-Normal32"/>
              <w:spacing w:after="120" w:line="240" w:lineRule="auto"/>
              <w:jc w:val="center"/>
              <w:textAlignment w:val="baseline"/>
              <w:rPr>
                <w:rFonts w:eastAsiaTheme="minorHAnsi"/>
                <w:noProof/>
              </w:rPr>
            </w:pPr>
            <w:r>
              <w:rPr>
                <w:noProof/>
              </w:rPr>
              <w:t>T2</w:t>
            </w:r>
          </w:p>
        </w:tc>
        <w:tc>
          <w:tcPr>
            <w:tcW w:w="1334" w:type="dxa"/>
            <w:tcBorders>
              <w:top w:val="single" w:sz="4" w:space="0" w:color="auto"/>
              <w:left w:val="single" w:sz="4" w:space="0" w:color="auto"/>
              <w:bottom w:val="single" w:sz="4" w:space="0" w:color="auto"/>
              <w:right w:val="single" w:sz="4" w:space="0" w:color="auto"/>
            </w:tcBorders>
            <w:shd w:val="clear" w:color="auto" w:fill="C6EFCE"/>
            <w:vAlign w:val="center"/>
          </w:tcPr>
          <w:p w14:paraId="36D2B5D0" w14:textId="00CAE3BE" w:rsidR="0023462A" w:rsidRDefault="00A550FA">
            <w:pPr>
              <w:pStyle w:val="P68B1DB1-Normal32"/>
              <w:spacing w:after="120" w:line="240" w:lineRule="auto"/>
              <w:jc w:val="center"/>
              <w:textAlignment w:val="baseline"/>
              <w:rPr>
                <w:rFonts w:eastAsiaTheme="minorHAnsi"/>
                <w:noProof/>
              </w:rPr>
            </w:pPr>
            <w:r>
              <w:rPr>
                <w:noProof/>
              </w:rPr>
              <w:t>2026</w:t>
            </w:r>
          </w:p>
        </w:tc>
        <w:tc>
          <w:tcPr>
            <w:tcW w:w="3630" w:type="dxa"/>
            <w:tcBorders>
              <w:top w:val="single" w:sz="4" w:space="0" w:color="auto"/>
              <w:left w:val="single" w:sz="4" w:space="0" w:color="auto"/>
              <w:bottom w:val="single" w:sz="4" w:space="0" w:color="auto"/>
              <w:right w:val="single" w:sz="4" w:space="0" w:color="auto"/>
            </w:tcBorders>
            <w:shd w:val="clear" w:color="auto" w:fill="C6EFCE"/>
            <w:vAlign w:val="center"/>
          </w:tcPr>
          <w:p w14:paraId="4C95B265" w14:textId="0FBE1EC7" w:rsidR="0023462A" w:rsidRDefault="00A550FA">
            <w:pPr>
              <w:pStyle w:val="P68B1DB1-Normal41"/>
              <w:spacing w:after="120" w:line="240" w:lineRule="auto"/>
              <w:textAlignment w:val="baseline"/>
              <w:rPr>
                <w:rFonts w:eastAsiaTheme="minorHAnsi"/>
                <w:noProof/>
              </w:rPr>
            </w:pPr>
            <w:r>
              <w:rPr>
                <w:noProof/>
              </w:rPr>
              <w:t>Déboursement de 240 millions d’EUR de fonds pour des investissements dans les infrastructures de soins de santé et la rénovation d’équipements de soins de santé.</w:t>
            </w:r>
          </w:p>
        </w:tc>
      </w:tr>
      <w:tr w:rsidR="0023462A" w14:paraId="256652D9" w14:textId="77777777" w:rsidTr="009C289F">
        <w:trPr>
          <w:trHeight w:val="915"/>
          <w:jc w:val="center"/>
        </w:trPr>
        <w:tc>
          <w:tcPr>
            <w:tcW w:w="73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E2C97C8" w14:textId="3C59A4FB" w:rsidR="0023462A" w:rsidRDefault="00A550FA">
            <w:pPr>
              <w:pStyle w:val="P68B1DB1-Normal32"/>
              <w:spacing w:after="120" w:line="240" w:lineRule="auto"/>
              <w:textAlignment w:val="baseline"/>
              <w:rPr>
                <w:noProof/>
              </w:rPr>
            </w:pPr>
            <w:r>
              <w:rPr>
                <w:noProof/>
              </w:rPr>
              <w:t>51</w:t>
            </w:r>
          </w:p>
        </w:tc>
        <w:tc>
          <w:tcPr>
            <w:tcW w:w="124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FC78376" w14:textId="3FCAFFF8" w:rsidR="0023462A" w:rsidRDefault="00A550FA">
            <w:pPr>
              <w:pStyle w:val="P68B1DB1-Normal32"/>
              <w:spacing w:after="120" w:line="240" w:lineRule="auto"/>
              <w:textAlignment w:val="baseline"/>
              <w:rPr>
                <w:rFonts w:eastAsiaTheme="minorHAnsi"/>
                <w:noProof/>
              </w:rPr>
            </w:pPr>
            <w:r>
              <w:rPr>
                <w:noProof/>
              </w:rPr>
              <w:t xml:space="preserve">C7.I2 Soutenir la transformation numérique de la santé </w:t>
            </w:r>
          </w:p>
        </w:tc>
        <w:tc>
          <w:tcPr>
            <w:tcW w:w="85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40B1B5D" w14:textId="69CA958C" w:rsidR="0023462A" w:rsidRDefault="00A550FA">
            <w:pPr>
              <w:pStyle w:val="P68B1DB1-Normal32"/>
              <w:spacing w:after="120" w:line="240" w:lineRule="auto"/>
              <w:textAlignment w:val="baseline"/>
              <w:rPr>
                <w:noProof/>
              </w:rPr>
            </w:pPr>
            <w:r>
              <w:rPr>
                <w:noProof/>
              </w:rPr>
              <w:t xml:space="preserve"> Étape</w:t>
            </w:r>
          </w:p>
        </w:tc>
        <w:tc>
          <w:tcPr>
            <w:tcW w:w="15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9257BEE" w14:textId="5357115D" w:rsidR="0023462A" w:rsidRDefault="00A550FA">
            <w:pPr>
              <w:pStyle w:val="P68B1DB1-Normal32"/>
              <w:spacing w:after="120" w:line="240" w:lineRule="auto"/>
              <w:textAlignment w:val="baseline"/>
              <w:rPr>
                <w:noProof/>
              </w:rPr>
            </w:pPr>
            <w:r>
              <w:rPr>
                <w:noProof/>
              </w:rPr>
              <w:t xml:space="preserve">Élargissement des fonctions et procédures de santé en ligne </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E101553" w14:textId="561B0999" w:rsidR="0023462A" w:rsidRDefault="00A550FA">
            <w:pPr>
              <w:pStyle w:val="P68B1DB1-Normal41"/>
              <w:spacing w:after="120" w:line="240" w:lineRule="auto"/>
              <w:textAlignment w:val="baseline"/>
              <w:rPr>
                <w:noProof/>
              </w:rPr>
            </w:pPr>
            <w:r>
              <w:rPr>
                <w:noProof/>
              </w:rPr>
              <w:t>Liste de registre des applications mobiles</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A0F1660" w14:textId="593E27A3" w:rsidR="0023462A" w:rsidRDefault="0023462A">
            <w:pPr>
              <w:spacing w:after="120" w:line="240" w:lineRule="auto"/>
              <w:jc w:val="center"/>
              <w:textAlignment w:val="baseline"/>
              <w:rPr>
                <w:rFonts w:ascii="Times New Roman" w:hAnsi="Times New Roman" w:cs="Times New Roman"/>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FDA3937" w14:textId="40837115" w:rsidR="0023462A" w:rsidRDefault="0023462A">
            <w:pPr>
              <w:spacing w:after="120" w:line="240" w:lineRule="auto"/>
              <w:jc w:val="center"/>
              <w:textAlignment w:val="baseline"/>
              <w:rPr>
                <w:rFonts w:ascii="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1D1D2BD" w14:textId="0D95F671" w:rsidR="0023462A" w:rsidRDefault="0023462A">
            <w:pPr>
              <w:spacing w:after="120" w:line="240" w:lineRule="auto"/>
              <w:jc w:val="center"/>
              <w:textAlignment w:val="baseline"/>
              <w:rPr>
                <w:rFonts w:ascii="Times New Roman" w:hAnsi="Times New Roman" w:cs="Times New Roman"/>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98E7BBE" w14:textId="4883533D" w:rsidR="0023462A" w:rsidRDefault="00A550FA">
            <w:pPr>
              <w:pStyle w:val="P68B1DB1-Normal32"/>
              <w:spacing w:after="120" w:line="240" w:lineRule="auto"/>
              <w:jc w:val="center"/>
              <w:textAlignment w:val="baseline"/>
              <w:rPr>
                <w:rFonts w:eastAsiaTheme="minorHAnsi"/>
                <w:noProof/>
              </w:rPr>
            </w:pPr>
            <w:r>
              <w:rPr>
                <w:noProof/>
              </w:rPr>
              <w:t>T2</w:t>
            </w:r>
          </w:p>
        </w:tc>
        <w:tc>
          <w:tcPr>
            <w:tcW w:w="13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A2E151E" w14:textId="05216E30" w:rsidR="0023462A" w:rsidRDefault="00A550FA">
            <w:pPr>
              <w:pStyle w:val="P68B1DB1-Normal32"/>
              <w:spacing w:after="120" w:line="240" w:lineRule="auto"/>
              <w:jc w:val="center"/>
              <w:textAlignment w:val="baseline"/>
              <w:rPr>
                <w:rFonts w:eastAsiaTheme="minorHAnsi"/>
                <w:noProof/>
              </w:rPr>
            </w:pPr>
            <w:r>
              <w:rPr>
                <w:noProof/>
              </w:rPr>
              <w:t>2026</w:t>
            </w:r>
          </w:p>
        </w:tc>
        <w:tc>
          <w:tcPr>
            <w:tcW w:w="363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4ED0BB8" w14:textId="05D50889" w:rsidR="0023462A" w:rsidRDefault="00A550FA">
            <w:pPr>
              <w:pStyle w:val="P68B1DB1-Normal32"/>
              <w:spacing w:after="120" w:line="240" w:lineRule="auto"/>
              <w:textAlignment w:val="baseline"/>
              <w:rPr>
                <w:noProof/>
              </w:rPr>
            </w:pPr>
            <w:r>
              <w:rPr>
                <w:noProof/>
              </w:rPr>
              <w:t>Les fonctions et procédures nouvelles ou améliorées sont numérisées ou en ligne et accessibles via le système de soins de santé en ligne. Au moins 100 000 utilisateurs sont enregistrés pour l’application mobile EESZT.</w:t>
            </w:r>
          </w:p>
        </w:tc>
      </w:tr>
      <w:tr w:rsidR="0023462A" w14:paraId="544282C3" w14:textId="77777777" w:rsidTr="009C289F">
        <w:trPr>
          <w:trHeight w:val="2133"/>
          <w:jc w:val="center"/>
        </w:trPr>
        <w:tc>
          <w:tcPr>
            <w:tcW w:w="73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6B5035D" w14:textId="61AD9F17" w:rsidR="0023462A" w:rsidRDefault="00A550FA">
            <w:pPr>
              <w:pStyle w:val="P68B1DB1-Normal32"/>
              <w:spacing w:after="120" w:line="240" w:lineRule="auto"/>
              <w:textAlignment w:val="baseline"/>
              <w:rPr>
                <w:noProof/>
              </w:rPr>
            </w:pPr>
            <w:r>
              <w:rPr>
                <w:noProof/>
              </w:rPr>
              <w:t>52</w:t>
            </w:r>
          </w:p>
        </w:tc>
        <w:tc>
          <w:tcPr>
            <w:tcW w:w="124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94EE5DE" w14:textId="03A108EC" w:rsidR="0023462A" w:rsidRDefault="00A550FA">
            <w:pPr>
              <w:pStyle w:val="P68B1DB1-Normal32"/>
              <w:spacing w:after="120" w:line="240" w:lineRule="auto"/>
              <w:textAlignment w:val="baseline"/>
              <w:rPr>
                <w:rFonts w:eastAsiaTheme="minorHAnsi"/>
                <w:noProof/>
              </w:rPr>
            </w:pPr>
            <w:r>
              <w:rPr>
                <w:noProof/>
              </w:rPr>
              <w:t>C7.I3 Développement des soins de santé primaires</w:t>
            </w:r>
          </w:p>
        </w:tc>
        <w:tc>
          <w:tcPr>
            <w:tcW w:w="85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2D562BF" w14:textId="5CBD1FAD" w:rsidR="0023462A" w:rsidRDefault="00A550FA">
            <w:pPr>
              <w:pStyle w:val="P68B1DB1-Normal32"/>
              <w:spacing w:after="120" w:line="240" w:lineRule="auto"/>
              <w:textAlignment w:val="baseline"/>
              <w:rPr>
                <w:rFonts w:eastAsiaTheme="minorHAnsi"/>
                <w:noProof/>
              </w:rPr>
            </w:pPr>
            <w:r>
              <w:rPr>
                <w:noProof/>
              </w:rPr>
              <w:t xml:space="preserve"> Étape</w:t>
            </w:r>
          </w:p>
        </w:tc>
        <w:tc>
          <w:tcPr>
            <w:tcW w:w="156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F39FED9" w14:textId="53F22C92" w:rsidR="0023462A" w:rsidRDefault="00A550FA">
            <w:pPr>
              <w:pStyle w:val="P68B1DB1-Normal32"/>
              <w:spacing w:after="120" w:line="240" w:lineRule="auto"/>
              <w:textAlignment w:val="baseline"/>
              <w:rPr>
                <w:noProof/>
              </w:rPr>
            </w:pPr>
            <w:r>
              <w:rPr>
                <w:noProof/>
              </w:rPr>
              <w:t>Programmes de soins de santé primaires</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EF28CEB" w14:textId="27983570" w:rsidR="0023462A" w:rsidRDefault="00A550FA">
            <w:pPr>
              <w:pStyle w:val="P68B1DB1-Normal32"/>
              <w:spacing w:after="120" w:line="240" w:lineRule="auto"/>
              <w:textAlignment w:val="baseline"/>
              <w:rPr>
                <w:noProof/>
              </w:rPr>
            </w:pPr>
            <w:r>
              <w:rPr>
                <w:noProof/>
              </w:rPr>
              <w:t>Participation des médecins généralistes et des patients à des programmes spécifiques</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A14F526" w14:textId="1546BF57" w:rsidR="0023462A" w:rsidRDefault="0023462A">
            <w:pPr>
              <w:spacing w:after="120" w:line="240" w:lineRule="auto"/>
              <w:jc w:val="center"/>
              <w:textAlignment w:val="baseline"/>
              <w:rPr>
                <w:rFonts w:ascii="Times New Roman" w:hAnsi="Times New Roman" w:cs="Times New Roman"/>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10DB495" w14:textId="5627222E" w:rsidR="0023462A" w:rsidRDefault="0023462A">
            <w:pPr>
              <w:spacing w:after="120" w:line="240" w:lineRule="auto"/>
              <w:jc w:val="center"/>
              <w:textAlignment w:val="baseline"/>
              <w:rPr>
                <w:rFonts w:ascii="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5D582AE" w14:textId="5FA909B0" w:rsidR="0023462A" w:rsidRDefault="0023462A">
            <w:pPr>
              <w:spacing w:after="120" w:line="240" w:lineRule="auto"/>
              <w:jc w:val="center"/>
              <w:textAlignment w:val="baseline"/>
              <w:rPr>
                <w:rFonts w:ascii="Times New Roman" w:hAnsi="Times New Roman" w:cs="Times New Roman"/>
                <w:noProof/>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B034325" w14:textId="699965D3" w:rsidR="0023462A" w:rsidRDefault="00A550FA">
            <w:pPr>
              <w:pStyle w:val="P68B1DB1-Normal32"/>
              <w:spacing w:after="120" w:line="240" w:lineRule="auto"/>
              <w:jc w:val="center"/>
              <w:textAlignment w:val="baseline"/>
              <w:rPr>
                <w:noProof/>
              </w:rPr>
            </w:pPr>
            <w:r>
              <w:rPr>
                <w:noProof/>
              </w:rPr>
              <w:t>T2</w:t>
            </w:r>
          </w:p>
        </w:tc>
        <w:tc>
          <w:tcPr>
            <w:tcW w:w="13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733DEE6" w14:textId="1B48F3B8" w:rsidR="0023462A" w:rsidRDefault="00A550FA">
            <w:pPr>
              <w:pStyle w:val="P68B1DB1-Normal32"/>
              <w:spacing w:after="120" w:line="240" w:lineRule="auto"/>
              <w:jc w:val="center"/>
              <w:textAlignment w:val="baseline"/>
              <w:rPr>
                <w:noProof/>
              </w:rPr>
            </w:pPr>
            <w:r>
              <w:rPr>
                <w:noProof/>
              </w:rPr>
              <w:t>2026</w:t>
            </w:r>
          </w:p>
        </w:tc>
        <w:tc>
          <w:tcPr>
            <w:tcW w:w="363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8DDE144" w14:textId="39830923" w:rsidR="0023462A" w:rsidRDefault="00A550FA">
            <w:pPr>
              <w:pStyle w:val="P68B1DB1-Normal32"/>
              <w:spacing w:after="120" w:line="240" w:lineRule="auto"/>
              <w:textAlignment w:val="baseline"/>
              <w:rPr>
                <w:noProof/>
              </w:rPr>
            </w:pPr>
            <w:r>
              <w:rPr>
                <w:noProof/>
              </w:rPr>
              <w:t xml:space="preserve">Participation de 4 000 médecins généralistes dans les communautés de praxis. </w:t>
            </w:r>
          </w:p>
          <w:p w14:paraId="4730D8D7" w14:textId="3908ED95" w:rsidR="0023462A" w:rsidRDefault="00A550FA">
            <w:pPr>
              <w:pStyle w:val="P68B1DB1-Normal32"/>
              <w:spacing w:after="120" w:line="240" w:lineRule="auto"/>
              <w:textAlignment w:val="baseline"/>
              <w:rPr>
                <w:noProof/>
              </w:rPr>
            </w:pPr>
            <w:r>
              <w:rPr>
                <w:noProof/>
              </w:rPr>
              <w:t>43 000 patients atteints de maladies chroniques non transmissibles, telles que l’hypertension, les maladies cardiovasculaires, le diabète de type II et la bronchopneumopathie chronique obstructive (BPCO), sont inscrits au programme de gestion des maladies chroniques.</w:t>
            </w:r>
          </w:p>
          <w:p w14:paraId="2BFAEC28" w14:textId="617FEB51" w:rsidR="0023462A" w:rsidRDefault="00A550FA">
            <w:pPr>
              <w:pStyle w:val="P68B1DB1-Normal32"/>
              <w:spacing w:after="120" w:line="240" w:lineRule="auto"/>
              <w:textAlignment w:val="baseline"/>
              <w:rPr>
                <w:noProof/>
              </w:rPr>
            </w:pPr>
            <w:r>
              <w:rPr>
                <w:noProof/>
              </w:rPr>
              <w:t>25 000 patients inscrits au programme de prévention.</w:t>
            </w:r>
          </w:p>
        </w:tc>
      </w:tr>
      <w:tr w:rsidR="0023462A" w14:paraId="4950A1FC" w14:textId="77777777" w:rsidTr="009C289F">
        <w:trPr>
          <w:trHeight w:val="79"/>
          <w:jc w:val="center"/>
        </w:trPr>
        <w:tc>
          <w:tcPr>
            <w:tcW w:w="730" w:type="dxa"/>
            <w:tcBorders>
              <w:top w:val="single" w:sz="4" w:space="0" w:color="auto"/>
              <w:left w:val="single" w:sz="4" w:space="0" w:color="auto"/>
              <w:bottom w:val="single" w:sz="4" w:space="0" w:color="auto"/>
              <w:right w:val="single" w:sz="4" w:space="0" w:color="auto"/>
            </w:tcBorders>
            <w:shd w:val="clear" w:color="auto" w:fill="C6EFCE"/>
            <w:vAlign w:val="center"/>
          </w:tcPr>
          <w:p w14:paraId="1AA01DB3" w14:textId="4943E9B2" w:rsidR="0023462A" w:rsidRDefault="00A550FA">
            <w:pPr>
              <w:pStyle w:val="P68B1DB1-Normal32"/>
              <w:spacing w:after="120" w:line="240" w:lineRule="auto"/>
              <w:textAlignment w:val="baseline"/>
              <w:rPr>
                <w:noProof/>
              </w:rPr>
            </w:pPr>
            <w:r>
              <w:rPr>
                <w:noProof/>
              </w:rPr>
              <w:t>53</w:t>
            </w:r>
          </w:p>
        </w:tc>
        <w:tc>
          <w:tcPr>
            <w:tcW w:w="1249" w:type="dxa"/>
            <w:tcBorders>
              <w:top w:val="single" w:sz="4" w:space="0" w:color="auto"/>
              <w:left w:val="single" w:sz="4" w:space="0" w:color="auto"/>
              <w:bottom w:val="single" w:sz="4" w:space="0" w:color="auto"/>
              <w:right w:val="single" w:sz="4" w:space="0" w:color="auto"/>
            </w:tcBorders>
            <w:shd w:val="clear" w:color="auto" w:fill="C6EFCE"/>
            <w:vAlign w:val="center"/>
          </w:tcPr>
          <w:p w14:paraId="0BA01952" w14:textId="3E291B35" w:rsidR="0023462A" w:rsidRDefault="00A550FA">
            <w:pPr>
              <w:pStyle w:val="P68B1DB1-Normal32"/>
              <w:spacing w:after="120" w:line="240" w:lineRule="auto"/>
              <w:textAlignment w:val="baseline"/>
              <w:rPr>
                <w:noProof/>
              </w:rPr>
            </w:pPr>
            <w:r>
              <w:rPr>
                <w:noProof/>
              </w:rPr>
              <w:t>C7.I4 Infrastructures sanitaires et sociales locales</w:t>
            </w:r>
          </w:p>
        </w:tc>
        <w:tc>
          <w:tcPr>
            <w:tcW w:w="851" w:type="dxa"/>
            <w:tcBorders>
              <w:top w:val="single" w:sz="4" w:space="0" w:color="auto"/>
              <w:left w:val="single" w:sz="4" w:space="0" w:color="auto"/>
              <w:bottom w:val="single" w:sz="4" w:space="0" w:color="auto"/>
              <w:right w:val="single" w:sz="4" w:space="0" w:color="auto"/>
            </w:tcBorders>
            <w:shd w:val="clear" w:color="auto" w:fill="C6EFCE"/>
            <w:vAlign w:val="center"/>
          </w:tcPr>
          <w:p w14:paraId="17F82899" w14:textId="361ECB71" w:rsidR="0023462A" w:rsidRDefault="00A550FA">
            <w:pPr>
              <w:pStyle w:val="P68B1DB1-Normal32"/>
              <w:spacing w:after="120" w:line="240" w:lineRule="auto"/>
              <w:textAlignment w:val="baseline"/>
              <w:rPr>
                <w:noProof/>
              </w:rPr>
            </w:pPr>
            <w:r>
              <w:rPr>
                <w:noProof/>
              </w:rPr>
              <w:t xml:space="preserve"> Étape</w:t>
            </w:r>
          </w:p>
        </w:tc>
        <w:tc>
          <w:tcPr>
            <w:tcW w:w="1560" w:type="dxa"/>
            <w:tcBorders>
              <w:top w:val="single" w:sz="4" w:space="0" w:color="auto"/>
              <w:left w:val="single" w:sz="4" w:space="0" w:color="auto"/>
              <w:bottom w:val="single" w:sz="4" w:space="0" w:color="auto"/>
              <w:right w:val="single" w:sz="4" w:space="0" w:color="auto"/>
            </w:tcBorders>
            <w:shd w:val="clear" w:color="auto" w:fill="C6EFCE"/>
            <w:vAlign w:val="center"/>
          </w:tcPr>
          <w:p w14:paraId="263A25D6" w14:textId="69F81A76" w:rsidR="0023462A" w:rsidRDefault="00A550FA">
            <w:pPr>
              <w:pStyle w:val="P68B1DB1-Normal32"/>
              <w:spacing w:after="120" w:line="240" w:lineRule="auto"/>
              <w:textAlignment w:val="baseline"/>
              <w:rPr>
                <w:noProof/>
              </w:rPr>
            </w:pPr>
            <w:r>
              <w:rPr>
                <w:noProof/>
              </w:rPr>
              <w:t>Infrastructures sanitaires et sociales locales</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tcPr>
          <w:p w14:paraId="1FCA5BAF" w14:textId="4D693DB6" w:rsidR="0023462A" w:rsidRDefault="0023462A">
            <w:pPr>
              <w:spacing w:after="120" w:line="240" w:lineRule="auto"/>
              <w:textAlignment w:val="baseline"/>
              <w:rPr>
                <w:rFonts w:ascii="Times New Roman" w:hAnsi="Times New Roman" w:cs="Times New Roman"/>
                <w:noProof/>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tcPr>
          <w:p w14:paraId="312C135B" w14:textId="3D3A3F81" w:rsidR="0023462A" w:rsidRDefault="00A550FA">
            <w:pPr>
              <w:pStyle w:val="P68B1DB1-Normal32"/>
              <w:spacing w:after="120" w:line="240" w:lineRule="auto"/>
              <w:jc w:val="center"/>
              <w:textAlignment w:val="baseline"/>
              <w:rPr>
                <w:noProof/>
              </w:rPr>
            </w:pPr>
            <w:r>
              <w:rPr>
                <w:noProof/>
              </w:rPr>
              <w:t>Numéro</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02EF482E" w14:textId="77777777" w:rsidR="0023462A" w:rsidRDefault="0023462A">
            <w:pPr>
              <w:spacing w:after="120" w:line="240" w:lineRule="auto"/>
              <w:jc w:val="center"/>
              <w:textAlignment w:val="baseline"/>
              <w:rPr>
                <w:rFonts w:ascii="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vAlign w:val="center"/>
          </w:tcPr>
          <w:p w14:paraId="30B0B014" w14:textId="699E10C1" w:rsidR="0023462A" w:rsidRDefault="00A550FA">
            <w:pPr>
              <w:pStyle w:val="P68B1DB1-Normal32"/>
              <w:spacing w:after="120" w:line="240" w:lineRule="auto"/>
              <w:jc w:val="center"/>
              <w:textAlignment w:val="baseline"/>
              <w:rPr>
                <w:noProof/>
              </w:rPr>
            </w:pPr>
            <w:r>
              <w:rPr>
                <w:noProof/>
              </w:rPr>
              <w:t>60</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055FBEEC" w14:textId="41F90412" w:rsidR="0023462A" w:rsidRDefault="00A550FA">
            <w:pPr>
              <w:pStyle w:val="P68B1DB1-Normal32"/>
              <w:spacing w:after="120" w:line="240" w:lineRule="auto"/>
              <w:jc w:val="center"/>
              <w:textAlignment w:val="baseline"/>
              <w:rPr>
                <w:noProof/>
              </w:rPr>
            </w:pPr>
            <w:r>
              <w:rPr>
                <w:noProof/>
              </w:rPr>
              <w:t>T2</w:t>
            </w:r>
          </w:p>
        </w:tc>
        <w:tc>
          <w:tcPr>
            <w:tcW w:w="1334" w:type="dxa"/>
            <w:tcBorders>
              <w:top w:val="single" w:sz="4" w:space="0" w:color="auto"/>
              <w:left w:val="single" w:sz="4" w:space="0" w:color="auto"/>
              <w:bottom w:val="single" w:sz="4" w:space="0" w:color="auto"/>
              <w:right w:val="single" w:sz="4" w:space="0" w:color="auto"/>
            </w:tcBorders>
            <w:shd w:val="clear" w:color="auto" w:fill="C6EFCE"/>
            <w:vAlign w:val="center"/>
          </w:tcPr>
          <w:p w14:paraId="452C0B12" w14:textId="43D19DDE" w:rsidR="0023462A" w:rsidRDefault="00A550FA">
            <w:pPr>
              <w:pStyle w:val="P68B1DB1-Normal32"/>
              <w:spacing w:after="120" w:line="240" w:lineRule="auto"/>
              <w:jc w:val="center"/>
              <w:textAlignment w:val="baseline"/>
              <w:rPr>
                <w:noProof/>
              </w:rPr>
            </w:pPr>
            <w:r>
              <w:rPr>
                <w:noProof/>
              </w:rPr>
              <w:t>2026</w:t>
            </w:r>
          </w:p>
        </w:tc>
        <w:tc>
          <w:tcPr>
            <w:tcW w:w="3630" w:type="dxa"/>
            <w:tcBorders>
              <w:top w:val="single" w:sz="4" w:space="0" w:color="auto"/>
              <w:left w:val="single" w:sz="4" w:space="0" w:color="auto"/>
              <w:bottom w:val="single" w:sz="4" w:space="0" w:color="auto"/>
              <w:right w:val="single" w:sz="4" w:space="0" w:color="auto"/>
            </w:tcBorders>
            <w:shd w:val="clear" w:color="auto" w:fill="C6EFCE"/>
            <w:vAlign w:val="center"/>
          </w:tcPr>
          <w:p w14:paraId="45B1993D" w14:textId="1FB71B37" w:rsidR="0023462A" w:rsidRDefault="00A550FA">
            <w:pPr>
              <w:pStyle w:val="P68B1DB1-Normal32"/>
              <w:spacing w:after="120" w:line="240" w:lineRule="auto"/>
              <w:textAlignment w:val="baseline"/>
              <w:rPr>
                <w:noProof/>
              </w:rPr>
            </w:pPr>
            <w:r>
              <w:rPr>
                <w:noProof/>
              </w:rPr>
              <w:t>Rénovation de 60 bâtiments de santé ou de services sociaux ou livraison de matériel.</w:t>
            </w:r>
          </w:p>
        </w:tc>
      </w:tr>
    </w:tbl>
    <w:p w14:paraId="6111C48A" w14:textId="77777777" w:rsidR="0023462A" w:rsidRDefault="0023462A">
      <w:pPr>
        <w:spacing w:after="120" w:line="240" w:lineRule="auto"/>
        <w:rPr>
          <w:rFonts w:ascii="Times New Roman" w:hAnsi="Times New Roman" w:cs="Times New Roman"/>
          <w:noProof/>
          <w:sz w:val="24"/>
          <w:szCs w:val="24"/>
        </w:rPr>
        <w:sectPr w:rsidR="0023462A" w:rsidSect="009030B8">
          <w:headerReference w:type="default" r:id="rId100"/>
          <w:footerReference w:type="default" r:id="rId101"/>
          <w:pgSz w:w="16839" w:h="11907" w:orient="landscape"/>
          <w:pgMar w:top="1134" w:right="1134" w:bottom="1134" w:left="1134" w:header="567" w:footer="567" w:gutter="0"/>
          <w:cols w:space="708"/>
          <w:docGrid w:linePitch="360"/>
        </w:sectPr>
      </w:pPr>
    </w:p>
    <w:p w14:paraId="4306B00D" w14:textId="3B73D7DE" w:rsidR="0023462A" w:rsidRDefault="00A550FA">
      <w:pPr>
        <w:pStyle w:val="P68B1DB1-Normal44"/>
        <w:keepNext/>
        <w:spacing w:after="120" w:line="240" w:lineRule="auto"/>
        <w:jc w:val="both"/>
        <w:outlineLvl w:val="1"/>
        <w:rPr>
          <w:noProof/>
        </w:rPr>
      </w:pPr>
      <w:r>
        <w:rPr>
          <w:noProof/>
        </w:rPr>
        <w:t xml:space="preserve">H. Élément 8: GOUVERNANCE ET ADMINISTRATION PUBLIQUE </w:t>
      </w:r>
    </w:p>
    <w:p w14:paraId="4A091E56" w14:textId="60BF64F3" w:rsidR="0023462A" w:rsidRDefault="00A550FA">
      <w:pPr>
        <w:pStyle w:val="P68B1DB1-Normal34"/>
        <w:spacing w:after="120" w:line="240" w:lineRule="auto"/>
        <w:jc w:val="both"/>
        <w:rPr>
          <w:rFonts w:eastAsia="Times New Roman"/>
          <w:noProof/>
        </w:rPr>
      </w:pPr>
      <w:r>
        <w:rPr>
          <w:noProof/>
        </w:rPr>
        <w:t>La Hongrie est confrontée à un certain nombre de défis horizontaux de longue date liés à la solidité et au fonctionnement des institutions publiques en général, ce qui a également des implications sur les processus économiques et sociaux dans le pays. Les questions spécifiques à cet égard concernent le cadre de lutte contre la corruption, la concurrence dans les marchés publics, l’indépendance de la justice, ainsi que la prévisibilité, la qualité et la transparence du processus décisionnel. La Hongrie se classe au bas des indicateurs de perception de la corruption et le niveau de concurrence dans les marchés publics est modéré. L'obligation de rendre compte des décisions de clôture des enquêtes reste un sujet de préoccupation, car il n'existe pas de recours efficaces contre les décisions du ministère public de ne pas poursuivre les activités criminelles présumées. Les défis récurrents dans l’application des règles en matière de transparence et d’accès à l’information publique affaiblissent également le cadre de lutte contre la corruption. En ce qui concerne l’indépendance de la justice, les préoccupations portent en particulier sur les difficultés rencontrées par le Conseil national indépendant de la magistrature pour contrebalancer les pouvoirs du président de l’Office national de la magistrature, les règles relatives à l’élection du président de la Cour suprême, la possibilité de décisions discrétionnaires en ce qui concerne les nominations et les promotions des juges, l’attribution des affaires ainsi que les primes aux juges et aux cadres judiciaires, ainsi que la possibilité pour les autorités publiques de contester devant la Cour constitutionnelle les décisions judiciaires définitives. La qualité, la prévisibilité et la transparence de la prise de décision et l’absence de consultation effective des partenaires sociaux et des parties prenantes dans les processus décisionnels représentent des défis récurrents. La complexité du système fiscal et les risques de planification fiscale agressive ont également été identifiés comme des problèmes à résoudre; Il en va de même pour la nécessité d'améliorer la viabilité des finances publiques et du cadre budgétaire.</w:t>
      </w:r>
    </w:p>
    <w:p w14:paraId="5ADD93DF" w14:textId="7353EF43" w:rsidR="0023462A" w:rsidRDefault="00A550FA">
      <w:pPr>
        <w:pStyle w:val="P68B1DB1-Normal34"/>
        <w:spacing w:after="120" w:line="240" w:lineRule="auto"/>
        <w:jc w:val="both"/>
        <w:rPr>
          <w:noProof/>
        </w:rPr>
      </w:pPr>
      <w:r>
        <w:rPr>
          <w:noProof/>
        </w:rPr>
        <w:t xml:space="preserve">Ce volet du plan hongrois pour la reprise et la résilience vise à relever ces défis. Il comprend des mesures qui devraient contribuer à renforcer le cadre de lutte contre la corruption, notamment en créant une autorité pour l’intégrité et une task-force pour la lutte contre la corruption, en mettant en œuvre des mesures de lutte contre la corruption et en renforçant les capacités des organismes d’audit et de contrôle hongrois, en particulier en ce qui concerne les dépenses financées par le budget de l’UE. Il comprend également des mesures visant à renforcer les efforts en matière de poursuites. Des mesures sont également prévues pour accroître la concurrence dans le domaine des marchés publics et garantir la transparence et le contrôle public des marchés publics. </w:t>
      </w:r>
    </w:p>
    <w:p w14:paraId="017EA88F" w14:textId="77777777" w:rsidR="0023462A" w:rsidRDefault="00A550FA">
      <w:pPr>
        <w:pStyle w:val="P68B1DB1-Normal34"/>
        <w:spacing w:after="120" w:line="240" w:lineRule="auto"/>
        <w:jc w:val="both"/>
        <w:rPr>
          <w:rFonts w:eastAsia="Calibri"/>
          <w:noProof/>
        </w:rPr>
      </w:pPr>
      <w:r>
        <w:rPr>
          <w:noProof/>
        </w:rPr>
        <w:t xml:space="preserve">Les mesures incluses dans le volet portent également sur des questions relatives à l’indépendance du pouvoir judiciaire, au relèvement du niveau de protection judiciaire et à l’amélioration du climat d’investissement en Hongrie, en renforçant les garanties d’indépendance et d’impartialité des tribunaux, notamment en renforçant les pouvoirs du Conseil national de la magistrature pour contrebalancer les pouvoirs du président de l’Office national de la magistrature, en renforçant l’indépendance judiciaire de la Cour suprême, en supprimant les obstacles aux renvois préjudiciels devant la Cour de justice de l’Union européenne et en supprimant la possibilité pour les autorités publiques de contester devant la Cour constitutionnelle les décisions judiciaires définitives. </w:t>
      </w:r>
    </w:p>
    <w:p w14:paraId="7315218E" w14:textId="77777777" w:rsidR="0023462A" w:rsidRDefault="00A550FA">
      <w:pPr>
        <w:pStyle w:val="P68B1DB1-Normal34"/>
        <w:spacing w:after="120" w:line="240" w:lineRule="auto"/>
        <w:jc w:val="both"/>
        <w:rPr>
          <w:noProof/>
        </w:rPr>
      </w:pPr>
      <w:r>
        <w:rPr>
          <w:noProof/>
        </w:rPr>
        <w:t>Les mesures prévues dans ce volet devraient également améliorer la qualité et la transparence du processus décisionnel, y compris par une participation plus systématique des partenaires sociaux et des parties prenantes, faciliter l’accès à l’information publique et assurer un contrôle efficace de la manière dont les fondations de gestion d’actifs d’intérêt public utilisent le soutien de l’UE. Le volet comprend également des mesures visant à lutter contre le risque de planification fiscale agressive et à simplifier le système fiscal. Enfin, le volet comprend des mesures visant à améliorer la qualité et la viabilité des finances publiques.</w:t>
      </w:r>
    </w:p>
    <w:p w14:paraId="0CB539DA" w14:textId="77777777" w:rsidR="0023462A" w:rsidRDefault="00A550FA">
      <w:pPr>
        <w:pStyle w:val="P68B1DB1-Normal34"/>
        <w:spacing w:after="120" w:line="240" w:lineRule="auto"/>
        <w:jc w:val="both"/>
        <w:rPr>
          <w:noProof/>
        </w:rPr>
      </w:pPr>
      <w:r>
        <w:rPr>
          <w:noProof/>
        </w:rPr>
        <w:t xml:space="preserve">Dans plusieurs cas, ce volet contribue également à la transition numérique des institutions publiques en soutenant la numérisation de l’administration et des services publics. </w:t>
      </w:r>
    </w:p>
    <w:p w14:paraId="587F7E1B" w14:textId="77777777" w:rsidR="0023462A" w:rsidRDefault="00A550FA">
      <w:pPr>
        <w:pStyle w:val="P68B1DB1-Normal34"/>
        <w:rPr>
          <w:noProof/>
        </w:rPr>
      </w:pPr>
      <w:r>
        <w:rPr>
          <w:noProof/>
        </w:rPr>
        <w:br w:type="page"/>
      </w:r>
    </w:p>
    <w:p w14:paraId="1F79298D" w14:textId="26FD24F4" w:rsidR="0023462A" w:rsidRDefault="00A550FA">
      <w:pPr>
        <w:pStyle w:val="P68B1DB1-Normal34"/>
        <w:spacing w:after="120" w:line="240" w:lineRule="auto"/>
        <w:jc w:val="both"/>
        <w:rPr>
          <w:noProof/>
        </w:rPr>
      </w:pPr>
      <w:r>
        <w:rPr>
          <w:noProof/>
        </w:rPr>
        <w:t xml:space="preserve">Ce volet contribue à donner suite aux recommandations par pays sur la nécessité </w:t>
      </w:r>
      <w:r>
        <w:rPr>
          <w:i/>
          <w:noProof/>
        </w:rPr>
        <w:t>de «renforcer le cadre de lutte contre la corruption, y compris en améliorant les efforts en matière de poursuites et l’accès à l’information publique»</w:t>
      </w:r>
      <w:r>
        <w:rPr>
          <w:noProof/>
        </w:rPr>
        <w:t xml:space="preserve"> (recommandation par pays no 4 de 2019, recommandation par pays no 4 de 2022), </w:t>
      </w:r>
      <w:r>
        <w:rPr>
          <w:i/>
          <w:noProof/>
        </w:rPr>
        <w:t>«améliorer la concurrence dans les marchés publics» (recommandation par pays no 4 de 2020, recommandation par pays no 4 de 2022), «renforcer l’indépendance de la justice» (recommandation par pays no 4 de 2019, recommandation par pays no 4 de 2022), «améliorer la qualité et la transparence du processus décisionnel grâce à un dialogue social efficace, à un dialogue avec d’autres parties prenantes et à des analyses d’impact régulières»</w:t>
      </w:r>
      <w:r>
        <w:rPr>
          <w:noProof/>
        </w:rPr>
        <w:t xml:space="preserve"> (recommandation par pays no 4 de 2019, recommandation par pays no 4 de 2022), </w:t>
      </w:r>
      <w:r>
        <w:rPr>
          <w:i/>
          <w:noProof/>
        </w:rPr>
        <w:t xml:space="preserve">«continuer à simplifier le système fiscal» </w:t>
      </w:r>
      <w:r>
        <w:rPr>
          <w:noProof/>
        </w:rPr>
        <w:t>(recommandation par pays no 4 de 2019, recommandation par pays no 4 de 2022), «renforcer</w:t>
      </w:r>
      <w:r>
        <w:rPr>
          <w:i/>
          <w:noProof/>
        </w:rPr>
        <w:t xml:space="preserve"> le système fiscal contre le risque de planification fiscale agressive»</w:t>
      </w:r>
      <w:r>
        <w:rPr>
          <w:noProof/>
        </w:rPr>
        <w:t>(recommandation par pays no 4 de 2019, recommandation par pays). Recommandation par pays no 5 de 2020), «Atteindre</w:t>
      </w:r>
      <w:r>
        <w:rPr>
          <w:i/>
          <w:noProof/>
        </w:rPr>
        <w:t xml:space="preserve"> des positions budgétaires prudentes à moyen terme» </w:t>
      </w:r>
      <w:r>
        <w:rPr>
          <w:noProof/>
        </w:rPr>
        <w:t>(recommandation par pays no 1 de 2022), «Renforcer</w:t>
      </w:r>
      <w:r>
        <w:rPr>
          <w:i/>
          <w:noProof/>
        </w:rPr>
        <w:t xml:space="preserve"> le cadre budgétaire à moyen terme, aligner la préparation des budgets annuels sur l’exercice budgétaire et limiter le pouvoir discrétionnaire dans l’exécution des budgets annuels»</w:t>
      </w:r>
      <w:r>
        <w:rPr>
          <w:noProof/>
        </w:rPr>
        <w:t xml:space="preserve">(recommandation par pays no 1 de 2024, recommandation par pays no 1 de 2025) et </w:t>
      </w:r>
      <w:r>
        <w:rPr>
          <w:i/>
          <w:noProof/>
        </w:rPr>
        <w:t xml:space="preserve">«Éliminer progressivement les plafonds de prix et de taux d’intérêt restants afin de réduire les effets de distorsion et de faciliter la transmission harmonieuse de la politique monétaire» </w:t>
      </w:r>
      <w:r>
        <w:rPr>
          <w:noProof/>
        </w:rPr>
        <w:t xml:space="preserve">(recommandation par pays no 1 de 2024, recommandation par pays no 1 de 2025). </w:t>
      </w:r>
    </w:p>
    <w:p w14:paraId="063BD966" w14:textId="6261C646" w:rsidR="0023462A" w:rsidRDefault="00A550FA">
      <w:pPr>
        <w:pStyle w:val="P68B1DB1-Normal34"/>
        <w:spacing w:after="120" w:line="240" w:lineRule="auto"/>
        <w:jc w:val="both"/>
        <w:rPr>
          <w:noProof/>
        </w:rPr>
      </w:pPr>
      <w:r>
        <w:rPr>
          <w:noProof/>
        </w:rPr>
        <w:t>Un certain nombre de ces mesures ont été présentées par la Hongrie et examinées avec la Commission européenne dans le cadre de la procédure prévue par le règlement relatif à la conditionnalité.</w:t>
      </w:r>
      <w:r w:rsidRPr="008B7BE6">
        <w:rPr>
          <w:noProof/>
          <w:vertAlign w:val="superscript"/>
        </w:rPr>
        <w:footnoteReference w:id="11"/>
      </w:r>
      <w:r>
        <w:rPr>
          <w:noProof/>
        </w:rPr>
        <w:t xml:space="preserve"> Le contenu des jalons et cibles connexes est aligné sur les engagements pris dans ce contexte et certains de ces jalons sont mis en œuvre avant la présentation d’une demande de paiement au titre de la facilité pour la reprise et la résilience. </w:t>
      </w:r>
    </w:p>
    <w:p w14:paraId="410FC2FF" w14:textId="77777777" w:rsidR="0023462A" w:rsidRDefault="00A550FA">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Conformément à l’article 20, paragraphe 5, point e), du règlement (UE) 2021/241, afin de se conformer à l’article 22 dudit règlement, la mise en œuvre des jalons de ce volet qui sont liés au système de contrôle hongrois visant à protéger les intérêts financiers de l’Union est une condition préalable à tout paiement au titre de l’article 24 du règlement FRR.</w:t>
      </w:r>
      <w:r>
        <w:rPr>
          <w:rStyle w:val="FootnoteReference"/>
          <w:rFonts w:ascii="Times New Roman" w:hAnsi="Times New Roman" w:cs="Times New Roman"/>
          <w:b w:val="0"/>
          <w:noProof/>
          <w:sz w:val="24"/>
          <w:szCs w:val="24"/>
        </w:rPr>
        <w:footnoteReference w:id="12"/>
      </w:r>
      <w:r>
        <w:rPr>
          <w:rFonts w:ascii="Times New Roman" w:hAnsi="Times New Roman" w:cs="Times New Roman"/>
          <w:noProof/>
          <w:sz w:val="24"/>
          <w:szCs w:val="24"/>
        </w:rPr>
        <w:t xml:space="preserve"> </w:t>
      </w:r>
    </w:p>
    <w:p w14:paraId="14B8792C" w14:textId="77777777" w:rsidR="0023462A" w:rsidRDefault="00A550FA">
      <w:pPr>
        <w:pStyle w:val="P68B1DB1-Normal34"/>
        <w:spacing w:after="120" w:line="240" w:lineRule="auto"/>
        <w:jc w:val="both"/>
        <w:rPr>
          <w:noProof/>
        </w:rPr>
      </w:pPr>
      <w:r>
        <w:rPr>
          <w:noProof/>
        </w:rPr>
        <w:t>Conformément à l’article 24, paragraphe 3, du règlement (UE) 2021/241, toute réforme de la Hongrie est entreprise sans affaiblir ce résultat et sans avoir d’incidence négative sur les éléments ci-dessous.</w:t>
      </w:r>
    </w:p>
    <w:p w14:paraId="040D39DF" w14:textId="77777777" w:rsidR="0023462A" w:rsidRDefault="00A550FA">
      <w:pPr>
        <w:pStyle w:val="P68B1DB1-Normal34"/>
        <w:spacing w:after="120" w:line="240" w:lineRule="auto"/>
        <w:jc w:val="both"/>
        <w:rPr>
          <w:noProof/>
        </w:rPr>
      </w:pPr>
      <w:r>
        <w:rPr>
          <w:noProof/>
        </w:rPr>
        <w:t>Aucune mesure relevant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DNSH (2021/C58/01).</w:t>
      </w:r>
    </w:p>
    <w:p w14:paraId="5AAE0FB8" w14:textId="584F3FDE" w:rsidR="0023462A" w:rsidRDefault="00A550FA">
      <w:pPr>
        <w:pStyle w:val="P68B1DB1-Heading310"/>
        <w:rPr>
          <w:noProof/>
        </w:rPr>
      </w:pPr>
      <w:r>
        <w:rPr>
          <w:noProof/>
        </w:rPr>
        <w:t>H.1. Description des réformes et des investissements pour le soutien financier non remboursable</w:t>
      </w:r>
    </w:p>
    <w:p w14:paraId="105E3DE5" w14:textId="7AB626C3" w:rsidR="0023462A" w:rsidRDefault="00A550FA">
      <w:pPr>
        <w:pStyle w:val="P68B1DB1-Heading411"/>
        <w:spacing w:before="0" w:after="120" w:line="240" w:lineRule="auto"/>
        <w:rPr>
          <w:noProof/>
        </w:rPr>
      </w:pPr>
      <w:bookmarkStart w:id="4" w:name="_Hlk232142727"/>
      <w:r>
        <w:rPr>
          <w:noProof/>
        </w:rPr>
        <w:t>C8.R1 : Entrée en vigueur des actes juridiques relatifs à une autorité chargée de l'intégrité</w:t>
      </w:r>
    </w:p>
    <w:p w14:paraId="0A79213C" w14:textId="77777777" w:rsidR="0023462A" w:rsidRDefault="00A550FA">
      <w:pPr>
        <w:pStyle w:val="P68B1DB1-Normal59"/>
        <w:spacing w:after="120" w:line="240" w:lineRule="auto"/>
        <w:jc w:val="both"/>
        <w:rPr>
          <w:noProof/>
        </w:rPr>
      </w:pPr>
      <w:r>
        <w:rPr>
          <w:noProof/>
        </w:rPr>
        <w:t xml:space="preserve">L’objectif de cette réforme est de renforcer la prévention, la détection et la correction de la fraude, des conflits d’intérêts et de la corruption ainsi que d’autres illégalités et irrégularités concernant la mise en œuvre du soutien de l’Union en Hongrie, en mettant particulièrement l’accent sur les marchés publics, grâce à la création légale d’une autorité chargée de l’intégrité. </w:t>
      </w:r>
    </w:p>
    <w:p w14:paraId="4B370024" w14:textId="77777777" w:rsidR="0023462A" w:rsidRDefault="00A550FA">
      <w:pPr>
        <w:pStyle w:val="P68B1DB1-Normal59"/>
        <w:rPr>
          <w:noProof/>
        </w:rPr>
      </w:pPr>
      <w:r>
        <w:rPr>
          <w:noProof/>
        </w:rPr>
        <w:br w:type="page"/>
      </w:r>
    </w:p>
    <w:p w14:paraId="0FB498FF" w14:textId="1334654F" w:rsidR="0023462A" w:rsidRDefault="00A550FA">
      <w:pPr>
        <w:pStyle w:val="P68B1DB1-Normal59"/>
        <w:spacing w:after="120" w:line="240" w:lineRule="auto"/>
        <w:jc w:val="both"/>
        <w:rPr>
          <w:noProof/>
        </w:rPr>
      </w:pPr>
      <w:r>
        <w:rPr>
          <w:noProof/>
        </w:rPr>
        <w:t xml:space="preserve">La réforme consiste en l’entrée en vigueur d’une législation prévoyant une autorité indépendante chargée de l’intégrité, compétente pour intervenir dans tous les cas où, selon elle, les autorités nationales compétentes n’ont pas pris les mesures nécessaires pour prévenir, détecter et corriger la fraude, les conflits d’intérêts, la corruption et d’autres illégalités ou irrégularités qui ont porté atteinte ou risquent gravement de porter atteinte à la bonne gestion financière du budget de l’Union ou à la protection des intérêts financiers de l’Union européenne. </w:t>
      </w:r>
    </w:p>
    <w:p w14:paraId="63FCA042" w14:textId="315C8179" w:rsidR="0023462A" w:rsidRDefault="00A550FA">
      <w:pPr>
        <w:pStyle w:val="P68B1DB1-Normal59"/>
        <w:spacing w:after="120" w:line="240" w:lineRule="auto"/>
        <w:jc w:val="both"/>
        <w:rPr>
          <w:noProof/>
        </w:rPr>
      </w:pPr>
      <w:r>
        <w:rPr>
          <w:noProof/>
        </w:rPr>
        <w:t>La législation prévoit également les compétences de l’Autorité pour l’intégrité, telles que la vérification directe des déclarations de patrimoine de certaines catégories de hauts responsables politiques (ainsi que de leurs proches vivant dans le même ménage) et d’autres fonctionnaires à haut risque.</w:t>
      </w:r>
    </w:p>
    <w:p w14:paraId="6D9CFD48" w14:textId="3128465D" w:rsidR="0023462A" w:rsidRDefault="00A550FA">
      <w:pPr>
        <w:pStyle w:val="P68B1DB1-Heading411"/>
        <w:spacing w:before="0" w:after="120" w:line="240" w:lineRule="auto"/>
        <w:rPr>
          <w:noProof/>
        </w:rPr>
      </w:pPr>
      <w:r>
        <w:rPr>
          <w:noProof/>
        </w:rPr>
        <w:t xml:space="preserve">C8.R2 : Participation à la coopération renforcée concernant la création du Parquet européen </w:t>
      </w:r>
    </w:p>
    <w:p w14:paraId="3AADB648" w14:textId="3008D544" w:rsidR="0023462A" w:rsidRDefault="00A550FA">
      <w:pPr>
        <w:pStyle w:val="P68B1DB1-Normal60"/>
        <w:spacing w:after="120" w:line="240" w:lineRule="auto"/>
        <w:jc w:val="both"/>
        <w:rPr>
          <w:noProof/>
        </w:rPr>
      </w:pPr>
      <w:r>
        <w:rPr>
          <w:noProof/>
        </w:rPr>
        <w:t xml:space="preserve">L’objectif de cette réforme est de renforcer la protection effective des intérêts financiers de l’Union et la lutte contre les infractions pénales portant atteinte aux intérêts financiers de l’Union en Hongrie grâce à sa participation à la coopération renforcée concernant la création du Parquet européen. Le Parquet européen est un organe indivisible de l’Union fonctionnant comme un seul et même office dans l’intérêt de l’Union dans son ensemble, ayant compétence pour enquêter sur les infractions pénales commises contre les intérêts financiers de l’Union, les poursuivre et les traduire en justice. </w:t>
      </w:r>
    </w:p>
    <w:p w14:paraId="10052D97" w14:textId="03C25578" w:rsidR="0023462A" w:rsidRDefault="00A550FA">
      <w:pPr>
        <w:pStyle w:val="P68B1DB1-Normal60"/>
        <w:spacing w:after="120" w:line="240" w:lineRule="auto"/>
        <w:jc w:val="both"/>
        <w:rPr>
          <w:noProof/>
        </w:rPr>
      </w:pPr>
      <w:r>
        <w:rPr>
          <w:noProof/>
        </w:rPr>
        <w:t xml:space="preserve">La réforme consiste en la notification par la Hongrie à la Commission européenne de son intention de participer à la coopération renforcée concernant la création du Parquet européen. </w:t>
      </w:r>
    </w:p>
    <w:p w14:paraId="31B2A816" w14:textId="7A425AF8" w:rsidR="0023462A" w:rsidRDefault="00A550FA">
      <w:pPr>
        <w:pStyle w:val="P68B1DB1-Heading411"/>
        <w:spacing w:before="0" w:after="120" w:line="240" w:lineRule="auto"/>
        <w:rPr>
          <w:noProof/>
        </w:rPr>
      </w:pPr>
      <w:r>
        <w:rPr>
          <w:noProof/>
        </w:rPr>
        <w:t xml:space="preserve">C8.R3 : Entrée en vigueur des actes juridiques relatifs à une task force de lutte contre la corruption </w:t>
      </w:r>
    </w:p>
    <w:p w14:paraId="2DE7309B" w14:textId="77777777" w:rsidR="0023462A" w:rsidRDefault="00A550FA">
      <w:pPr>
        <w:pStyle w:val="P68B1DB1-Normal59"/>
        <w:spacing w:after="120" w:line="240" w:lineRule="auto"/>
        <w:jc w:val="both"/>
        <w:rPr>
          <w:noProof/>
          <w:szCs w:val="24"/>
        </w:rPr>
      </w:pPr>
      <w:r>
        <w:rPr>
          <w:noProof/>
        </w:rPr>
        <w:t xml:space="preserve">L’objectif de cette réforme est de suivre et d’examiner les mesures prises en Hongrie pour prévenir, détecter, poursuivre et sanctionner la corruption par une task force anticorruption. </w:t>
      </w:r>
    </w:p>
    <w:p w14:paraId="58461811" w14:textId="5EA8D2B4" w:rsidR="0023462A" w:rsidRDefault="00A550FA">
      <w:pPr>
        <w:pStyle w:val="P68B1DB1-Normal54"/>
        <w:spacing w:after="120" w:line="240" w:lineRule="auto"/>
        <w:jc w:val="both"/>
        <w:textAlignment w:val="baseline"/>
        <w:rPr>
          <w:noProof/>
        </w:rPr>
      </w:pPr>
      <w:r>
        <w:rPr>
          <w:noProof/>
        </w:rPr>
        <w:t xml:space="preserve">Cette réforme consiste en l'entrée en vigueur d'une législation sur la création légale d'une task force anticorruption, y compris la définition de ses principales tâches. La législation prévoit notamment i) </w:t>
      </w:r>
      <w:r>
        <w:rPr>
          <w:i/>
          <w:noProof/>
        </w:rPr>
        <w:t>que les</w:t>
      </w:r>
      <w:r>
        <w:rPr>
          <w:noProof/>
        </w:rPr>
        <w:t xml:space="preserve"> acteurs non gouvernementaux actifs dans le domaine de la lutte contre la corruption représentent au moins 50 % des membres du groupe de travail sur la lutte contre la corruption (à l’exclusion du président); ii) la task-force anticorruption se réunit au moins deux fois par an, iii) la task-force anticorruption prépare un rapport annuel accessible au public et iv) la task-force anticorruption présente des propositions visant à améliorer la prévention et la détection de la corruption et à stimuler la circulation des informations entre les autorités administratives et de contrôle de l’État et les autorités chargées des enquêtes pénales.</w:t>
      </w:r>
    </w:p>
    <w:p w14:paraId="14162044" w14:textId="5B335DB7" w:rsidR="0023462A" w:rsidRDefault="00A550FA">
      <w:pPr>
        <w:pStyle w:val="P68B1DB1-Heading411"/>
        <w:spacing w:before="0" w:after="120" w:line="240" w:lineRule="auto"/>
        <w:rPr>
          <w:noProof/>
        </w:rPr>
      </w:pPr>
      <w:r>
        <w:rPr>
          <w:noProof/>
        </w:rPr>
        <w:t xml:space="preserve">C8.R4 : Introduction d’une procédure spécifique en cas d’infractions spéciales liées à l’exercice de l’autorité publique ou à la gestion de biens publics («contrôle juridictionnel») </w:t>
      </w:r>
    </w:p>
    <w:p w14:paraId="54977ABC" w14:textId="437CDEFE" w:rsidR="0023462A" w:rsidRDefault="00A550FA">
      <w:pPr>
        <w:pStyle w:val="P68B1DB1-Normal59"/>
        <w:spacing w:after="120" w:line="240" w:lineRule="auto"/>
        <w:jc w:val="both"/>
        <w:rPr>
          <w:noProof/>
          <w:szCs w:val="24"/>
        </w:rPr>
      </w:pPr>
      <w:r>
        <w:rPr>
          <w:noProof/>
        </w:rPr>
        <w:t xml:space="preserve">L’objectif de cette réforme est de mettre en place une procédure spécifique qui garantisse le contrôle juridictionnel des décisions des autorités chargées de l’enquête ou du ministère public de rejeter un rapport d’infraction ou de clore une procédure dans le cas d’infractions spéciales liées à l’exercice de l’autorité publique ou à la gestion de biens publics, afin de garantir que des mesures déterminées soient prises pour poursuivre les auteurs de corruption et d’infractions pénales similaires. La réforme consiste en l’entrée en vigueur d’une ou de plusieurs modifications législatives relatives au contrôle juridictionnel et au droit de déposer un acte d’accusation concernant certaines pratiques de corruption et pratiques liées à la corruption. </w:t>
      </w:r>
    </w:p>
    <w:p w14:paraId="524C57C3" w14:textId="7019AEBA" w:rsidR="0023462A" w:rsidRDefault="00A550FA">
      <w:pPr>
        <w:pStyle w:val="P68B1DB1-Heading411"/>
        <w:spacing w:before="0" w:after="120" w:line="240" w:lineRule="auto"/>
        <w:rPr>
          <w:noProof/>
        </w:rPr>
      </w:pPr>
      <w:r>
        <w:rPr>
          <w:noProof/>
        </w:rPr>
        <w:t>C8.R5 : Modification des règles relatives aux déclarations de patrimoine</w:t>
      </w:r>
    </w:p>
    <w:p w14:paraId="55CFA908" w14:textId="57C773C4" w:rsidR="0023462A" w:rsidRDefault="00A550FA">
      <w:pPr>
        <w:pStyle w:val="P68B1DB1-Normal59"/>
        <w:spacing w:after="120" w:line="240" w:lineRule="auto"/>
        <w:jc w:val="both"/>
        <w:rPr>
          <w:noProof/>
          <w:szCs w:val="24"/>
        </w:rPr>
      </w:pPr>
      <w:r>
        <w:rPr>
          <w:noProof/>
        </w:rPr>
        <w:t xml:space="preserve">L’objectif de cette réforme est de modifier le cadre de lutte contre la corruption en introduisant des règles plus strictes en matière de déclarations de patrimoine, ainsi qu’un régime de sanctions en cas de violation de ces règles et obligations. </w:t>
      </w:r>
    </w:p>
    <w:p w14:paraId="4EE1BB45" w14:textId="245115B3" w:rsidR="0023462A" w:rsidRDefault="00A550FA">
      <w:pPr>
        <w:pStyle w:val="P68B1DB1-Normal59"/>
        <w:spacing w:after="120" w:line="240" w:lineRule="auto"/>
        <w:jc w:val="both"/>
        <w:rPr>
          <w:noProof/>
          <w:szCs w:val="24"/>
        </w:rPr>
      </w:pPr>
      <w:r>
        <w:rPr>
          <w:noProof/>
        </w:rPr>
        <w:t>La réforme consiste en l’entrée en vigueur de modifications législatives qui prévoient l’obligation pour les hauts responsables politiques et leurs proches vivant dans le même ménage, ainsi que les membres de l’Assemblée nationale et leurs proches vivant dans le même ménage,</w:t>
      </w:r>
      <w:r>
        <w:rPr>
          <w:noProof/>
          <w:szCs w:val="24"/>
        </w:rPr>
        <w:t xml:space="preserve"> de présenter des déclarations de patrimoine lors de leur prise de fonctions, chaque année par la suite et au moment de la cessation de leurs fonctions,</w:t>
      </w:r>
      <w:r>
        <w:rPr>
          <w:noProof/>
        </w:rPr>
        <w:t xml:space="preserve"> et les déclarations de patrimoine susmentionnées sont soumises par voie électronique.</w:t>
      </w:r>
    </w:p>
    <w:p w14:paraId="44DA236D" w14:textId="12018863" w:rsidR="0023462A" w:rsidRDefault="00A550FA">
      <w:pPr>
        <w:pStyle w:val="P68B1DB1-Heading411"/>
        <w:spacing w:before="0" w:after="120" w:line="240" w:lineRule="auto"/>
        <w:rPr>
          <w:rFonts w:eastAsia="Times New Roman"/>
          <w:noProof/>
        </w:rPr>
      </w:pPr>
      <w:r>
        <w:rPr>
          <w:noProof/>
        </w:rPr>
        <w:t>C8.R6: Entrée en vigueur des actes juridiques relatifs à la transparence de l’utilisation des ressources publiques par les fondations de gestion d’actifs d’intérêt public</w:t>
      </w:r>
    </w:p>
    <w:p w14:paraId="7F8DF2DF" w14:textId="77777777" w:rsidR="0023462A" w:rsidRDefault="00A550FA">
      <w:pPr>
        <w:pStyle w:val="P68B1DB1-Normal59"/>
        <w:spacing w:after="120" w:line="240" w:lineRule="auto"/>
        <w:jc w:val="both"/>
        <w:rPr>
          <w:rFonts w:eastAsia="Times New Roman"/>
          <w:noProof/>
          <w:szCs w:val="24"/>
        </w:rPr>
      </w:pPr>
      <w:r>
        <w:rPr>
          <w:noProof/>
        </w:rPr>
        <w:t>L’objectif de cette réforme est d’assurer une surveillance de la manière dont les fondations de gestion d’actifs d’intérêt public utilisent le soutien de l’Union et de prévenir le risque structurel de situations de conflit d’intérêts dans leur fonctionnement.</w:t>
      </w:r>
    </w:p>
    <w:p w14:paraId="5E97D4A9" w14:textId="5C1F3BC6" w:rsidR="0023462A" w:rsidRDefault="00A550FA">
      <w:pPr>
        <w:pStyle w:val="P68B1DB1-Normal12"/>
        <w:spacing w:after="120" w:line="240" w:lineRule="auto"/>
        <w:jc w:val="both"/>
        <w:rPr>
          <w:rFonts w:ascii="Times New Roman" w:eastAsia="Times New Roman" w:hAnsi="Times New Roman" w:cs="Times New Roman"/>
          <w:noProof/>
        </w:rPr>
      </w:pPr>
      <w:r>
        <w:rPr>
          <w:rFonts w:ascii="Times New Roman" w:eastAsiaTheme="minorHAnsi" w:hAnsi="Times New Roman" w:cs="Times New Roman"/>
          <w:noProof/>
        </w:rPr>
        <w:t xml:space="preserve">La réforme consiste en l’entrée en vigueur de modifications législatives visant à définir la désignation des fondations de gestion d’actifs d’intérêt public exerçant des fonctions publiques et des </w:t>
      </w:r>
      <w:r>
        <w:rPr>
          <w:rFonts w:ascii="Times New Roman" w:hAnsi="Times New Roman" w:cs="Times New Roman"/>
          <w:noProof/>
          <w:szCs w:val="24"/>
        </w:rPr>
        <w:t>personnes morales qu’elles établissent</w:t>
      </w:r>
      <w:r>
        <w:rPr>
          <w:rFonts w:ascii="Times New Roman" w:eastAsiaTheme="minorHAnsi" w:hAnsi="Times New Roman" w:cs="Times New Roman"/>
          <w:noProof/>
        </w:rPr>
        <w:t xml:space="preserve"> ou maintiennent en tant que pouvoirs adjudicateurs au sens de la règle relative aux marchés publics, ainsi qu’en l’adoption de règles visant à prévenir et à traiter les risques de conflit d’intérêts.</w:t>
      </w:r>
    </w:p>
    <w:p w14:paraId="38DD7A40" w14:textId="134891B9" w:rsidR="0023462A" w:rsidRDefault="00A550FA">
      <w:pPr>
        <w:pStyle w:val="P68B1DB1-Heading411"/>
        <w:spacing w:before="0" w:after="120" w:line="240" w:lineRule="auto"/>
        <w:rPr>
          <w:rFonts w:eastAsia="Times New Roman"/>
          <w:noProof/>
        </w:rPr>
      </w:pPr>
      <w:r>
        <w:rPr>
          <w:noProof/>
        </w:rPr>
        <w:t>C8.R7: Renforcer la transparence des dépenses publiques</w:t>
      </w:r>
    </w:p>
    <w:p w14:paraId="23A7CDF5" w14:textId="3544FDFC" w:rsidR="0023462A" w:rsidRDefault="00A550FA">
      <w:pPr>
        <w:pStyle w:val="P68B1DB1-Normal59"/>
        <w:spacing w:after="120" w:line="240" w:lineRule="auto"/>
        <w:jc w:val="both"/>
        <w:rPr>
          <w:noProof/>
        </w:rPr>
      </w:pPr>
      <w:r>
        <w:rPr>
          <w:noProof/>
        </w:rPr>
        <w:t>L’objectif de cette réforme est d’accroître la transparence des dépenses publiques en veillant à ce que les organismes exerçant des fonctions publiques publient de manière proactive un large éventail d’informations.</w:t>
      </w:r>
    </w:p>
    <w:p w14:paraId="0E0A369A" w14:textId="3780AA7A" w:rsidR="0023462A" w:rsidRDefault="00A550FA">
      <w:pPr>
        <w:pStyle w:val="P68B1DB1-Normal59"/>
        <w:spacing w:after="120" w:line="240" w:lineRule="auto"/>
        <w:jc w:val="both"/>
        <w:rPr>
          <w:rFonts w:eastAsia="Times New Roman"/>
          <w:noProof/>
          <w:szCs w:val="24"/>
        </w:rPr>
      </w:pPr>
      <w:r>
        <w:rPr>
          <w:noProof/>
        </w:rPr>
        <w:t xml:space="preserve">La réforme consiste en l’entrée en vigueur d’une législation prévoyant l’obligation pour les organismes exerçant des fonctions publiques de publier de manière proactive un ensemble prédéfini d’informations sur l’utilisation des fonds publics dans un registre central. </w:t>
      </w:r>
    </w:p>
    <w:p w14:paraId="01C63D73" w14:textId="62043C4B" w:rsidR="0023462A" w:rsidRDefault="00A550FA">
      <w:pPr>
        <w:pStyle w:val="P68B1DB1-Heading411"/>
        <w:spacing w:before="0" w:after="120" w:line="240" w:lineRule="auto"/>
        <w:rPr>
          <w:noProof/>
        </w:rPr>
      </w:pPr>
      <w:r>
        <w:rPr>
          <w:noProof/>
        </w:rPr>
        <w:t>C8.R8: Règles garantissant la transparence des bénéficiaires effectifs des entités et clarifiant le recours aux subventions publiques</w:t>
      </w:r>
    </w:p>
    <w:p w14:paraId="2D302764" w14:textId="32D08B55" w:rsidR="0023462A" w:rsidRDefault="00A550FA">
      <w:pPr>
        <w:pStyle w:val="P68B1DB1-Normal54"/>
        <w:spacing w:after="120" w:line="240" w:lineRule="auto"/>
        <w:jc w:val="both"/>
        <w:rPr>
          <w:noProof/>
        </w:rPr>
      </w:pPr>
      <w:r>
        <w:rPr>
          <w:noProof/>
        </w:rPr>
        <w:t>L’objectif de cette réforme est d’accroître la clarté et la sécurité juridique des règles applicables aux bénéficiaires effectifs ultimes de certaines entités, y compris les fonds d’investissement privés/entités fiduciaires de gestion d’actifs, et de faire en sorte que les organismes responsables de l’audit et du contrôle du soutien de l’Union en Hongrie puissent accéder rétroactivement à ces données pour l’accomplissement de leurs missions, augmentant ainsi le niveau de protection des intérêts financiers de l’Union.</w:t>
      </w:r>
    </w:p>
    <w:p w14:paraId="2B63ED2A" w14:textId="77777777" w:rsidR="0023462A" w:rsidRDefault="00A550FA">
      <w:pPr>
        <w:pStyle w:val="P68B1DB1-Normal54"/>
        <w:spacing w:after="120" w:line="240" w:lineRule="auto"/>
        <w:jc w:val="both"/>
        <w:rPr>
          <w:noProof/>
        </w:rPr>
      </w:pPr>
      <w:r>
        <w:rPr>
          <w:noProof/>
        </w:rPr>
        <w:t xml:space="preserve">La réforme consiste en l'entrée en vigueur de </w:t>
      </w:r>
    </w:p>
    <w:p w14:paraId="338E39D4" w14:textId="77777777" w:rsidR="0023462A" w:rsidRDefault="00A550FA">
      <w:pPr>
        <w:pStyle w:val="P68B1DB1-Normal36"/>
        <w:numPr>
          <w:ilvl w:val="0"/>
          <w:numId w:val="153"/>
        </w:numPr>
        <w:spacing w:after="120" w:line="240" w:lineRule="auto"/>
        <w:jc w:val="both"/>
        <w:rPr>
          <w:noProof/>
        </w:rPr>
      </w:pPr>
      <w:r>
        <w:rPr>
          <w:noProof/>
        </w:rPr>
        <w:t>des modifications législatives prévoyant la révision de la définition du bénéficiaire effectif final afin d’y inclure des dispositions spéciales sur les fonds d’investissement privés, de veiller à ce que les organismes responsables de la gestion et du contrôle du soutien de l’Union en Hongrie aient la possibilité de recueillir des informations sur les bénéficiaires effectifs finaux des fonds de capital-investissement et de les vérifier à partir du 1er février 2020 au moins, et</w:t>
      </w:r>
    </w:p>
    <w:p w14:paraId="18552FBD" w14:textId="2CBAB522" w:rsidR="0023462A" w:rsidRDefault="00A550FA">
      <w:pPr>
        <w:pStyle w:val="P68B1DB1-Normal6"/>
        <w:numPr>
          <w:ilvl w:val="0"/>
          <w:numId w:val="153"/>
        </w:numPr>
        <w:spacing w:after="120" w:line="240" w:lineRule="auto"/>
        <w:jc w:val="both"/>
        <w:rPr>
          <w:noProof/>
          <w:szCs w:val="24"/>
        </w:rPr>
      </w:pPr>
      <w:r>
        <w:rPr>
          <w:noProof/>
          <w:szCs w:val="20"/>
        </w:rPr>
        <w:t>la législation prévoyant la clarification et l’extension du champ d’application des agents publics exclus et du champ d’application des entités qui ne peuvent pas demander ou recevoir de subventions provenant de fonds publics.</w:t>
      </w:r>
    </w:p>
    <w:p w14:paraId="5D3231FB" w14:textId="5C5F1608" w:rsidR="0023462A" w:rsidRDefault="00A550FA">
      <w:pPr>
        <w:pStyle w:val="P68B1DB1-Heading411"/>
        <w:spacing w:before="0" w:after="120" w:line="240" w:lineRule="auto"/>
        <w:rPr>
          <w:rFonts w:eastAsia="Times New Roman"/>
          <w:noProof/>
          <w:highlight w:val="yellow"/>
        </w:rPr>
      </w:pPr>
      <w:r>
        <w:rPr>
          <w:noProof/>
        </w:rPr>
        <w:t>C8.R9: Réduction de la part des procédures de passation de marchés publics à offre unique</w:t>
      </w:r>
    </w:p>
    <w:p w14:paraId="69B452DB" w14:textId="77777777" w:rsidR="0023462A" w:rsidRDefault="00A550FA">
      <w:pPr>
        <w:pStyle w:val="P68B1DB1-Normal59"/>
        <w:spacing w:after="120" w:line="240" w:lineRule="auto"/>
        <w:jc w:val="both"/>
        <w:rPr>
          <w:rFonts w:eastAsia="Times New Roman"/>
          <w:noProof/>
          <w:szCs w:val="24"/>
        </w:rPr>
      </w:pPr>
      <w:r>
        <w:rPr>
          <w:noProof/>
        </w:rPr>
        <w:t>L’objectif de la réforme est d’améliorer la concurrence dans les marchés publics et d’accroître la transparence et la robustesse des procédures connexes en réduisant la part des procédures de passation de marchés publics à offre unique financées par des fonds de l’Union.</w:t>
      </w:r>
    </w:p>
    <w:p w14:paraId="59C45D0A" w14:textId="4FC97463" w:rsidR="0023462A" w:rsidRDefault="00A550FA">
      <w:pPr>
        <w:pStyle w:val="P68B1DB1-Normal59"/>
        <w:spacing w:after="120" w:line="240" w:lineRule="auto"/>
        <w:jc w:val="both"/>
        <w:rPr>
          <w:noProof/>
        </w:rPr>
      </w:pPr>
      <w:r>
        <w:rPr>
          <w:noProof/>
        </w:rPr>
        <w:t xml:space="preserve">Cette réforme consiste en l’obligation de maintenir en </w:t>
      </w:r>
      <w:r>
        <w:rPr>
          <w:noProof/>
          <w:szCs w:val="24"/>
        </w:rPr>
        <w:t>dessous de 15 % la part des procédures de passation de marchés publics comportant des offres uniques pour les marchés financés au moins partiellement par le soutien de l’Union, comme indiqué dans un outil mis au point pour suivre et rendre compte des offres uniques conformément à la méthodologie du tableau d’affichage du marché unique.</w:t>
      </w:r>
      <w:r>
        <w:rPr>
          <w:noProof/>
        </w:rPr>
        <w:t xml:space="preserve"> </w:t>
      </w:r>
    </w:p>
    <w:p w14:paraId="50C77BD7" w14:textId="536BBA83" w:rsidR="0023462A" w:rsidRDefault="00A550FA">
      <w:pPr>
        <w:pStyle w:val="P68B1DB1-Heading411"/>
        <w:spacing w:before="0" w:after="120" w:line="240" w:lineRule="auto"/>
        <w:rPr>
          <w:noProof/>
        </w:rPr>
      </w:pPr>
      <w:r>
        <w:rPr>
          <w:noProof/>
        </w:rPr>
        <w:t>C8.R10 : Renforcer l'intégrité, la transparence et la compétitivité des marchés publics</w:t>
      </w:r>
    </w:p>
    <w:p w14:paraId="0FE6BFAD" w14:textId="77777777" w:rsidR="0023462A" w:rsidRDefault="00A550FA">
      <w:pPr>
        <w:pStyle w:val="P68B1DB1-Normal12"/>
        <w:spacing w:after="120" w:line="240" w:lineRule="auto"/>
        <w:ind w:left="52"/>
        <w:rPr>
          <w:rFonts w:ascii="Times New Roman" w:eastAsia="Calibri" w:hAnsi="Times New Roman" w:cs="Times New Roman"/>
          <w:noProof/>
          <w:szCs w:val="24"/>
        </w:rPr>
      </w:pPr>
      <w:r>
        <w:rPr>
          <w:rFonts w:ascii="Times New Roman" w:eastAsiaTheme="minorHAnsi" w:hAnsi="Times New Roman" w:cs="Times New Roman"/>
          <w:noProof/>
        </w:rPr>
        <w:t>L’objectif de la réforme est de</w:t>
      </w:r>
      <w:r>
        <w:rPr>
          <w:rFonts w:ascii="Times New Roman" w:eastAsia="Calibri" w:hAnsi="Times New Roman" w:cs="Times New Roman"/>
          <w:noProof/>
          <w:szCs w:val="24"/>
        </w:rPr>
        <w:t xml:space="preserve"> renforcer la transparence des procédures de passation des marchés publics, d’introduire des règles de prévention de la corruption et des conflits d’intérêts, des obligations de déclaration et de publication pour les pouvoirs adjudicateurs et d’encourager la concurrence sur les marchés publics.</w:t>
      </w:r>
    </w:p>
    <w:p w14:paraId="2253F7C9" w14:textId="77777777" w:rsidR="0023462A" w:rsidRDefault="00A550FA">
      <w:pPr>
        <w:pStyle w:val="P68B1DB1-Normal59"/>
        <w:spacing w:after="120" w:line="240" w:lineRule="auto"/>
        <w:ind w:left="52"/>
        <w:rPr>
          <w:noProof/>
        </w:rPr>
      </w:pPr>
      <w:r>
        <w:rPr>
          <w:noProof/>
        </w:rPr>
        <w:t>La réforme consiste en l’entrée en vigueur d’un ou de plusieurs actes juridiques sur les marchés publics.</w:t>
      </w:r>
    </w:p>
    <w:p w14:paraId="1C5E3391" w14:textId="086A1F48" w:rsidR="0023462A" w:rsidRDefault="00A550FA">
      <w:pPr>
        <w:pStyle w:val="P68B1DB1-Heading411"/>
        <w:spacing w:before="0" w:after="120" w:line="240" w:lineRule="auto"/>
        <w:rPr>
          <w:noProof/>
        </w:rPr>
      </w:pPr>
      <w:r>
        <w:rPr>
          <w:noProof/>
        </w:rPr>
        <w:t xml:space="preserve">C8.R11: Développement du système électronique de passation des marchés publics (EPS) pour accroître la transparence </w:t>
      </w:r>
    </w:p>
    <w:p w14:paraId="09C6E2D3" w14:textId="77777777" w:rsidR="0023462A" w:rsidRDefault="00A550FA">
      <w:pPr>
        <w:pStyle w:val="P68B1DB1-Normal59"/>
        <w:spacing w:after="120" w:line="240" w:lineRule="auto"/>
        <w:jc w:val="both"/>
        <w:rPr>
          <w:noProof/>
        </w:rPr>
      </w:pPr>
      <w:r>
        <w:rPr>
          <w:noProof/>
        </w:rPr>
        <w:t>L’objectif de cette réforme est</w:t>
      </w:r>
      <w:r>
        <w:rPr>
          <w:b/>
          <w:noProof/>
        </w:rPr>
        <w:t xml:space="preserve"> </w:t>
      </w:r>
      <w:r>
        <w:rPr>
          <w:noProof/>
        </w:rPr>
        <w:t xml:space="preserve">d’accroître la transparence des marchés publics et de faciliter la surveillance et l’analyse indépendantes de la concurrence dans les marchés publics. </w:t>
      </w:r>
    </w:p>
    <w:p w14:paraId="74A7A6C1" w14:textId="0BF1BEB3" w:rsidR="0023462A" w:rsidRDefault="00A550FA">
      <w:pPr>
        <w:pStyle w:val="P68B1DB1-Normal59"/>
        <w:spacing w:after="120" w:line="240" w:lineRule="auto"/>
        <w:jc w:val="both"/>
        <w:rPr>
          <w:rFonts w:eastAsia="Times New Roman"/>
          <w:noProof/>
          <w:szCs w:val="24"/>
        </w:rPr>
      </w:pPr>
      <w:r>
        <w:rPr>
          <w:noProof/>
        </w:rPr>
        <w:t xml:space="preserve">Cette réforme consiste à rendre possible la </w:t>
      </w:r>
      <w:r>
        <w:rPr>
          <w:noProof/>
          <w:szCs w:val="24"/>
        </w:rPr>
        <w:t xml:space="preserve">recherche structurée et l’exportation en masse des données de l’avis </w:t>
      </w:r>
      <w:r>
        <w:rPr>
          <w:noProof/>
        </w:rPr>
        <w:t xml:space="preserve">d’attribution de marché dans un format lisible par machine, par l’intermédiaire du système électronique de passation des marchés publics (SPE). </w:t>
      </w:r>
    </w:p>
    <w:p w14:paraId="5EB53AFD" w14:textId="073C9853" w:rsidR="0023462A" w:rsidRDefault="00A550FA">
      <w:pPr>
        <w:pStyle w:val="P68B1DB1-Heading411"/>
        <w:spacing w:before="0" w:after="120" w:line="240" w:lineRule="auto"/>
        <w:rPr>
          <w:rFonts w:eastAsia="Times New Roman"/>
          <w:noProof/>
        </w:rPr>
      </w:pPr>
      <w:r>
        <w:rPr>
          <w:noProof/>
        </w:rPr>
        <w:t>C8.R12 : Cadre de mesure de la performance pour les marchés publics</w:t>
      </w:r>
    </w:p>
    <w:p w14:paraId="69A4E5EE" w14:textId="77777777" w:rsidR="0023462A" w:rsidRDefault="00A550FA">
      <w:pPr>
        <w:pStyle w:val="P68B1DB1-Normal59"/>
        <w:spacing w:after="120" w:line="240" w:lineRule="auto"/>
        <w:jc w:val="both"/>
        <w:rPr>
          <w:noProof/>
        </w:rPr>
      </w:pPr>
      <w:r>
        <w:rPr>
          <w:noProof/>
        </w:rPr>
        <w:t>L'objectif de cette réforme est de faciliter l'évaluation de l'efficience et du rapport coût-efficacité des marchés publics et des raisons d'une concurrence limitée.</w:t>
      </w:r>
    </w:p>
    <w:p w14:paraId="3FB87902" w14:textId="5821D690" w:rsidR="0023462A" w:rsidRDefault="00A550FA">
      <w:pPr>
        <w:pStyle w:val="P68B1DB1-Normal59"/>
        <w:spacing w:after="120" w:line="240" w:lineRule="auto"/>
        <w:jc w:val="both"/>
        <w:rPr>
          <w:rFonts w:eastAsia="Times New Roman"/>
          <w:noProof/>
          <w:szCs w:val="24"/>
        </w:rPr>
      </w:pPr>
      <w:r>
        <w:rPr>
          <w:noProof/>
        </w:rPr>
        <w:t xml:space="preserve">Cette réforme consiste en la publication d’un cadre de mesure de la performance des marchés publics sur le site web du SPE </w:t>
      </w:r>
      <w:r>
        <w:rPr>
          <w:noProof/>
          <w:szCs w:val="24"/>
        </w:rPr>
        <w:t>afin d’évaluer l’efficacité et le rapport coût-efficacité des marchés publics ainsi que les raisons et les effets possibles d’une concurrence limitée dans les procédures de passation de marchés publics, et les secteurs les plus touchés par les procédures de passation de marchés publics donnant lieu à des offres uniques.</w:t>
      </w:r>
      <w:r>
        <w:rPr>
          <w:noProof/>
        </w:rPr>
        <w:t xml:space="preserve"> </w:t>
      </w:r>
    </w:p>
    <w:p w14:paraId="2307143A" w14:textId="02A59142" w:rsidR="0023462A" w:rsidRDefault="00A550FA">
      <w:pPr>
        <w:pStyle w:val="P68B1DB1-Heading411"/>
        <w:spacing w:before="0" w:after="120" w:line="240" w:lineRule="auto"/>
        <w:rPr>
          <w:rFonts w:eastAsia="Calibri"/>
          <w:noProof/>
        </w:rPr>
      </w:pPr>
      <w:r>
        <w:rPr>
          <w:noProof/>
        </w:rPr>
        <w:t>C8.R13: Plan d'action pour accroître le niveau de concurrence dans les marchés publics</w:t>
      </w:r>
    </w:p>
    <w:p w14:paraId="619FA805" w14:textId="77777777" w:rsidR="0023462A" w:rsidRDefault="00A550FA">
      <w:pPr>
        <w:pStyle w:val="P68B1DB1-Normal59"/>
        <w:spacing w:after="120" w:line="240" w:lineRule="auto"/>
        <w:jc w:val="both"/>
        <w:rPr>
          <w:noProof/>
        </w:rPr>
      </w:pPr>
      <w:r>
        <w:rPr>
          <w:noProof/>
        </w:rPr>
        <w:t>L'objectif de cette réforme est d'accroître le niveau de concurrence dans les marchés publics en Hongrie.</w:t>
      </w:r>
    </w:p>
    <w:p w14:paraId="5426598F" w14:textId="12A87088" w:rsidR="0023462A" w:rsidRDefault="00A550FA">
      <w:pPr>
        <w:pStyle w:val="P68B1DB1-Normal59"/>
        <w:spacing w:after="120" w:line="240" w:lineRule="auto"/>
        <w:jc w:val="both"/>
        <w:rPr>
          <w:rFonts w:eastAsia="Times New Roman"/>
          <w:noProof/>
        </w:rPr>
      </w:pPr>
      <w:r>
        <w:rPr>
          <w:noProof/>
        </w:rPr>
        <w:t>Cette réforme consiste en l'adoption, la publication et le réexamen annuel d'un plan d'action visant à accroître le niveau de concurrence dans les marchés publics. Le plan d'action fixe les objectifs à atteindre, définit les mesures à prendre pour atteindre les objectifs, fixe des délais précis pour la mise en œuvre des mesures, identifie le ou les organismes chargés de la mise en œuvre des mesures et met en place un mécanisme de suivi pour évaluer les progrès accomplis.</w:t>
      </w:r>
    </w:p>
    <w:p w14:paraId="5E46B4EA" w14:textId="64C6A92B" w:rsidR="0023462A" w:rsidRDefault="00A550FA">
      <w:pPr>
        <w:pStyle w:val="P68B1DB1-Heading411"/>
        <w:spacing w:before="0" w:after="120" w:line="240" w:lineRule="auto"/>
        <w:rPr>
          <w:rFonts w:eastAsia="Calibri"/>
          <w:noProof/>
        </w:rPr>
      </w:pPr>
      <w:r>
        <w:rPr>
          <w:noProof/>
        </w:rPr>
        <w:t>C8.R14: Renforcer le rôle et les pouvoirs du Conseil national de la magistrature afin de contrebalancer les pouvoirs du président de l’Office national de la magistrature</w:t>
      </w:r>
    </w:p>
    <w:p w14:paraId="59975969" w14:textId="2FBBAF9D" w:rsidR="0023462A" w:rsidRDefault="00A550FA">
      <w:pPr>
        <w:pStyle w:val="P68B1DB1-Normal59"/>
        <w:spacing w:after="120" w:line="240" w:lineRule="auto"/>
        <w:jc w:val="both"/>
        <w:rPr>
          <w:noProof/>
        </w:rPr>
      </w:pPr>
      <w:r>
        <w:rPr>
          <w:noProof/>
        </w:rPr>
        <w:t xml:space="preserve">L’objectif de la réforme est de </w:t>
      </w:r>
      <w:r>
        <w:rPr>
          <w:noProof/>
          <w:u w:val="single"/>
        </w:rPr>
        <w:t xml:space="preserve">renforcer l’indépendance et l’impartialité des tribunaux et des juges établis par la loi en </w:t>
      </w:r>
      <w:r>
        <w:rPr>
          <w:noProof/>
        </w:rPr>
        <w:t>renforçant les pouvoirs du Conseil national de la magistrature (CNM) afin qu’il puisse exercer efficacement son rôle constitutionnel de surveillance de l’administration centrale des tribunaux, tout en maintenant l’indépendance du Conseil sur la base de l’élection de ses membres par des juges.</w:t>
      </w:r>
    </w:p>
    <w:p w14:paraId="3086FCD6" w14:textId="2FC0528F" w:rsidR="0023462A" w:rsidRDefault="00A550FA">
      <w:pPr>
        <w:pStyle w:val="P68B1DB1-Normal59"/>
        <w:spacing w:after="120" w:line="240" w:lineRule="auto"/>
        <w:jc w:val="both"/>
        <w:rPr>
          <w:noProof/>
        </w:rPr>
      </w:pPr>
      <w:r>
        <w:rPr>
          <w:noProof/>
        </w:rPr>
        <w:t xml:space="preserve">Cette réforme consiste en des modifications législatives qui renforcent les pouvoirs du CNM en adoptant des dispositions relatives à un avis contraignant motivé du CNM pour un certain nombre de questions concernant à la fois les décisions individuelles et les règlements. </w:t>
      </w:r>
    </w:p>
    <w:p w14:paraId="459E7A6E" w14:textId="3739A2D8" w:rsidR="0023462A" w:rsidRDefault="00A550FA">
      <w:pPr>
        <w:pStyle w:val="P68B1DB1-Heading411"/>
        <w:spacing w:before="0" w:after="120" w:line="240" w:lineRule="auto"/>
        <w:rPr>
          <w:rFonts w:eastAsia="Calibri"/>
          <w:noProof/>
        </w:rPr>
      </w:pPr>
      <w:r>
        <w:rPr>
          <w:noProof/>
        </w:rPr>
        <w:t>C8.R15 : Indépendance judiciaire de la Cour suprême (Kúria)</w:t>
      </w:r>
    </w:p>
    <w:p w14:paraId="6BCB9BE2" w14:textId="77777777" w:rsidR="0023462A" w:rsidRDefault="00A550FA">
      <w:pPr>
        <w:pStyle w:val="P68B1DB1-Normal59"/>
        <w:spacing w:after="120" w:line="240" w:lineRule="auto"/>
        <w:jc w:val="both"/>
        <w:rPr>
          <w:noProof/>
        </w:rPr>
      </w:pPr>
      <w:r>
        <w:rPr>
          <w:noProof/>
        </w:rPr>
        <w:t xml:space="preserve">L’objectif de la réforme est de renforcer l’indépendance judiciaire de la Cour suprême (Kúria). </w:t>
      </w:r>
    </w:p>
    <w:p w14:paraId="08D4E14B" w14:textId="36C3C067" w:rsidR="0023462A" w:rsidRDefault="00A550FA">
      <w:pPr>
        <w:pStyle w:val="P68B1DB1-Normal59"/>
        <w:spacing w:after="120" w:line="240" w:lineRule="auto"/>
        <w:jc w:val="both"/>
        <w:rPr>
          <w:rFonts w:eastAsia="Calibri"/>
          <w:noProof/>
          <w:szCs w:val="24"/>
        </w:rPr>
      </w:pPr>
      <w:r>
        <w:rPr>
          <w:noProof/>
        </w:rPr>
        <w:t xml:space="preserve">Cette réforme consiste en des modifications législatives liées aux règles relatives à l’élection du président de la </w:t>
      </w:r>
      <w:r>
        <w:rPr>
          <w:i/>
          <w:noProof/>
        </w:rPr>
        <w:t>Kúria,</w:t>
      </w:r>
      <w:r>
        <w:rPr>
          <w:noProof/>
        </w:rPr>
        <w:t xml:space="preserve"> aux règles relatives au système de répartition des affaires de la </w:t>
      </w:r>
      <w:r>
        <w:rPr>
          <w:i/>
          <w:noProof/>
        </w:rPr>
        <w:t>Kúria</w:t>
      </w:r>
      <w:r>
        <w:rPr>
          <w:noProof/>
        </w:rPr>
        <w:t xml:space="preserve"> et aux règles relatives au fonctionnement de la </w:t>
      </w:r>
      <w:r>
        <w:rPr>
          <w:i/>
          <w:noProof/>
        </w:rPr>
        <w:t>Kúria.</w:t>
      </w:r>
      <w:r>
        <w:rPr>
          <w:noProof/>
        </w:rPr>
        <w:t xml:space="preserve"> </w:t>
      </w:r>
    </w:p>
    <w:p w14:paraId="69D3BA4F" w14:textId="78E6A467" w:rsidR="0023462A" w:rsidRDefault="00A550FA">
      <w:pPr>
        <w:pStyle w:val="P68B1DB1-Heading411"/>
        <w:spacing w:before="0" w:after="120" w:line="240" w:lineRule="auto"/>
        <w:rPr>
          <w:rFonts w:eastAsia="Calibri"/>
          <w:noProof/>
        </w:rPr>
      </w:pPr>
      <w:r>
        <w:rPr>
          <w:noProof/>
        </w:rPr>
        <w:t>C8.R16: Suppression des obstacles aux renvois préjudiciels devant la Cour de justice de l’Union européenne</w:t>
      </w:r>
    </w:p>
    <w:p w14:paraId="7A9F4E26" w14:textId="77777777" w:rsidR="0023462A" w:rsidRDefault="00A550FA">
      <w:pPr>
        <w:pStyle w:val="P68B1DB1-Normal59"/>
        <w:spacing w:after="120" w:line="240" w:lineRule="auto"/>
        <w:jc w:val="both"/>
        <w:rPr>
          <w:noProof/>
        </w:rPr>
      </w:pPr>
      <w:r>
        <w:rPr>
          <w:noProof/>
        </w:rPr>
        <w:t>L’objectif de la réforme est d’éliminer les obstacles qui empêchent les juridictions de saisir de manière indépendante la Cour de justice de l’Union européenne (CJUE) à titre préjudiciel.</w:t>
      </w:r>
    </w:p>
    <w:p w14:paraId="4C97CA5A" w14:textId="7C23C87E" w:rsidR="0023462A" w:rsidRDefault="00A550FA">
      <w:pPr>
        <w:pStyle w:val="P68B1DB1-Normal59"/>
        <w:spacing w:after="120" w:line="240" w:lineRule="auto"/>
        <w:jc w:val="both"/>
        <w:rPr>
          <w:noProof/>
        </w:rPr>
      </w:pPr>
      <w:r>
        <w:rPr>
          <w:noProof/>
        </w:rPr>
        <w:t xml:space="preserve">Cette réforme consiste en l’entrée en vigueur d’une ou de plusieurs modifications législatives liées aux renvois préjudiciels devant la Cour de justice de l’Union européenne. </w:t>
      </w:r>
    </w:p>
    <w:p w14:paraId="763AC798" w14:textId="3997251E" w:rsidR="0023462A" w:rsidRDefault="00A550FA">
      <w:pPr>
        <w:pStyle w:val="P68B1DB1-Heading411"/>
        <w:spacing w:before="0" w:after="120" w:line="240" w:lineRule="auto"/>
        <w:rPr>
          <w:rFonts w:eastAsia="Calibri"/>
          <w:noProof/>
        </w:rPr>
      </w:pPr>
      <w:r>
        <w:rPr>
          <w:noProof/>
        </w:rPr>
        <w:t>C8.R17: Réforme concernant le contrôle des jugements définitifs par la Cour constitutionnelle</w:t>
      </w:r>
    </w:p>
    <w:p w14:paraId="4807F772" w14:textId="002C020F" w:rsidR="0023462A" w:rsidRDefault="00A550FA">
      <w:pPr>
        <w:pStyle w:val="P68B1DB1-Normal59"/>
        <w:spacing w:after="120" w:line="240" w:lineRule="auto"/>
        <w:jc w:val="both"/>
        <w:rPr>
          <w:rFonts w:eastAsia="Calibri"/>
          <w:noProof/>
          <w:szCs w:val="24"/>
        </w:rPr>
      </w:pPr>
      <w:r>
        <w:rPr>
          <w:noProof/>
        </w:rPr>
        <w:t xml:space="preserve">L'objectif de cette réforme est de renforcer l'indépendance et l'impartialité des tribunaux et des juges. </w:t>
      </w:r>
    </w:p>
    <w:p w14:paraId="2156B6E8" w14:textId="0B02E564" w:rsidR="0023462A" w:rsidRDefault="00A550FA">
      <w:pPr>
        <w:pStyle w:val="P68B1DB1-Normal59"/>
        <w:spacing w:after="120" w:line="240" w:lineRule="auto"/>
        <w:jc w:val="both"/>
        <w:rPr>
          <w:noProof/>
        </w:rPr>
      </w:pPr>
      <w:r>
        <w:rPr>
          <w:noProof/>
        </w:rPr>
        <w:t>Cette réforme consiste en des modifications législatives visant à supprimer la possibilité pour les autorités publiques de contester devant la Cour constitutionnelle les décisions judiciaires définitives.</w:t>
      </w:r>
    </w:p>
    <w:p w14:paraId="16B398C2" w14:textId="6BF08FED" w:rsidR="0023462A" w:rsidRDefault="00A550FA">
      <w:pPr>
        <w:pStyle w:val="P68B1DB1-Heading411"/>
        <w:spacing w:before="0" w:after="120" w:line="240" w:lineRule="auto"/>
        <w:rPr>
          <w:rFonts w:eastAsia="Times New Roman"/>
          <w:noProof/>
        </w:rPr>
      </w:pPr>
      <w:r>
        <w:rPr>
          <w:noProof/>
        </w:rPr>
        <w:t>C8.R18 : Modifications législatives renforçant les mécanismes de gestion, de suivi, d’audit et de contrôle afin de garantir la bonne utilisation du soutien de l’Union</w:t>
      </w:r>
    </w:p>
    <w:p w14:paraId="02F7FFFB" w14:textId="77777777" w:rsidR="0023462A" w:rsidRDefault="00A550FA">
      <w:pPr>
        <w:pStyle w:val="P68B1DB1-Normal61"/>
        <w:spacing w:after="120" w:line="240" w:lineRule="auto"/>
        <w:jc w:val="both"/>
        <w:rPr>
          <w:noProof/>
        </w:rPr>
      </w:pPr>
      <w:r>
        <w:rPr>
          <w:noProof/>
        </w:rPr>
        <w:t xml:space="preserve">L’objectif de cette réforme est de protéger les intérêts financiers de l’Union dans l’utilisation du soutien de l’Union. </w:t>
      </w:r>
    </w:p>
    <w:p w14:paraId="1F814081" w14:textId="732E62DD" w:rsidR="0023462A" w:rsidRDefault="00A550FA">
      <w:pPr>
        <w:pStyle w:val="P68B1DB1-Normal34"/>
        <w:spacing w:after="120" w:line="240" w:lineRule="auto"/>
        <w:jc w:val="both"/>
        <w:rPr>
          <w:rFonts w:eastAsia="Times New Roman"/>
          <w:noProof/>
        </w:rPr>
      </w:pPr>
      <w:r>
        <w:rPr>
          <w:noProof/>
        </w:rPr>
        <w:t xml:space="preserve">Cette réforme consiste en l’entrée en vigueur d’actes juridiques définissant les rôles et les responsabilités des organismes participant à la gestion, au suivi, au contrôle et à l’audit du soutien de l’Union fourni par des instruments spécifiques de l’Union ainsi qu’à la gestion, au suivi, au contrôle et à l’audit des fonds au titre du règlement (UE) 2021/1060, y compris en établissant des règles spécifiques pour prévenir, détecter et corriger les conflits d’intérêts. </w:t>
      </w:r>
    </w:p>
    <w:p w14:paraId="3C945DEB" w14:textId="2311EAD8" w:rsidR="0023462A" w:rsidRDefault="00A550FA">
      <w:pPr>
        <w:pStyle w:val="P68B1DB1-Heading411"/>
        <w:spacing w:before="0" w:after="120" w:line="240" w:lineRule="auto"/>
        <w:rPr>
          <w:rFonts w:eastAsia="Times New Roman"/>
          <w:noProof/>
        </w:rPr>
      </w:pPr>
      <w:r>
        <w:rPr>
          <w:noProof/>
        </w:rPr>
        <w:t>C8.R19 : Stratégie de lutte contre la fraude et la corruption pour la mise en œuvre, l’audit et le contrôle du soutien de l’Union</w:t>
      </w:r>
    </w:p>
    <w:p w14:paraId="22E3DE09" w14:textId="33579F37" w:rsidR="0023462A" w:rsidRDefault="00A550FA">
      <w:pPr>
        <w:pStyle w:val="P68B1DB1-Normal59"/>
        <w:spacing w:after="120" w:line="240" w:lineRule="auto"/>
        <w:jc w:val="both"/>
        <w:rPr>
          <w:rFonts w:eastAsia="Times New Roman"/>
          <w:noProof/>
          <w:szCs w:val="24"/>
        </w:rPr>
      </w:pPr>
      <w:r>
        <w:rPr>
          <w:noProof/>
        </w:rPr>
        <w:t xml:space="preserve">L’objectif de la réforme est d’assurer la prévention, la détection et la correction de la fraude et de la corruption liées à tout soutien de l’Union en Hongrie en mettant en place une stratégie globale de lutte contre la corruption et la fraude, assortie d’un calendrier clair pour sa mise en œuvre. </w:t>
      </w:r>
    </w:p>
    <w:p w14:paraId="4725D7B2" w14:textId="35797A44" w:rsidR="0023462A" w:rsidRDefault="00A550FA">
      <w:pPr>
        <w:pStyle w:val="P68B1DB1-Normal59"/>
        <w:spacing w:after="120" w:line="240" w:lineRule="auto"/>
        <w:jc w:val="both"/>
        <w:rPr>
          <w:rFonts w:eastAsia="Times New Roman"/>
          <w:noProof/>
          <w:szCs w:val="24"/>
        </w:rPr>
      </w:pPr>
      <w:r>
        <w:rPr>
          <w:noProof/>
        </w:rPr>
        <w:t>Cette réforme consiste en une stratégie de lutte contre la fraude et la corruption, complétée par un plan d’action définissant des actions assorties de délais de mise en œuvre clairs, des organismes responsables, des indicateurs permettant de mesurer les progrès accomplis pour chacune des actions, respectivement, et des modalités de réexamen régulier des actions.</w:t>
      </w:r>
    </w:p>
    <w:p w14:paraId="11D0A900" w14:textId="076F93FB" w:rsidR="0023462A" w:rsidRDefault="00A550FA">
      <w:pPr>
        <w:pStyle w:val="P68B1DB1-Heading411"/>
        <w:spacing w:before="0" w:after="120" w:line="240" w:lineRule="auto"/>
        <w:rPr>
          <w:rFonts w:eastAsia="Times New Roman"/>
          <w:noProof/>
        </w:rPr>
      </w:pPr>
      <w:r>
        <w:rPr>
          <w:noProof/>
        </w:rPr>
        <w:t xml:space="preserve">C8.R20 : Le système Arachne pour le soutien de l'Union </w:t>
      </w:r>
    </w:p>
    <w:p w14:paraId="0CF0169B" w14:textId="77777777" w:rsidR="0023462A" w:rsidRDefault="00A550FA">
      <w:pPr>
        <w:pStyle w:val="P68B1DB1-Normal59"/>
        <w:spacing w:after="120" w:line="240" w:lineRule="auto"/>
        <w:jc w:val="both"/>
        <w:rPr>
          <w:rFonts w:eastAsia="Times New Roman"/>
          <w:noProof/>
        </w:rPr>
      </w:pPr>
      <w:r>
        <w:rPr>
          <w:noProof/>
        </w:rPr>
        <w:t>L’objectif de la réforme est de renforcer la prévention, la détection et la correction de la fraude, de la corruption, des conflits d’intérêts, du double financement et d’autres irrégularités liées au soutien de l’Union en Hongrie.</w:t>
      </w:r>
    </w:p>
    <w:p w14:paraId="719FF539" w14:textId="77777777" w:rsidR="0023462A" w:rsidRDefault="00A550FA">
      <w:pPr>
        <w:pStyle w:val="P68B1DB1-Normal59"/>
        <w:spacing w:after="120" w:line="240" w:lineRule="auto"/>
        <w:jc w:val="both"/>
        <w:rPr>
          <w:rFonts w:eastAsia="Times New Roman"/>
          <w:noProof/>
          <w:szCs w:val="24"/>
        </w:rPr>
      </w:pPr>
      <w:r>
        <w:rPr>
          <w:noProof/>
        </w:rPr>
        <w:t>Cette réforme consiste en l’adoption de règles exigeant des autorités qu’elles téléchargent des données dans le système Arachne tous les deux mois, qu’elles assurent un suivi systématique de la notation des risques signalée par le système Arachne et qu’elles s’appuient sur le système Arachne dans leur évaluation des risques.</w:t>
      </w:r>
    </w:p>
    <w:p w14:paraId="3C1730EA" w14:textId="58EA1A7F" w:rsidR="0023462A" w:rsidRDefault="00A550FA">
      <w:pPr>
        <w:pStyle w:val="P68B1DB1-Heading411"/>
        <w:spacing w:before="0" w:after="120" w:line="240" w:lineRule="auto"/>
        <w:rPr>
          <w:rFonts w:eastAsia="Times New Roman"/>
          <w:noProof/>
        </w:rPr>
      </w:pPr>
      <w:r>
        <w:rPr>
          <w:noProof/>
        </w:rPr>
        <w:t>C8.R21 : Création d’une direction de l’audit interne et de l’intégrité afin de renforcer le contrôle des conflits d’intérêts lors de la mise en œuvre du soutien de l’Union</w:t>
      </w:r>
    </w:p>
    <w:p w14:paraId="60BC5813" w14:textId="77777777" w:rsidR="0023462A" w:rsidRDefault="00A550FA">
      <w:pPr>
        <w:pStyle w:val="P68B1DB1-Normal61"/>
        <w:spacing w:after="120" w:line="240" w:lineRule="auto"/>
        <w:jc w:val="both"/>
        <w:rPr>
          <w:noProof/>
        </w:rPr>
      </w:pPr>
      <w:r>
        <w:rPr>
          <w:noProof/>
        </w:rPr>
        <w:t xml:space="preserve">L’objectif de cette réforme est de prévenir, de détecter et de corriger les conflits d’intérêts dans la mise en œuvre du soutien de l’Union. </w:t>
      </w:r>
    </w:p>
    <w:p w14:paraId="348BAD4A" w14:textId="77777777" w:rsidR="0023462A" w:rsidRDefault="00A550FA">
      <w:pPr>
        <w:pStyle w:val="P68B1DB1-Normal60"/>
        <w:spacing w:after="120" w:line="240" w:lineRule="auto"/>
        <w:jc w:val="both"/>
        <w:rPr>
          <w:noProof/>
        </w:rPr>
      </w:pPr>
      <w:r>
        <w:rPr>
          <w:noProof/>
        </w:rPr>
        <w:t xml:space="preserve">Cette réforme consiste en l’entrée en vigueur d’un ou de plusieurs actes juridiques prévoyant: </w:t>
      </w:r>
    </w:p>
    <w:p w14:paraId="6D83C84C" w14:textId="77777777" w:rsidR="0023462A" w:rsidRDefault="00A550FA">
      <w:pPr>
        <w:pStyle w:val="P68B1DB1-Normal62"/>
        <w:numPr>
          <w:ilvl w:val="0"/>
          <w:numId w:val="152"/>
        </w:numPr>
        <w:spacing w:after="120" w:line="240" w:lineRule="auto"/>
        <w:jc w:val="both"/>
        <w:rPr>
          <w:noProof/>
        </w:rPr>
      </w:pPr>
      <w:r>
        <w:rPr>
          <w:noProof/>
        </w:rPr>
        <w:t>la création d’une direction de l’audit interne et de l’intégrité (DIAI), comprenant des dispositions sur l’indépendance de la DIAI;</w:t>
      </w:r>
    </w:p>
    <w:p w14:paraId="73A7F255" w14:textId="77777777" w:rsidR="0023462A" w:rsidRDefault="00A550FA">
      <w:pPr>
        <w:pStyle w:val="P68B1DB1-Normal63"/>
        <w:numPr>
          <w:ilvl w:val="0"/>
          <w:numId w:val="152"/>
        </w:numPr>
        <w:spacing w:after="120" w:line="240" w:lineRule="auto"/>
        <w:jc w:val="both"/>
        <w:rPr>
          <w:noProof/>
        </w:rPr>
      </w:pPr>
      <w:r>
        <w:rPr>
          <w:noProof/>
        </w:rPr>
        <w:t>la sélection de son personnel;</w:t>
      </w:r>
    </w:p>
    <w:p w14:paraId="0D08A849" w14:textId="77777777" w:rsidR="0023462A" w:rsidRDefault="00A550FA">
      <w:pPr>
        <w:pStyle w:val="P68B1DB1-Normal63"/>
        <w:numPr>
          <w:ilvl w:val="0"/>
          <w:numId w:val="152"/>
        </w:numPr>
        <w:spacing w:after="120" w:line="240" w:lineRule="auto"/>
        <w:jc w:val="both"/>
        <w:rPr>
          <w:noProof/>
        </w:rPr>
      </w:pPr>
      <w:r>
        <w:rPr>
          <w:noProof/>
        </w:rPr>
        <w:t>sa compétence pour agir en relation avec les organismes participant à la mise en œuvre du soutien de l’Union en Hongrie;</w:t>
      </w:r>
    </w:p>
    <w:p w14:paraId="202CA04F" w14:textId="77777777" w:rsidR="0023462A" w:rsidRDefault="00A550FA">
      <w:pPr>
        <w:pStyle w:val="P68B1DB1-Normal63"/>
        <w:numPr>
          <w:ilvl w:val="0"/>
          <w:numId w:val="152"/>
        </w:numPr>
        <w:spacing w:after="120" w:line="240" w:lineRule="auto"/>
        <w:jc w:val="both"/>
        <w:rPr>
          <w:noProof/>
        </w:rPr>
      </w:pPr>
      <w:r>
        <w:rPr>
          <w:noProof/>
        </w:rPr>
        <w:t xml:space="preserve">les exigences relatives à sa fourniture d’accès aux déclarations de conflit d’intérêts et aux dossiers de l’autorité chargée de l’intégrité; </w:t>
      </w:r>
    </w:p>
    <w:p w14:paraId="6B0EBB7B" w14:textId="77777777" w:rsidR="0023462A" w:rsidRDefault="00A550FA">
      <w:pPr>
        <w:pStyle w:val="P68B1DB1-Normal63"/>
        <w:numPr>
          <w:ilvl w:val="0"/>
          <w:numId w:val="152"/>
        </w:numPr>
        <w:spacing w:after="120" w:line="240" w:lineRule="auto"/>
        <w:jc w:val="both"/>
        <w:rPr>
          <w:noProof/>
        </w:rPr>
      </w:pPr>
      <w:r>
        <w:rPr>
          <w:noProof/>
        </w:rPr>
        <w:t>son règlement intérieur;</w:t>
      </w:r>
    </w:p>
    <w:p w14:paraId="2F3B5426" w14:textId="77777777" w:rsidR="0023462A" w:rsidRDefault="00A550FA">
      <w:pPr>
        <w:pStyle w:val="P68B1DB1-Normal62"/>
        <w:numPr>
          <w:ilvl w:val="0"/>
          <w:numId w:val="152"/>
        </w:numPr>
        <w:spacing w:after="120" w:line="240" w:lineRule="auto"/>
        <w:jc w:val="both"/>
        <w:rPr>
          <w:noProof/>
        </w:rPr>
      </w:pPr>
      <w:r>
        <w:rPr>
          <w:noProof/>
        </w:rPr>
        <w:t>ses ressources financières et humaines;</w:t>
      </w:r>
    </w:p>
    <w:p w14:paraId="1217F007" w14:textId="77777777" w:rsidR="0023462A" w:rsidRDefault="00A550FA">
      <w:pPr>
        <w:pStyle w:val="P68B1DB1-Normal36"/>
        <w:numPr>
          <w:ilvl w:val="0"/>
          <w:numId w:val="152"/>
        </w:numPr>
        <w:spacing w:after="120" w:line="240" w:lineRule="auto"/>
        <w:jc w:val="both"/>
        <w:rPr>
          <w:rFonts w:eastAsia="Times New Roman"/>
          <w:noProof/>
        </w:rPr>
      </w:pPr>
      <w:r>
        <w:rPr>
          <w:noProof/>
        </w:rPr>
        <w:t>les obligations liées aux contrôles réguliers des déclarations de conflit d’intérêts déposées dans le cadre de la mise en œuvre du soutien de l’Union en Hongrie;</w:t>
      </w:r>
    </w:p>
    <w:p w14:paraId="3B5FF530" w14:textId="77777777" w:rsidR="0023462A" w:rsidRDefault="00A550FA">
      <w:pPr>
        <w:pStyle w:val="P68B1DB1-Normal63"/>
        <w:numPr>
          <w:ilvl w:val="0"/>
          <w:numId w:val="152"/>
        </w:numPr>
        <w:spacing w:after="120" w:line="240" w:lineRule="auto"/>
        <w:jc w:val="both"/>
        <w:rPr>
          <w:noProof/>
        </w:rPr>
      </w:pPr>
      <w:r>
        <w:rPr>
          <w:noProof/>
        </w:rPr>
        <w:t>les obligations liées au signalement anonyme;</w:t>
      </w:r>
    </w:p>
    <w:p w14:paraId="6B4E1890" w14:textId="77777777" w:rsidR="0023462A" w:rsidRDefault="00A550FA">
      <w:pPr>
        <w:pStyle w:val="P68B1DB1-Normal63"/>
        <w:numPr>
          <w:ilvl w:val="0"/>
          <w:numId w:val="152"/>
        </w:numPr>
        <w:spacing w:after="120" w:line="240" w:lineRule="auto"/>
        <w:jc w:val="both"/>
        <w:rPr>
          <w:noProof/>
        </w:rPr>
      </w:pPr>
      <w:r>
        <w:rPr>
          <w:noProof/>
        </w:rPr>
        <w:t>ses obligations en matière d'enquête;</w:t>
      </w:r>
    </w:p>
    <w:p w14:paraId="664171D6" w14:textId="48C1B651" w:rsidR="0023462A" w:rsidRDefault="00A550FA">
      <w:pPr>
        <w:pStyle w:val="P68B1DB1-Normal63"/>
        <w:numPr>
          <w:ilvl w:val="0"/>
          <w:numId w:val="152"/>
        </w:numPr>
        <w:spacing w:after="120" w:line="240" w:lineRule="auto"/>
        <w:jc w:val="both"/>
        <w:rPr>
          <w:noProof/>
        </w:rPr>
      </w:pPr>
      <w:r>
        <w:rPr>
          <w:noProof/>
        </w:rPr>
        <w:t>ses obligations en matière de communication d’informations à l’autorité chargée de l’intégrité.</w:t>
      </w:r>
    </w:p>
    <w:p w14:paraId="77B911FB" w14:textId="3D4442F3" w:rsidR="0023462A" w:rsidRDefault="00A550FA">
      <w:pPr>
        <w:pStyle w:val="P68B1DB1-Heading411"/>
        <w:spacing w:before="0" w:after="120" w:line="240" w:lineRule="auto"/>
        <w:rPr>
          <w:rFonts w:eastAsia="Times New Roman"/>
          <w:noProof/>
        </w:rPr>
      </w:pPr>
      <w:r>
        <w:rPr>
          <w:noProof/>
        </w:rPr>
        <w:t>C8.R22 : Garantir la capacité de l'EUTAF à s'acquitter de ses tâches</w:t>
      </w:r>
    </w:p>
    <w:p w14:paraId="11F3B1F6" w14:textId="77777777" w:rsidR="0023462A" w:rsidRDefault="00A550FA">
      <w:pPr>
        <w:pStyle w:val="P68B1DB1-Normal61"/>
        <w:spacing w:after="120" w:line="240" w:lineRule="auto"/>
        <w:jc w:val="both"/>
        <w:rPr>
          <w:noProof/>
        </w:rPr>
      </w:pPr>
      <w:r>
        <w:rPr>
          <w:noProof/>
        </w:rPr>
        <w:t xml:space="preserve">L’objectif de cette réforme est de prévenir et de détecter la fraude, la corruption et d’autres irrégularités dans la mise en œuvre du soutien de l’Union. </w:t>
      </w:r>
    </w:p>
    <w:p w14:paraId="6BDE931E" w14:textId="4D79BBB8" w:rsidR="0023462A" w:rsidRDefault="00A550FA">
      <w:pPr>
        <w:pStyle w:val="P68B1DB1-Normal12"/>
        <w:spacing w:after="120" w:line="240" w:lineRule="auto"/>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Cette réforme consiste en l’entrée en vigueur d’un ou de plusieurs actes juridiques prévoyant la mise en place des ressources financières et humaines nécessaires à l’autorité d’audit (direction</w:t>
      </w:r>
      <w:r>
        <w:rPr>
          <w:rFonts w:ascii="Times New Roman" w:eastAsia="Times New Roman" w:hAnsi="Times New Roman" w:cs="Times New Roman"/>
          <w:noProof/>
        </w:rPr>
        <w:t xml:space="preserve"> générale de l’audit </w:t>
      </w:r>
      <w:r>
        <w:rPr>
          <w:rFonts w:ascii="Times New Roman" w:hAnsi="Times New Roman" w:cs="Times New Roman"/>
          <w:noProof/>
          <w:szCs w:val="24"/>
        </w:rPr>
        <w:t>des fonds européens, EUTAF) pour préserver son indépendance et lui permettre d’accomplir ses tâches en toute indépendance. L’acte juridique précise que le budget annuel de l’EUTAF est établi sur la base de sa proposition initiale, de la réaffectation du chef de l’EUTAF, que l’indépendance fonctionnelle et professionnelle de l’EUTAF est maintenue et que son personnel continue de ne pas solliciter ni accepter d’instructions concernant ses travaux d’audit.</w:t>
      </w:r>
    </w:p>
    <w:p w14:paraId="54BECF52" w14:textId="06E59328" w:rsidR="0023462A" w:rsidRDefault="00A550FA">
      <w:pPr>
        <w:pStyle w:val="P68B1DB1-Heading411"/>
        <w:spacing w:before="0" w:after="120" w:line="240" w:lineRule="auto"/>
        <w:rPr>
          <w:rFonts w:eastAsia="Times New Roman"/>
          <w:noProof/>
        </w:rPr>
      </w:pPr>
      <w:r>
        <w:rPr>
          <w:noProof/>
        </w:rPr>
        <w:t>C8.R23 : Coopération avec l’OLAF en vue de renforcer la détection des fraudes liées à l’utilisation du soutien de l’Union</w:t>
      </w:r>
    </w:p>
    <w:p w14:paraId="37246C82" w14:textId="77777777" w:rsidR="0023462A" w:rsidRDefault="00A550FA">
      <w:pPr>
        <w:pStyle w:val="P68B1DB1-Normal61"/>
        <w:spacing w:after="120" w:line="240" w:lineRule="auto"/>
        <w:jc w:val="both"/>
        <w:rPr>
          <w:noProof/>
        </w:rPr>
      </w:pPr>
      <w:r>
        <w:rPr>
          <w:noProof/>
        </w:rPr>
        <w:t xml:space="preserve">L’objectif de cette réforme est d’établir un cadre juridique pour la coopération avec l’OLAF dans la mise en œuvre du soutien de l’Union. </w:t>
      </w:r>
    </w:p>
    <w:p w14:paraId="0B638A67" w14:textId="54222ACA" w:rsidR="0023462A" w:rsidRDefault="00A550FA">
      <w:pPr>
        <w:pStyle w:val="P68B1DB1-Normal34"/>
        <w:spacing w:after="120" w:line="240" w:lineRule="auto"/>
        <w:jc w:val="both"/>
        <w:rPr>
          <w:rFonts w:eastAsia="Times New Roman"/>
          <w:noProof/>
        </w:rPr>
      </w:pPr>
      <w:r>
        <w:rPr>
          <w:noProof/>
        </w:rPr>
        <w:t>Cette réforme consiste en l’entrée en vigueur d’actes juridiques désignant l’administration fiscale et douanière nationale (Nemzeti Adó- és Vámhivatal, NAV) pour aider l’OLAF à effectuer des contrôles sur place en Hongrie et lorsqu’un opérateur économique soumis à ces contrôles refuse de coopérer. Les actes juridiques prévoient également des sanctions de type financier lorsqu’un opérateur économique refuse de coopérer avec l’OLAF aux fins de contrôles et vérifications sur place.</w:t>
      </w:r>
    </w:p>
    <w:p w14:paraId="034F2FF5" w14:textId="4A7E853F" w:rsidR="0023462A" w:rsidRDefault="00A550FA">
      <w:pPr>
        <w:pStyle w:val="P68B1DB1-Heading411"/>
        <w:spacing w:before="0" w:after="120" w:line="240" w:lineRule="auto"/>
        <w:rPr>
          <w:rFonts w:eastAsia="Times New Roman"/>
          <w:noProof/>
        </w:rPr>
      </w:pPr>
      <w:r>
        <w:rPr>
          <w:noProof/>
        </w:rPr>
        <w:t>C8.R24 : Audit et contrôle du plan pour la reprise et la résilience et protection des intérêts financiers de l’Union</w:t>
      </w:r>
    </w:p>
    <w:p w14:paraId="0FEF76E4" w14:textId="77777777" w:rsidR="0023462A" w:rsidRDefault="00A550FA">
      <w:pPr>
        <w:pStyle w:val="P68B1DB1-Normal61"/>
        <w:spacing w:after="120" w:line="240" w:lineRule="auto"/>
        <w:jc w:val="both"/>
        <w:rPr>
          <w:noProof/>
        </w:rPr>
      </w:pPr>
      <w:r>
        <w:rPr>
          <w:noProof/>
        </w:rPr>
        <w:t xml:space="preserve">L’objectif de cette réforme est de protéger les intérêts financiers de l’Union en ce qui concerne le plan pour la reprise et la résilience de la Hongrie. </w:t>
      </w:r>
    </w:p>
    <w:p w14:paraId="71321513" w14:textId="49638F36" w:rsidR="0023462A" w:rsidRDefault="00A550FA">
      <w:pPr>
        <w:pStyle w:val="P68B1DB1-Normal12"/>
        <w:spacing w:after="120" w:line="240" w:lineRule="auto"/>
        <w:jc w:val="both"/>
        <w:rPr>
          <w:rFonts w:ascii="Times New Roman" w:eastAsia="Times New Roman" w:hAnsi="Times New Roman" w:cs="Times New Roman"/>
          <w:noProof/>
        </w:rPr>
      </w:pPr>
      <w:r>
        <w:rPr>
          <w:rFonts w:ascii="Times New Roman" w:hAnsi="Times New Roman" w:cs="Times New Roman"/>
          <w:noProof/>
        </w:rPr>
        <w:t>Cette réforme consiste en la mise en place d’un système de répertoire pour la collecte, le stockage et la fourniture d’un accès aux données de mise en œuvre, comme l’exige l’article 22, paragraphe 2, point d) i) à iii), du règlement FRR, ainsi qu’en l’adoption et l’entrée en vigueur d’une stratégie d’audit pour l’EUTAF»</w:t>
      </w:r>
      <w:r>
        <w:rPr>
          <w:rFonts w:ascii="Times New Roman" w:eastAsiaTheme="minorHAnsi" w:hAnsi="Times New Roman" w:cs="Times New Roman"/>
          <w:noProof/>
          <w:szCs w:val="24"/>
        </w:rPr>
        <w:t xml:space="preserve"> prévoyant l’audit de la mise en œuvre du plan pour </w:t>
      </w:r>
      <w:r>
        <w:rPr>
          <w:rFonts w:ascii="Times New Roman" w:hAnsi="Times New Roman" w:cs="Times New Roman"/>
          <w:noProof/>
        </w:rPr>
        <w:t>la reprise et la résilience de la Hongrie réalisé conformément aux normes d’audit internationalement reconnues.</w:t>
      </w:r>
    </w:p>
    <w:p w14:paraId="2F7F9407" w14:textId="60B10CA8" w:rsidR="0023462A" w:rsidRDefault="00A550FA">
      <w:pPr>
        <w:pStyle w:val="P68B1DB1-Heading411"/>
        <w:spacing w:before="0" w:after="120" w:line="240" w:lineRule="auto"/>
        <w:rPr>
          <w:rFonts w:eastAsia="Times New Roman"/>
          <w:noProof/>
        </w:rPr>
      </w:pPr>
      <w:r>
        <w:rPr>
          <w:noProof/>
        </w:rPr>
        <w:t>C8.R25 : Renforcer la transparence et l'accès à l'information publique </w:t>
      </w:r>
    </w:p>
    <w:p w14:paraId="4C5E970D" w14:textId="77777777" w:rsidR="0023462A" w:rsidRDefault="00A550FA">
      <w:pPr>
        <w:pStyle w:val="P68B1DB1-Normal59"/>
        <w:spacing w:after="120" w:line="240" w:lineRule="auto"/>
        <w:jc w:val="both"/>
        <w:rPr>
          <w:rFonts w:eastAsia="Times New Roman"/>
          <w:noProof/>
          <w:szCs w:val="24"/>
        </w:rPr>
      </w:pPr>
      <w:r>
        <w:rPr>
          <w:noProof/>
        </w:rPr>
        <w:t>L'objectif de la réforme est de renforcer la transparence et d'améliorer l'accès à l'information publique.</w:t>
      </w:r>
    </w:p>
    <w:p w14:paraId="7D004B32" w14:textId="24E35187" w:rsidR="0023462A" w:rsidRDefault="00A550FA">
      <w:pPr>
        <w:pStyle w:val="P68B1DB1-Normal12"/>
        <w:spacing w:after="120" w:line="240" w:lineRule="auto"/>
        <w:jc w:val="both"/>
        <w:rPr>
          <w:rFonts w:ascii="Times New Roman" w:eastAsia="Times New Roman" w:hAnsi="Times New Roman"/>
          <w:noProof/>
          <w:szCs w:val="24"/>
        </w:rPr>
      </w:pPr>
      <w:r>
        <w:rPr>
          <w:rFonts w:ascii="Times New Roman" w:eastAsiaTheme="minorHAnsi" w:hAnsi="Times New Roman" w:cs="Times New Roman"/>
          <w:noProof/>
        </w:rPr>
        <w:t xml:space="preserve">Cette réforme consiste en </w:t>
      </w:r>
      <w:r>
        <w:rPr>
          <w:rFonts w:ascii="Times New Roman" w:hAnsi="Times New Roman"/>
          <w:noProof/>
          <w:szCs w:val="20"/>
        </w:rPr>
        <w:t>l’entrée en vigueur de modifications législatives i) facilitant l’accès à l’information publique en veillant à ce que les données publiques soient, en principe, fournies gratuitement et abrogeant certains motifs de refus d’accès aux demandes d’information publique;</w:t>
      </w:r>
      <w:r>
        <w:rPr>
          <w:rFonts w:ascii="Times New Roman" w:hAnsi="Times New Roman"/>
          <w:noProof/>
          <w:szCs w:val="24"/>
        </w:rPr>
        <w:t xml:space="preserve"> ii) un examen régulier du respect par les organismes exerçant des fonctions publiques des règles en matière d’accès à l’information publique, effectué par la NAIH; et iii) </w:t>
      </w:r>
      <w:r>
        <w:rPr>
          <w:rFonts w:ascii="Times New Roman" w:hAnsi="Times New Roman"/>
          <w:noProof/>
          <w:szCs w:val="20"/>
        </w:rPr>
        <w:t xml:space="preserve">d’introduire une procédure exceptionnelle pour les affaires judiciaires liées à l’accès à l’information publique afin de faciliter l’accès à l’information publique et de limiter la durée des procédures judiciaires. </w:t>
      </w:r>
    </w:p>
    <w:p w14:paraId="1F90033D" w14:textId="33814283" w:rsidR="0023462A" w:rsidRDefault="00A550FA">
      <w:pPr>
        <w:pStyle w:val="P68B1DB1-Heading411"/>
        <w:spacing w:before="0" w:after="120" w:line="240" w:lineRule="auto"/>
        <w:rPr>
          <w:noProof/>
        </w:rPr>
      </w:pPr>
      <w:r>
        <w:rPr>
          <w:noProof/>
        </w:rPr>
        <w:t xml:space="preserve">C8.R26: Améliorer la qualité du processus législatif et la participation effective des parties prenantes et des partenaires sociaux au processus décisionnel </w:t>
      </w:r>
    </w:p>
    <w:p w14:paraId="0F51C982" w14:textId="42004626" w:rsidR="0023462A" w:rsidRDefault="00A550FA">
      <w:pPr>
        <w:pStyle w:val="P68B1DB1-Normal59"/>
        <w:spacing w:after="120" w:line="240" w:lineRule="auto"/>
        <w:jc w:val="both"/>
        <w:rPr>
          <w:rFonts w:eastAsia="Times New Roman"/>
          <w:noProof/>
          <w:szCs w:val="24"/>
        </w:rPr>
      </w:pPr>
      <w:r>
        <w:rPr>
          <w:noProof/>
        </w:rPr>
        <w:t xml:space="preserve">L’objectif de cette réforme est d’accroître la qualité et la participation des partenaires sociaux, des parties prenantes et des experts non gouvernementaux à l’élaboration de la législation et d’établir un cadre pour la consultation systématique des partenaires sociaux et des parties prenantes sur la mise en œuvre du plan pour la reprise et la résilience. </w:t>
      </w:r>
    </w:p>
    <w:p w14:paraId="1D8483D7" w14:textId="7DDE1CFF" w:rsidR="0023462A" w:rsidRDefault="00A550FA">
      <w:pPr>
        <w:pStyle w:val="P68B1DB1-Normal12"/>
        <w:spacing w:after="120" w:line="240" w:lineRule="auto"/>
        <w:jc w:val="both"/>
        <w:rPr>
          <w:rFonts w:ascii="Times New Roman" w:eastAsia="Times New Roman" w:hAnsi="Times New Roman" w:cs="Times New Roman"/>
          <w:noProof/>
          <w:szCs w:val="24"/>
        </w:rPr>
      </w:pPr>
      <w:r>
        <w:rPr>
          <w:rFonts w:ascii="Times New Roman" w:eastAsiaTheme="minorHAnsi" w:hAnsi="Times New Roman" w:cs="Times New Roman"/>
          <w:noProof/>
        </w:rPr>
        <w:t xml:space="preserve">Cette réforme consiste en </w:t>
      </w:r>
      <w:r>
        <w:rPr>
          <w:rFonts w:ascii="Times New Roman" w:hAnsi="Times New Roman"/>
          <w:noProof/>
          <w:szCs w:val="20"/>
        </w:rPr>
        <w:t>l’entrée en vigueur d’un ou de plusieurs actes juridiques i) fixant des exigences en matière de consultation publique sur les projets d’actes juridiques et l’obligation de publier systématiquement des analyses d’impact succinctes et des notes explicatives; et ii) prévoir l’obligation d’élaborer une stratégie sur la participation des parties prenantes et la mise en place d’un comité de suivi du plan pour la reprise et la résilience.</w:t>
      </w:r>
    </w:p>
    <w:p w14:paraId="213009A6" w14:textId="5FF65897" w:rsidR="0023462A" w:rsidRDefault="00A550FA">
      <w:pPr>
        <w:pStyle w:val="P68B1DB1-Heading411"/>
        <w:spacing w:before="0" w:after="120" w:line="240" w:lineRule="auto"/>
        <w:rPr>
          <w:rFonts w:eastAsia="Times New Roman"/>
          <w:noProof/>
        </w:rPr>
      </w:pPr>
      <w:r>
        <w:rPr>
          <w:noProof/>
        </w:rPr>
        <w:t>C8.R27 : Révision des exigences minimales en matière de substance aux fins de l’impôt sur les sociétés</w:t>
      </w:r>
    </w:p>
    <w:p w14:paraId="4AEEED63" w14:textId="6D087614" w:rsidR="0023462A" w:rsidRDefault="00A550FA">
      <w:pPr>
        <w:pStyle w:val="P68B1DB1-Normal59"/>
        <w:spacing w:after="120" w:line="240" w:lineRule="auto"/>
        <w:jc w:val="both"/>
        <w:rPr>
          <w:rFonts w:eastAsia="Times New Roman"/>
          <w:noProof/>
          <w:szCs w:val="24"/>
        </w:rPr>
      </w:pPr>
      <w:r>
        <w:rPr>
          <w:noProof/>
        </w:rPr>
        <w:t xml:space="preserve">L’objectif de cette réforme est de veiller à ce que les entreprises ne soient pas établies en Hongrie exclusivement à des fins de planification fiscale et de contribuer à la lutte contre l’utilisation de sociétés boîtes aux lettres et de sociétés écrans. </w:t>
      </w:r>
    </w:p>
    <w:p w14:paraId="4B15BEC3" w14:textId="77777777" w:rsidR="0023462A" w:rsidRDefault="00A550FA">
      <w:pPr>
        <w:pStyle w:val="P68B1DB1-Normal59"/>
        <w:spacing w:after="120" w:line="240" w:lineRule="auto"/>
        <w:jc w:val="both"/>
        <w:rPr>
          <w:rFonts w:eastAsia="Times New Roman"/>
          <w:noProof/>
          <w:szCs w:val="24"/>
        </w:rPr>
      </w:pPr>
      <w:r>
        <w:rPr>
          <w:noProof/>
        </w:rPr>
        <w:t>Cette réforme consiste en un examen par des experts internationaux indépendants des règles nationales de lutte contre l’évasion fiscale.</w:t>
      </w:r>
    </w:p>
    <w:p w14:paraId="1C4429D7" w14:textId="4383C970" w:rsidR="0023462A" w:rsidRDefault="00A550FA">
      <w:pPr>
        <w:pStyle w:val="P68B1DB1-Heading411"/>
        <w:spacing w:before="0" w:after="120" w:line="240" w:lineRule="auto"/>
        <w:rPr>
          <w:rFonts w:eastAsia="Times New Roman"/>
          <w:noProof/>
        </w:rPr>
      </w:pPr>
      <w:r>
        <w:rPr>
          <w:noProof/>
        </w:rPr>
        <w:t>C8.R28 : Renforcement de la réglementation en matière de prix de transfert</w:t>
      </w:r>
    </w:p>
    <w:p w14:paraId="7E05DF44" w14:textId="77777777" w:rsidR="0023462A" w:rsidRDefault="00A550FA">
      <w:pPr>
        <w:pStyle w:val="P68B1DB1-Normal59"/>
        <w:spacing w:after="120" w:line="240" w:lineRule="auto"/>
        <w:jc w:val="both"/>
        <w:rPr>
          <w:rFonts w:eastAsia="Times New Roman"/>
          <w:noProof/>
          <w:szCs w:val="24"/>
        </w:rPr>
      </w:pPr>
      <w:r>
        <w:rPr>
          <w:noProof/>
        </w:rPr>
        <w:t>L’objectif de cette réforme est de lutter contre la fraude fiscale et d’améliorer la transparence du système fiscal hongrois en transformant les obligations de déclaration des données relatives aux transactions entre parties liées à des fins de fixation des prix de transfert.</w:t>
      </w:r>
    </w:p>
    <w:p w14:paraId="42531C74" w14:textId="77777777" w:rsidR="0023462A" w:rsidRDefault="00A550FA">
      <w:pPr>
        <w:pStyle w:val="P68B1DB1-Normal59"/>
        <w:spacing w:after="120" w:line="240" w:lineRule="auto"/>
        <w:jc w:val="both"/>
        <w:rPr>
          <w:rFonts w:eastAsia="Times New Roman"/>
          <w:noProof/>
          <w:szCs w:val="24"/>
        </w:rPr>
      </w:pPr>
      <w:r>
        <w:rPr>
          <w:noProof/>
        </w:rPr>
        <w:t>La réforme consiste en l’entrée en vigueur d’un ou de plusieurs actes juridiques établissant des exigences pour une nouvelle déclaration des données relatives aux prix de transfert.</w:t>
      </w:r>
    </w:p>
    <w:p w14:paraId="09776596" w14:textId="5E8EC4AD" w:rsidR="0023462A" w:rsidRDefault="00A550FA">
      <w:pPr>
        <w:pStyle w:val="P68B1DB1-Heading411"/>
        <w:spacing w:before="0" w:after="120" w:line="240" w:lineRule="auto"/>
        <w:rPr>
          <w:rFonts w:eastAsia="Times New Roman"/>
          <w:noProof/>
        </w:rPr>
      </w:pPr>
      <w:r>
        <w:rPr>
          <w:noProof/>
        </w:rPr>
        <w:t>C8.R29 : Étendre le champ d’application des règles de non-déductibilité pour les paiements sortants</w:t>
      </w:r>
    </w:p>
    <w:p w14:paraId="4480DDFE" w14:textId="77777777" w:rsidR="0023462A" w:rsidRDefault="00A550FA">
      <w:pPr>
        <w:pStyle w:val="P68B1DB1-Normal59"/>
        <w:spacing w:after="120" w:line="240" w:lineRule="auto"/>
        <w:jc w:val="both"/>
        <w:rPr>
          <w:rFonts w:eastAsia="Times New Roman"/>
          <w:noProof/>
          <w:szCs w:val="24"/>
        </w:rPr>
      </w:pPr>
      <w:r>
        <w:rPr>
          <w:noProof/>
        </w:rPr>
        <w:t xml:space="preserve">L’objectif de cette réforme est de lutter contre le risque de double non-imposition des paiements sortants en provenance de Hongrie vers des juridictions à imposition nulle ou faible, limitant ainsi les possibilités de planification fiscale agressive. </w:t>
      </w:r>
    </w:p>
    <w:p w14:paraId="1ED14373" w14:textId="77777777" w:rsidR="0023462A" w:rsidRDefault="00A550FA">
      <w:pPr>
        <w:pStyle w:val="P68B1DB1-Normal12"/>
        <w:spacing w:after="120" w:line="240" w:lineRule="auto"/>
        <w:jc w:val="both"/>
        <w:rPr>
          <w:rFonts w:ascii="Times New Roman" w:eastAsia="Times New Roman" w:hAnsi="Times New Roman" w:cs="Times New Roman"/>
          <w:noProof/>
        </w:rPr>
      </w:pPr>
      <w:r>
        <w:rPr>
          <w:rFonts w:ascii="Times New Roman" w:eastAsiaTheme="minorHAnsi" w:hAnsi="Times New Roman" w:cs="Times New Roman"/>
          <w:noProof/>
        </w:rPr>
        <w:t xml:space="preserve">Cette réforme consiste en </w:t>
      </w:r>
      <w:r>
        <w:rPr>
          <w:rFonts w:ascii="Times New Roman" w:hAnsi="Times New Roman"/>
          <w:noProof/>
          <w:szCs w:val="20"/>
        </w:rPr>
        <w:t>l’entrée en vigueur de modifications législatives visant à</w:t>
      </w:r>
      <w:r>
        <w:rPr>
          <w:rFonts w:ascii="Times New Roman" w:eastAsiaTheme="minorHAnsi" w:hAnsi="Times New Roman" w:cs="Times New Roman"/>
          <w:noProof/>
        </w:rPr>
        <w:t xml:space="preserve"> </w:t>
      </w:r>
      <w:r>
        <w:rPr>
          <w:rFonts w:ascii="Times New Roman" w:hAnsi="Times New Roman"/>
          <w:noProof/>
          <w:szCs w:val="24"/>
        </w:rPr>
        <w:t>élargir les règles de non-déductibilité pour les paiements sortants et</w:t>
      </w:r>
      <w:r>
        <w:rPr>
          <w:rFonts w:ascii="Times New Roman" w:eastAsiaTheme="minorHAnsi" w:hAnsi="Times New Roman" w:cs="Times New Roman"/>
          <w:noProof/>
        </w:rPr>
        <w:t xml:space="preserve"> </w:t>
      </w:r>
      <w:r>
        <w:rPr>
          <w:rFonts w:ascii="Times New Roman" w:hAnsi="Times New Roman" w:cs="Times New Roman"/>
          <w:noProof/>
        </w:rPr>
        <w:t>en la commande d’une évaluation indépendante des règles relatives à la planification fiscale agressive.</w:t>
      </w:r>
    </w:p>
    <w:p w14:paraId="5D155503" w14:textId="1AF6FD67" w:rsidR="0023462A" w:rsidRDefault="00A550FA">
      <w:pPr>
        <w:pStyle w:val="P68B1DB1-Heading411"/>
        <w:spacing w:before="0" w:after="120" w:line="240" w:lineRule="auto"/>
        <w:rPr>
          <w:rFonts w:eastAsia="Times New Roman"/>
          <w:noProof/>
        </w:rPr>
      </w:pPr>
      <w:r>
        <w:rPr>
          <w:noProof/>
        </w:rPr>
        <w:t>C8.R30 : Transformation numérique des procédures de conformité fiscale</w:t>
      </w:r>
    </w:p>
    <w:p w14:paraId="166B43D0" w14:textId="77777777" w:rsidR="0023462A" w:rsidRDefault="00A550FA">
      <w:pPr>
        <w:pStyle w:val="P68B1DB1-Normal64"/>
        <w:keepNext/>
        <w:spacing w:after="120" w:line="240" w:lineRule="auto"/>
        <w:jc w:val="both"/>
        <w:rPr>
          <w:noProof/>
        </w:rPr>
      </w:pPr>
      <w:r>
        <w:rPr>
          <w:noProof/>
        </w:rPr>
        <w:t>L’objectif de cette réforme est de rationaliser les procédures de conformité fiscale et de réduire les coûts de conformité en créant de nouveaux services numériques conviviaux pour les contribuables et les intermédiaires financiers.</w:t>
      </w:r>
    </w:p>
    <w:p w14:paraId="2C152F5F" w14:textId="77777777" w:rsidR="0023462A" w:rsidRDefault="00A550FA">
      <w:pPr>
        <w:pStyle w:val="P68B1DB1-Normal64"/>
        <w:keepNext/>
        <w:spacing w:after="120" w:line="240" w:lineRule="auto"/>
        <w:jc w:val="both"/>
        <w:rPr>
          <w:noProof/>
        </w:rPr>
      </w:pPr>
      <w:r>
        <w:rPr>
          <w:noProof/>
        </w:rPr>
        <w:t>Cette réforme consiste en la création de services numériques liés aux recettes et à la TVA et le lancement d’un projet pilote lié aux services de paie numériques.</w:t>
      </w:r>
    </w:p>
    <w:p w14:paraId="43C71AD1" w14:textId="6DF1AAC5" w:rsidR="0023462A" w:rsidRDefault="00A550FA">
      <w:pPr>
        <w:pStyle w:val="P68B1DB1-Heading411"/>
        <w:spacing w:before="0" w:after="120" w:line="240" w:lineRule="auto"/>
        <w:rPr>
          <w:rFonts w:eastAsia="Times New Roman"/>
          <w:noProof/>
        </w:rPr>
      </w:pPr>
      <w:r>
        <w:rPr>
          <w:noProof/>
        </w:rPr>
        <w:t>C8.R31: Simplifier le système fiscal en réduisant le nombre d'impôts</w:t>
      </w:r>
    </w:p>
    <w:p w14:paraId="485C8C75" w14:textId="77777777" w:rsidR="0023462A" w:rsidRDefault="00A550FA">
      <w:pPr>
        <w:pStyle w:val="P68B1DB1-Normal59"/>
        <w:spacing w:after="120" w:line="240" w:lineRule="auto"/>
        <w:jc w:val="both"/>
        <w:rPr>
          <w:noProof/>
          <w:szCs w:val="24"/>
        </w:rPr>
      </w:pPr>
      <w:r>
        <w:rPr>
          <w:noProof/>
        </w:rPr>
        <w:t>L'objectif de cette réforme est de simplifier le système fiscal en réduisant le nombre d'impôts et de dépenses liées à l'impôt sur les sociétés.</w:t>
      </w:r>
    </w:p>
    <w:p w14:paraId="218537C0" w14:textId="77777777" w:rsidR="0023462A" w:rsidRDefault="00A550FA">
      <w:pPr>
        <w:pStyle w:val="P68B1DB1-Normal59"/>
        <w:spacing w:after="120" w:line="240" w:lineRule="auto"/>
        <w:jc w:val="both"/>
        <w:rPr>
          <w:noProof/>
          <w:szCs w:val="24"/>
        </w:rPr>
      </w:pPr>
      <w:r>
        <w:rPr>
          <w:noProof/>
        </w:rPr>
        <w:t xml:space="preserve">La réforme consiste à modifier le code des impôts afin de réduire le nombre d'avantages fiscaux et d'impôts, et à procéder à des examens de l'impôt sur le revenu des sociétés et des particuliers. </w:t>
      </w:r>
    </w:p>
    <w:p w14:paraId="0EB89306" w14:textId="5828D586" w:rsidR="0023462A" w:rsidRDefault="00A550FA">
      <w:pPr>
        <w:pStyle w:val="P68B1DB1-Heading411"/>
        <w:spacing w:before="0" w:after="120" w:line="240" w:lineRule="auto"/>
        <w:rPr>
          <w:rFonts w:eastAsia="Times New Roman"/>
          <w:noProof/>
        </w:rPr>
      </w:pPr>
      <w:r>
        <w:rPr>
          <w:noProof/>
        </w:rPr>
        <w:t>C8.R32 : Réforme de la taxe sur les gazoducs de service public</w:t>
      </w:r>
    </w:p>
    <w:p w14:paraId="59ED1197" w14:textId="337DE35B" w:rsidR="0023462A" w:rsidRDefault="00A550FA">
      <w:pPr>
        <w:pStyle w:val="P68B1DB1-Normal64"/>
        <w:spacing w:after="120" w:line="240" w:lineRule="auto"/>
        <w:jc w:val="both"/>
        <w:rPr>
          <w:noProof/>
        </w:rPr>
      </w:pPr>
      <w:r>
        <w:rPr>
          <w:noProof/>
        </w:rPr>
        <w:t xml:space="preserve">L'objectif de cette réforme est de simplifier le système fiscal tout en favorisant un environnement fiscal qui stimule les investissements dans les grands projets d'infrastructures de services publics. </w:t>
      </w:r>
    </w:p>
    <w:p w14:paraId="76C8A179" w14:textId="77777777" w:rsidR="0023462A" w:rsidRDefault="00A550FA">
      <w:pPr>
        <w:pStyle w:val="P68B1DB1-Normal64"/>
        <w:spacing w:after="120" w:line="240" w:lineRule="auto"/>
        <w:jc w:val="both"/>
        <w:rPr>
          <w:noProof/>
        </w:rPr>
      </w:pPr>
      <w:r>
        <w:rPr>
          <w:noProof/>
        </w:rPr>
        <w:t>Cette réforme consiste soit en l’abrogation du ou des actes juridiques relatifs à la taxe sur les gazoducs, soit en sa modification afin d’introduire une règle fiscale permettant aux propriétaires de gazoducs de décharger ou de créditer la taxe détaillée due sur leurs lignes pour le montant qu’ils investissent dans l’entretien ou la modernisation de ces lignes.</w:t>
      </w:r>
    </w:p>
    <w:p w14:paraId="09E79413" w14:textId="25D1C3EA" w:rsidR="0023462A" w:rsidRDefault="00A550FA">
      <w:pPr>
        <w:pStyle w:val="P68B1DB1-Heading411"/>
        <w:spacing w:before="0" w:after="120" w:line="240" w:lineRule="auto"/>
        <w:rPr>
          <w:rFonts w:eastAsia="Times New Roman"/>
          <w:noProof/>
        </w:rPr>
      </w:pPr>
      <w:r>
        <w:rPr>
          <w:noProof/>
        </w:rPr>
        <w:t xml:space="preserve">C8.R33 : Accroître l'efficacité des dépenses publiques en procédant à des réexamens des dépenses </w:t>
      </w:r>
    </w:p>
    <w:p w14:paraId="14284CC9" w14:textId="1D7F31E9" w:rsidR="0023462A" w:rsidRDefault="00A550FA">
      <w:pPr>
        <w:pStyle w:val="P68B1DB1-Normal64"/>
        <w:keepNext/>
        <w:spacing w:after="120" w:line="240" w:lineRule="auto"/>
        <w:jc w:val="both"/>
        <w:rPr>
          <w:noProof/>
        </w:rPr>
      </w:pPr>
      <w:r>
        <w:rPr>
          <w:noProof/>
        </w:rPr>
        <w:t xml:space="preserve">L'objectif de cette réforme est d'évaluer et d'améliorer l'efficacité des dépenses publiques, en vue d'améliorer la viabilité à moyen terme des finances publiques et de la dette publique et de stimuler la croissance économique. </w:t>
      </w:r>
    </w:p>
    <w:p w14:paraId="6916711E" w14:textId="77777777" w:rsidR="0023462A" w:rsidRDefault="00A550FA">
      <w:pPr>
        <w:pStyle w:val="P68B1DB1-Normal64"/>
        <w:keepNext/>
        <w:spacing w:after="120" w:line="240" w:lineRule="auto"/>
        <w:jc w:val="both"/>
        <w:rPr>
          <w:noProof/>
        </w:rPr>
      </w:pPr>
      <w:r>
        <w:rPr>
          <w:noProof/>
        </w:rPr>
        <w:t xml:space="preserve">Cette réforme consiste en l'introduction d'examens des dépenses dans certains domaines prioritaires des dépenses publiques, en utilisant les meilleures pratiques internationales, et en la production de deux examens des dépenses. </w:t>
      </w:r>
    </w:p>
    <w:p w14:paraId="78507188" w14:textId="2353BB02" w:rsidR="0023462A" w:rsidRDefault="00A550FA">
      <w:pPr>
        <w:pStyle w:val="P68B1DB1-Heading411"/>
        <w:spacing w:before="0" w:after="120" w:line="240" w:lineRule="auto"/>
        <w:rPr>
          <w:rFonts w:eastAsia="Times New Roman"/>
          <w:noProof/>
        </w:rPr>
      </w:pPr>
      <w:r>
        <w:rPr>
          <w:noProof/>
        </w:rPr>
        <w:t>C8.R34 : Améliorer le cadre budgétaire national</w:t>
      </w:r>
    </w:p>
    <w:p w14:paraId="67668BC3" w14:textId="265A7BE9" w:rsidR="0023462A" w:rsidRDefault="00A550FA">
      <w:pPr>
        <w:pStyle w:val="P68B1DB1-Normal64"/>
        <w:spacing w:after="120" w:line="240" w:lineRule="auto"/>
        <w:jc w:val="both"/>
        <w:rPr>
          <w:rFonts w:eastAsia="Times New Roman"/>
          <w:b/>
          <w:noProof/>
          <w:szCs w:val="24"/>
        </w:rPr>
      </w:pPr>
      <w:r>
        <w:rPr>
          <w:noProof/>
        </w:rPr>
        <w:t xml:space="preserve">L’objectif de cette réforme est d’améliorer la gouvernance budgétaire en renforçant la transparence, la responsabilité et l’efficacité de la gestion des finances publiques. </w:t>
      </w:r>
    </w:p>
    <w:p w14:paraId="640C932D" w14:textId="77777777" w:rsidR="0023462A" w:rsidRDefault="00A550FA">
      <w:pPr>
        <w:pStyle w:val="P68B1DB1-Normal12"/>
        <w:keepNext/>
        <w:spacing w:after="120" w:line="240" w:lineRule="auto"/>
        <w:jc w:val="both"/>
        <w:rPr>
          <w:rFonts w:ascii="Times New Roman" w:hAnsi="Times New Roman" w:cs="Times New Roman"/>
          <w:noProof/>
          <w:szCs w:val="24"/>
        </w:rPr>
      </w:pPr>
      <w:r>
        <w:rPr>
          <w:rFonts w:ascii="Times New Roman" w:hAnsi="Times New Roman" w:cs="Times New Roman"/>
          <w:noProof/>
          <w:szCs w:val="24"/>
        </w:rPr>
        <w:t xml:space="preserve">La réforme consiste à améliorer le </w:t>
      </w:r>
      <w:r>
        <w:rPr>
          <w:rFonts w:ascii="Times New Roman" w:eastAsiaTheme="minorHAnsi" w:hAnsi="Times New Roman" w:cs="Times New Roman"/>
          <w:noProof/>
        </w:rPr>
        <w:t>cadre budgétaire national.</w:t>
      </w:r>
    </w:p>
    <w:p w14:paraId="51770F4C" w14:textId="70DC6113" w:rsidR="0023462A" w:rsidRDefault="00A550FA">
      <w:pPr>
        <w:pStyle w:val="P68B1DB1-Heading411"/>
        <w:spacing w:before="0" w:after="120" w:line="240" w:lineRule="auto"/>
        <w:rPr>
          <w:noProof/>
        </w:rPr>
      </w:pPr>
      <w:r>
        <w:rPr>
          <w:noProof/>
        </w:rPr>
        <w:t>C8.R35 : Réforme des prêts bonifiés</w:t>
      </w:r>
      <w:r>
        <w:rPr>
          <w:noProof/>
        </w:rPr>
        <w:tab/>
      </w:r>
    </w:p>
    <w:p w14:paraId="5F92AA4D" w14:textId="77777777" w:rsidR="0023462A" w:rsidRDefault="00A550FA">
      <w:pPr>
        <w:pStyle w:val="P68B1DB1-Normal12"/>
        <w:keepNext/>
        <w:spacing w:after="120" w:line="240" w:lineRule="auto"/>
        <w:jc w:val="both"/>
        <w:rPr>
          <w:rFonts w:ascii="Times New Roman" w:hAnsi="Times New Roman" w:cs="Times New Roman"/>
          <w:noProof/>
          <w:szCs w:val="20"/>
        </w:rPr>
      </w:pPr>
      <w:r>
        <w:rPr>
          <w:rFonts w:ascii="Times New Roman" w:eastAsiaTheme="minorHAnsi" w:hAnsi="Times New Roman" w:cs="Times New Roman"/>
          <w:noProof/>
        </w:rPr>
        <w:t>L’objectif</w:t>
      </w:r>
      <w:r>
        <w:rPr>
          <w:rFonts w:ascii="Times New Roman" w:hAnsi="Times New Roman" w:cs="Times New Roman"/>
          <w:noProof/>
          <w:szCs w:val="20"/>
        </w:rPr>
        <w:t xml:space="preserve"> de cette réforme est de renforcer les mécanismes de financement fondés sur le marché et de veiller à ce que le soutien financier public vise à remédier aux véritables défaillances du marché.</w:t>
      </w:r>
    </w:p>
    <w:p w14:paraId="189C480E" w14:textId="10E1AF89" w:rsidR="0023462A" w:rsidRDefault="00A550FA">
      <w:pPr>
        <w:pStyle w:val="P68B1DB1-Normal34"/>
        <w:keepNext/>
        <w:spacing w:after="120" w:line="240" w:lineRule="auto"/>
        <w:jc w:val="both"/>
        <w:rPr>
          <w:noProof/>
        </w:rPr>
      </w:pPr>
      <w:r>
        <w:rPr>
          <w:noProof/>
        </w:rPr>
        <w:t xml:space="preserve">La réforme consiste à réformer le programme de cartes Széchenyi, à réduire les contre-garanties gouvernementales et à revoir les garanties gouvernementales sur les prêts au secteur privé. </w:t>
      </w:r>
    </w:p>
    <w:bookmarkEnd w:id="4"/>
    <w:p w14:paraId="66C4D1E6" w14:textId="77777777" w:rsidR="0023462A" w:rsidRDefault="0023462A">
      <w:pPr>
        <w:keepNext/>
        <w:spacing w:line="240" w:lineRule="auto"/>
        <w:jc w:val="both"/>
        <w:outlineLvl w:val="1"/>
        <w:rPr>
          <w:rFonts w:ascii="Times New Roman" w:hAnsi="Times New Roman"/>
          <w:b/>
          <w:noProof/>
          <w:sz w:val="24"/>
          <w:u w:val="single"/>
        </w:rPr>
        <w:sectPr w:rsidR="0023462A" w:rsidSect="0091450C">
          <w:headerReference w:type="default" r:id="rId102"/>
          <w:footerReference w:type="default" r:id="rId103"/>
          <w:pgSz w:w="11907" w:h="16839"/>
          <w:pgMar w:top="1134" w:right="1134" w:bottom="1134" w:left="1134" w:header="567" w:footer="567" w:gutter="0"/>
          <w:cols w:space="708"/>
          <w:docGrid w:linePitch="326"/>
        </w:sectPr>
      </w:pPr>
    </w:p>
    <w:p w14:paraId="280E483D" w14:textId="64079B65" w:rsidR="0023462A" w:rsidRDefault="00A550FA">
      <w:pPr>
        <w:pStyle w:val="P68B1DB1-Heading310"/>
        <w:spacing w:before="0" w:after="120"/>
        <w:rPr>
          <w:noProof/>
        </w:rPr>
      </w:pPr>
      <w:r>
        <w:rPr>
          <w:noProof/>
        </w:rPr>
        <w:t xml:space="preserve">H.2. </w:t>
      </w:r>
      <w:r>
        <w:rPr>
          <w:noProof/>
        </w:rPr>
        <w:tab/>
        <w:t>Étapes, cibles, indicateurs et calendrier pour le suivi et la mise en œuvre du soutien financier non remboursable</w:t>
      </w:r>
    </w:p>
    <w:tbl>
      <w:tblPr>
        <w:tblW w:w="15615" w:type="dxa"/>
        <w:jc w:val="center"/>
        <w:tblLayout w:type="fixed"/>
        <w:tblLook w:val="04A0" w:firstRow="1" w:lastRow="0" w:firstColumn="1" w:lastColumn="0" w:noHBand="0" w:noVBand="1"/>
      </w:tblPr>
      <w:tblGrid>
        <w:gridCol w:w="846"/>
        <w:gridCol w:w="1559"/>
        <w:gridCol w:w="709"/>
        <w:gridCol w:w="1417"/>
        <w:gridCol w:w="1701"/>
        <w:gridCol w:w="1418"/>
        <w:gridCol w:w="1417"/>
        <w:gridCol w:w="993"/>
        <w:gridCol w:w="1134"/>
        <w:gridCol w:w="708"/>
        <w:gridCol w:w="3713"/>
      </w:tblGrid>
      <w:tr w:rsidR="0023462A" w14:paraId="5CA3AF01" w14:textId="77777777" w:rsidTr="009C289F">
        <w:trPr>
          <w:trHeight w:val="587"/>
          <w:tblHeader/>
          <w:jc w:val="center"/>
        </w:trPr>
        <w:tc>
          <w:tcPr>
            <w:tcW w:w="84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2030B65" w14:textId="77777777" w:rsidR="0023462A" w:rsidRDefault="00A550FA">
            <w:pPr>
              <w:pStyle w:val="P68B1DB1-Normal37"/>
              <w:spacing w:after="120" w:line="240" w:lineRule="auto"/>
              <w:jc w:val="both"/>
              <w:rPr>
                <w:rFonts w:eastAsia="MS Mincho"/>
                <w:bCs/>
                <w:noProof/>
              </w:rPr>
            </w:pPr>
            <w:r>
              <w:rPr>
                <w:noProof/>
              </w:rPr>
              <w:t>Seq. Numéro</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9D8CD61" w14:textId="77777777" w:rsidR="0023462A" w:rsidRDefault="00A550FA">
            <w:pPr>
              <w:pStyle w:val="P68B1DB1-Normal37"/>
              <w:spacing w:after="120" w:line="240" w:lineRule="auto"/>
              <w:jc w:val="center"/>
              <w:rPr>
                <w:rFonts w:eastAsia="Calibri"/>
                <w:noProof/>
              </w:rPr>
            </w:pPr>
            <w:r>
              <w:rPr>
                <w:noProof/>
              </w:rPr>
              <w:t>Mesure connexe (réforme ou investissement)</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D4BB1BF" w14:textId="77777777" w:rsidR="0023462A" w:rsidRDefault="00A550FA">
            <w:pPr>
              <w:pStyle w:val="P68B1DB1-Normal37"/>
              <w:spacing w:after="120" w:line="240" w:lineRule="auto"/>
              <w:rPr>
                <w:rFonts w:eastAsia="Calibri"/>
                <w:bCs/>
                <w:noProof/>
              </w:rPr>
            </w:pPr>
            <w:r>
              <w:rPr>
                <w:noProof/>
              </w:rPr>
              <w:t>Étape/cible</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BEEA602" w14:textId="77777777" w:rsidR="0023462A" w:rsidRDefault="00A550FA">
            <w:pPr>
              <w:pStyle w:val="P68B1DB1-Normal37"/>
              <w:spacing w:after="120" w:line="240" w:lineRule="auto"/>
              <w:jc w:val="center"/>
              <w:rPr>
                <w:rFonts w:eastAsia="Calibri"/>
                <w:bCs/>
                <w:noProof/>
              </w:rPr>
            </w:pPr>
            <w:r>
              <w:rPr>
                <w:noProof/>
              </w:rPr>
              <w:t>Nom</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D63685B" w14:textId="57E573E4" w:rsidR="0023462A" w:rsidRDefault="00A550FA">
            <w:pPr>
              <w:pStyle w:val="P68B1DB1-Normal37"/>
              <w:spacing w:after="120" w:line="240" w:lineRule="auto"/>
              <w:jc w:val="center"/>
              <w:rPr>
                <w:rFonts w:eastAsia="Calibri"/>
                <w:bCs/>
                <w:noProof/>
              </w:rPr>
            </w:pPr>
            <w:r>
              <w:rPr>
                <w:noProof/>
              </w:rPr>
              <w:t xml:space="preserve">Indicateurs qualitatifs </w:t>
            </w:r>
            <w:r>
              <w:rPr>
                <w:noProof/>
              </w:rPr>
              <w:br/>
              <w:t>(pour les jalons)</w:t>
            </w:r>
          </w:p>
        </w:tc>
        <w:tc>
          <w:tcPr>
            <w:tcW w:w="3828"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09A7256E" w14:textId="2F6AA80E" w:rsidR="0023462A" w:rsidRDefault="00A550FA">
            <w:pPr>
              <w:pStyle w:val="P68B1DB1-Normal37"/>
              <w:spacing w:after="120" w:line="240" w:lineRule="auto"/>
              <w:jc w:val="center"/>
              <w:rPr>
                <w:rFonts w:eastAsia="Calibri"/>
                <w:bCs/>
                <w:noProof/>
              </w:rPr>
            </w:pPr>
            <w:r>
              <w:rPr>
                <w:noProof/>
              </w:rPr>
              <w:t xml:space="preserve">Indicateurs quantitatifs </w:t>
            </w:r>
            <w:r>
              <w:rPr>
                <w:noProof/>
              </w:rPr>
              <w:br/>
              <w:t>(pour les objectifs)</w:t>
            </w:r>
          </w:p>
        </w:tc>
        <w:tc>
          <w:tcPr>
            <w:tcW w:w="1842" w:type="dxa"/>
            <w:gridSpan w:val="2"/>
            <w:tcBorders>
              <w:top w:val="single" w:sz="4" w:space="0" w:color="auto"/>
              <w:left w:val="nil"/>
              <w:bottom w:val="single" w:sz="4" w:space="0" w:color="auto"/>
              <w:right w:val="single" w:sz="4" w:space="0" w:color="auto"/>
            </w:tcBorders>
            <w:shd w:val="clear" w:color="auto" w:fill="BDD7EE"/>
            <w:vAlign w:val="center"/>
            <w:hideMark/>
          </w:tcPr>
          <w:p w14:paraId="6C53B38A" w14:textId="77777777" w:rsidR="0023462A" w:rsidRDefault="00A550FA">
            <w:pPr>
              <w:pStyle w:val="P68B1DB1-Normal37"/>
              <w:spacing w:after="120" w:line="240" w:lineRule="auto"/>
              <w:jc w:val="center"/>
              <w:rPr>
                <w:rFonts w:eastAsia="Calibri"/>
                <w:bCs/>
                <w:noProof/>
              </w:rPr>
            </w:pPr>
            <w:r>
              <w:rPr>
                <w:noProof/>
              </w:rPr>
              <w:t xml:space="preserve">Calendrier indicatif d'achèvement </w:t>
            </w:r>
          </w:p>
        </w:tc>
        <w:tc>
          <w:tcPr>
            <w:tcW w:w="371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21BB961" w14:textId="77777777" w:rsidR="0023462A" w:rsidRDefault="00A550FA">
            <w:pPr>
              <w:pStyle w:val="P68B1DB1-Normal37"/>
              <w:spacing w:after="120" w:line="240" w:lineRule="auto"/>
              <w:jc w:val="center"/>
              <w:rPr>
                <w:rFonts w:eastAsia="Calibri"/>
                <w:noProof/>
              </w:rPr>
            </w:pPr>
            <w:r>
              <w:rPr>
                <w:noProof/>
              </w:rPr>
              <w:t>Description de chaque jalon et cible</w:t>
            </w:r>
          </w:p>
        </w:tc>
      </w:tr>
      <w:tr w:rsidR="0023462A" w14:paraId="3219DEB4" w14:textId="77777777" w:rsidTr="009C289F">
        <w:trPr>
          <w:trHeight w:val="516"/>
          <w:tblHeader/>
          <w:jc w:val="center"/>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0E7DA15E" w14:textId="77777777" w:rsidR="0023462A" w:rsidRDefault="0023462A">
            <w:pPr>
              <w:spacing w:after="120" w:line="240" w:lineRule="auto"/>
              <w:jc w:val="both"/>
              <w:rPr>
                <w:rFonts w:ascii="Times New Roman" w:eastAsia="Times New Roman" w:hAnsi="Times New Roman" w:cs="Times New Roman"/>
                <w:b/>
                <w:noProof/>
                <w:sz w:val="18"/>
                <w:szCs w:val="18"/>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4A44B20" w14:textId="77777777" w:rsidR="0023462A" w:rsidRDefault="0023462A">
            <w:pPr>
              <w:spacing w:after="120" w:line="240" w:lineRule="auto"/>
              <w:jc w:val="both"/>
              <w:rPr>
                <w:rFonts w:ascii="Times New Roman" w:eastAsia="Times New Roman" w:hAnsi="Times New Roman" w:cs="Times New Roman"/>
                <w:b/>
                <w:noProof/>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2DE2B20A" w14:textId="77777777" w:rsidR="0023462A" w:rsidRDefault="0023462A">
            <w:pPr>
              <w:spacing w:after="120" w:line="240" w:lineRule="auto"/>
              <w:jc w:val="both"/>
              <w:rPr>
                <w:rFonts w:ascii="Times New Roman" w:eastAsia="Times New Roman" w:hAnsi="Times New Roman" w:cs="Times New Roman"/>
                <w:b/>
                <w:noProof/>
                <w:sz w:val="18"/>
                <w:szCs w:val="18"/>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6CD4F1F0" w14:textId="77777777" w:rsidR="0023462A" w:rsidRDefault="0023462A">
            <w:pPr>
              <w:spacing w:after="120" w:line="240" w:lineRule="auto"/>
              <w:jc w:val="both"/>
              <w:rPr>
                <w:rFonts w:ascii="Times New Roman" w:eastAsia="Times New Roman" w:hAnsi="Times New Roman" w:cs="Times New Roman"/>
                <w:b/>
                <w:noProof/>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05268E4" w14:textId="77777777" w:rsidR="0023462A" w:rsidRDefault="0023462A">
            <w:pPr>
              <w:spacing w:after="120" w:line="240" w:lineRule="auto"/>
              <w:jc w:val="both"/>
              <w:rPr>
                <w:rFonts w:ascii="Times New Roman" w:eastAsia="Times New Roman" w:hAnsi="Times New Roman" w:cs="Times New Roman"/>
                <w:b/>
                <w:noProof/>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48ED177" w14:textId="77777777" w:rsidR="0023462A" w:rsidRDefault="00A550FA">
            <w:pPr>
              <w:pStyle w:val="P68B1DB1-Normal37"/>
              <w:spacing w:after="120" w:line="240" w:lineRule="auto"/>
              <w:jc w:val="center"/>
              <w:rPr>
                <w:rFonts w:eastAsia="Calibri"/>
                <w:bCs/>
                <w:noProof/>
              </w:rPr>
            </w:pPr>
            <w:r>
              <w:rPr>
                <w:noProof/>
              </w:rPr>
              <w:t>Unité de mesure</w:t>
            </w:r>
          </w:p>
        </w:tc>
        <w:tc>
          <w:tcPr>
            <w:tcW w:w="141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6068584" w14:textId="77777777" w:rsidR="0023462A" w:rsidRDefault="00A550FA">
            <w:pPr>
              <w:pStyle w:val="P68B1DB1-Normal37"/>
              <w:spacing w:after="120" w:line="240" w:lineRule="auto"/>
              <w:jc w:val="center"/>
              <w:rPr>
                <w:rFonts w:eastAsia="Calibri"/>
                <w:bCs/>
                <w:noProof/>
              </w:rPr>
            </w:pPr>
            <w:r>
              <w:rPr>
                <w:noProof/>
              </w:rPr>
              <w:t xml:space="preserve">Données de référence </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33CF724" w14:textId="77777777" w:rsidR="0023462A" w:rsidRDefault="00A550FA">
            <w:pPr>
              <w:pStyle w:val="P68B1DB1-Normal37"/>
              <w:spacing w:after="120" w:line="240" w:lineRule="auto"/>
              <w:jc w:val="center"/>
              <w:rPr>
                <w:rFonts w:eastAsia="Calibri"/>
                <w:bCs/>
                <w:noProof/>
              </w:rPr>
            </w:pPr>
            <w:r>
              <w:rPr>
                <w:noProof/>
              </w:rPr>
              <w:t xml:space="preserve">Objectif </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4E1DFEA" w14:textId="77777777" w:rsidR="0023462A" w:rsidRDefault="00A550FA">
            <w:pPr>
              <w:pStyle w:val="P68B1DB1-Normal37"/>
              <w:spacing w:after="120" w:line="240" w:lineRule="auto"/>
              <w:jc w:val="center"/>
              <w:rPr>
                <w:rFonts w:eastAsia="Calibri"/>
                <w:bCs/>
                <w:noProof/>
              </w:rPr>
            </w:pPr>
            <w:r>
              <w:rPr>
                <w:noProof/>
              </w:rPr>
              <w:t>Trimestre</w:t>
            </w:r>
          </w:p>
        </w:tc>
        <w:tc>
          <w:tcPr>
            <w:tcW w:w="708" w:type="dxa"/>
            <w:tcBorders>
              <w:top w:val="nil"/>
              <w:left w:val="nil"/>
              <w:bottom w:val="single" w:sz="4" w:space="0" w:color="auto"/>
              <w:right w:val="single" w:sz="4" w:space="0" w:color="auto"/>
            </w:tcBorders>
            <w:shd w:val="clear" w:color="auto" w:fill="BDD7EE"/>
            <w:vAlign w:val="center"/>
            <w:hideMark/>
          </w:tcPr>
          <w:p w14:paraId="18580AEC" w14:textId="77777777" w:rsidR="0023462A" w:rsidRDefault="00A550FA">
            <w:pPr>
              <w:pStyle w:val="P68B1DB1-Normal37"/>
              <w:spacing w:after="120" w:line="240" w:lineRule="auto"/>
              <w:jc w:val="center"/>
              <w:rPr>
                <w:rFonts w:eastAsia="Calibri"/>
                <w:bCs/>
                <w:noProof/>
              </w:rPr>
            </w:pPr>
            <w:r>
              <w:rPr>
                <w:noProof/>
              </w:rPr>
              <w:t>Année</w:t>
            </w:r>
          </w:p>
        </w:tc>
        <w:tc>
          <w:tcPr>
            <w:tcW w:w="3713" w:type="dxa"/>
            <w:vMerge/>
            <w:tcBorders>
              <w:top w:val="single" w:sz="4" w:space="0" w:color="auto"/>
              <w:bottom w:val="single" w:sz="4" w:space="0" w:color="auto"/>
              <w:right w:val="single" w:sz="4" w:space="0" w:color="auto"/>
            </w:tcBorders>
            <w:vAlign w:val="center"/>
            <w:hideMark/>
          </w:tcPr>
          <w:p w14:paraId="04A7BD68" w14:textId="77777777" w:rsidR="0023462A" w:rsidRDefault="0023462A">
            <w:pPr>
              <w:spacing w:after="120" w:line="240" w:lineRule="auto"/>
              <w:jc w:val="both"/>
              <w:rPr>
                <w:rFonts w:ascii="Times New Roman" w:eastAsia="Times New Roman" w:hAnsi="Times New Roman" w:cs="Times New Roman"/>
                <w:b/>
                <w:bCs/>
                <w:noProof/>
                <w:sz w:val="18"/>
                <w:szCs w:val="18"/>
              </w:rPr>
            </w:pPr>
          </w:p>
        </w:tc>
      </w:tr>
      <w:tr w:rsidR="0023462A" w14:paraId="4A4C2AB1" w14:textId="77777777" w:rsidTr="009C289F">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8C2CCA" w14:textId="4B2620D4" w:rsidR="0023462A" w:rsidRDefault="00A550FA">
            <w:pPr>
              <w:pStyle w:val="P68B1DB1-Normal32"/>
              <w:spacing w:after="120" w:line="240" w:lineRule="auto"/>
              <w:rPr>
                <w:rFonts w:eastAsiaTheme="minorHAnsi"/>
                <w:noProof/>
              </w:rPr>
            </w:pPr>
            <w:r>
              <w:rPr>
                <w:noProof/>
              </w:rPr>
              <w:t>54</w:t>
            </w:r>
          </w:p>
        </w:tc>
        <w:tc>
          <w:tcPr>
            <w:tcW w:w="1559" w:type="dxa"/>
            <w:tcBorders>
              <w:top w:val="single" w:sz="4" w:space="0" w:color="auto"/>
              <w:left w:val="nil"/>
              <w:bottom w:val="single" w:sz="4" w:space="0" w:color="auto"/>
              <w:right w:val="single" w:sz="4" w:space="0" w:color="auto"/>
            </w:tcBorders>
            <w:shd w:val="clear" w:color="auto" w:fill="C6EFCE"/>
            <w:noWrap/>
            <w:vAlign w:val="center"/>
          </w:tcPr>
          <w:p w14:paraId="74DA03B8" w14:textId="6A67B910" w:rsidR="0023462A" w:rsidRDefault="00A550FA">
            <w:pPr>
              <w:pStyle w:val="P68B1DB1-Normal32"/>
              <w:spacing w:after="120" w:line="240" w:lineRule="auto"/>
              <w:ind w:left="52"/>
              <w:rPr>
                <w:noProof/>
                <w:highlight w:val="yellow"/>
              </w:rPr>
            </w:pPr>
            <w:r>
              <w:rPr>
                <w:noProof/>
              </w:rPr>
              <w:t>C8.R1 Entrée en vigueur de la législation relative à une autorité chargée de l'intégrité</w:t>
            </w:r>
          </w:p>
          <w:p w14:paraId="199F1109" w14:textId="77777777" w:rsidR="0023462A" w:rsidRDefault="0023462A">
            <w:pPr>
              <w:spacing w:after="120" w:line="240" w:lineRule="auto"/>
              <w:rPr>
                <w:rFonts w:ascii="Times New Roman" w:eastAsiaTheme="minorHAnsi" w:hAnsi="Times New Roman" w:cs="Times New Roman"/>
                <w:noProof/>
                <w:sz w:val="18"/>
                <w:szCs w:val="18"/>
              </w:rPr>
            </w:pPr>
          </w:p>
        </w:tc>
        <w:tc>
          <w:tcPr>
            <w:tcW w:w="709" w:type="dxa"/>
            <w:tcBorders>
              <w:top w:val="single" w:sz="4" w:space="0" w:color="auto"/>
              <w:left w:val="nil"/>
              <w:bottom w:val="single" w:sz="4" w:space="0" w:color="auto"/>
              <w:right w:val="single" w:sz="4" w:space="0" w:color="auto"/>
            </w:tcBorders>
            <w:shd w:val="clear" w:color="auto" w:fill="C6EFCE"/>
            <w:noWrap/>
            <w:vAlign w:val="center"/>
          </w:tcPr>
          <w:p w14:paraId="065D3CF9" w14:textId="6ACDA8D8" w:rsidR="0023462A" w:rsidRDefault="00A550FA">
            <w:pPr>
              <w:pStyle w:val="P68B1DB1-Normal32"/>
              <w:spacing w:after="120" w:line="240" w:lineRule="auto"/>
              <w:rPr>
                <w:rFonts w:eastAsiaTheme="minorHAnsi"/>
                <w:noProof/>
              </w:rPr>
            </w:pPr>
            <w:r>
              <w:rPr>
                <w:noProof/>
              </w:rPr>
              <w:t>Étape</w:t>
            </w:r>
          </w:p>
        </w:tc>
        <w:tc>
          <w:tcPr>
            <w:tcW w:w="1417" w:type="dxa"/>
            <w:tcBorders>
              <w:top w:val="single" w:sz="4" w:space="0" w:color="auto"/>
              <w:left w:val="nil"/>
              <w:bottom w:val="single" w:sz="4" w:space="0" w:color="auto"/>
              <w:right w:val="single" w:sz="4" w:space="0" w:color="auto"/>
            </w:tcBorders>
            <w:shd w:val="clear" w:color="auto" w:fill="C6EFCE"/>
            <w:noWrap/>
            <w:vAlign w:val="center"/>
          </w:tcPr>
          <w:p w14:paraId="41F8C07F" w14:textId="330CC79E" w:rsidR="0023462A" w:rsidRDefault="00A550FA">
            <w:pPr>
              <w:pStyle w:val="P68B1DB1-Normal32"/>
              <w:spacing w:after="120" w:line="240" w:lineRule="auto"/>
              <w:rPr>
                <w:rFonts w:eastAsiaTheme="minorHAnsi"/>
                <w:noProof/>
              </w:rPr>
            </w:pPr>
            <w:r>
              <w:rPr>
                <w:noProof/>
              </w:rPr>
              <w:t>Entrée en vigueur de la législation relative à une autorité chargée de l'intégrité</w:t>
            </w:r>
          </w:p>
        </w:tc>
        <w:tc>
          <w:tcPr>
            <w:tcW w:w="1701" w:type="dxa"/>
            <w:tcBorders>
              <w:top w:val="single" w:sz="4" w:space="0" w:color="auto"/>
              <w:left w:val="nil"/>
              <w:bottom w:val="single" w:sz="4" w:space="0" w:color="auto"/>
              <w:right w:val="single" w:sz="4" w:space="0" w:color="auto"/>
            </w:tcBorders>
            <w:shd w:val="clear" w:color="auto" w:fill="C6EFCE"/>
            <w:noWrap/>
            <w:vAlign w:val="center"/>
          </w:tcPr>
          <w:p w14:paraId="7EFDB022" w14:textId="3E6A2DFE" w:rsidR="0023462A" w:rsidRDefault="00A550FA">
            <w:pPr>
              <w:pStyle w:val="P68B1DB1-Normal32"/>
              <w:spacing w:after="120" w:line="240" w:lineRule="auto"/>
              <w:rPr>
                <w:rFonts w:eastAsiaTheme="minorHAnsi"/>
                <w:noProof/>
              </w:rPr>
            </w:pPr>
            <w:r>
              <w:rPr>
                <w:noProof/>
              </w:rPr>
              <w:t>Disposition de la législation indiquant l'entrée en vigueur</w:t>
            </w:r>
          </w:p>
        </w:tc>
        <w:tc>
          <w:tcPr>
            <w:tcW w:w="1418" w:type="dxa"/>
            <w:tcBorders>
              <w:top w:val="single" w:sz="4" w:space="0" w:color="auto"/>
              <w:left w:val="nil"/>
              <w:bottom w:val="single" w:sz="4" w:space="0" w:color="auto"/>
              <w:right w:val="single" w:sz="4" w:space="0" w:color="auto"/>
            </w:tcBorders>
            <w:shd w:val="clear" w:color="auto" w:fill="C6EFCE"/>
            <w:noWrap/>
            <w:vAlign w:val="center"/>
          </w:tcPr>
          <w:p w14:paraId="655B0D0C" w14:textId="77777777" w:rsidR="0023462A" w:rsidRDefault="0023462A">
            <w:pPr>
              <w:spacing w:after="120" w:line="240" w:lineRule="auto"/>
              <w:rPr>
                <w:rFonts w:ascii="Times New Roman" w:eastAsia="Calibri" w:hAnsi="Times New Roman" w:cs="Times New Roman"/>
                <w:noProof/>
                <w:sz w:val="18"/>
                <w:szCs w:val="18"/>
              </w:rPr>
            </w:pPr>
          </w:p>
        </w:tc>
        <w:tc>
          <w:tcPr>
            <w:tcW w:w="1417" w:type="dxa"/>
            <w:tcBorders>
              <w:top w:val="single" w:sz="4" w:space="0" w:color="auto"/>
              <w:left w:val="nil"/>
              <w:bottom w:val="single" w:sz="4" w:space="0" w:color="auto"/>
              <w:right w:val="single" w:sz="4" w:space="0" w:color="auto"/>
            </w:tcBorders>
            <w:shd w:val="clear" w:color="auto" w:fill="C6EFCE"/>
            <w:noWrap/>
            <w:vAlign w:val="center"/>
          </w:tcPr>
          <w:p w14:paraId="71107992" w14:textId="77777777" w:rsidR="0023462A" w:rsidRDefault="0023462A">
            <w:pPr>
              <w:spacing w:after="120" w:line="240" w:lineRule="auto"/>
              <w:rPr>
                <w:rFonts w:ascii="Times New Roman" w:eastAsia="Calibri" w:hAnsi="Times New Roman" w:cs="Times New Roman"/>
                <w:noProof/>
                <w:sz w:val="18"/>
                <w:szCs w:val="18"/>
              </w:rPr>
            </w:pPr>
          </w:p>
        </w:tc>
        <w:tc>
          <w:tcPr>
            <w:tcW w:w="993" w:type="dxa"/>
            <w:tcBorders>
              <w:top w:val="single" w:sz="4" w:space="0" w:color="auto"/>
              <w:left w:val="nil"/>
              <w:bottom w:val="single" w:sz="4" w:space="0" w:color="auto"/>
              <w:right w:val="single" w:sz="4" w:space="0" w:color="auto"/>
            </w:tcBorders>
            <w:shd w:val="clear" w:color="auto" w:fill="C6EFCE"/>
            <w:noWrap/>
            <w:vAlign w:val="center"/>
          </w:tcPr>
          <w:p w14:paraId="2014CBAE" w14:textId="77777777" w:rsidR="0023462A" w:rsidRDefault="0023462A">
            <w:pPr>
              <w:spacing w:after="120" w:line="240" w:lineRule="auto"/>
              <w:rPr>
                <w:rFonts w:ascii="Times New Roman" w:eastAsia="Calibri" w:hAnsi="Times New Roman" w:cs="Times New Roman"/>
                <w:noProof/>
                <w:sz w:val="18"/>
                <w:szCs w:val="18"/>
              </w:rPr>
            </w:pPr>
          </w:p>
        </w:tc>
        <w:tc>
          <w:tcPr>
            <w:tcW w:w="1134" w:type="dxa"/>
            <w:tcBorders>
              <w:top w:val="single" w:sz="4" w:space="0" w:color="auto"/>
              <w:left w:val="nil"/>
              <w:bottom w:val="single" w:sz="4" w:space="0" w:color="auto"/>
              <w:right w:val="single" w:sz="4" w:space="0" w:color="auto"/>
            </w:tcBorders>
            <w:shd w:val="clear" w:color="auto" w:fill="C6EFCE"/>
            <w:noWrap/>
            <w:vAlign w:val="center"/>
          </w:tcPr>
          <w:p w14:paraId="58D68C94" w14:textId="0A73346E" w:rsidR="0023462A" w:rsidRDefault="00A550FA">
            <w:pPr>
              <w:pStyle w:val="P68B1DB1-Normal32"/>
              <w:spacing w:after="120" w:line="240" w:lineRule="auto"/>
              <w:rPr>
                <w:rFonts w:eastAsiaTheme="minorHAnsi"/>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39DBF6B6" w14:textId="00AF1A8F" w:rsidR="0023462A" w:rsidRDefault="00A550FA">
            <w:pPr>
              <w:pStyle w:val="P68B1DB1-Normal32"/>
              <w:spacing w:after="120" w:line="240" w:lineRule="auto"/>
              <w:rPr>
                <w:rFonts w:eastAsiaTheme="minorHAnsi"/>
                <w:noProof/>
              </w:rPr>
            </w:pPr>
            <w:r>
              <w:rPr>
                <w:noProof/>
              </w:rPr>
              <w:t>2026</w:t>
            </w:r>
          </w:p>
        </w:tc>
        <w:tc>
          <w:tcPr>
            <w:tcW w:w="3713" w:type="dxa"/>
            <w:tcBorders>
              <w:top w:val="single" w:sz="4" w:space="0" w:color="auto"/>
              <w:left w:val="nil"/>
              <w:bottom w:val="single" w:sz="4" w:space="0" w:color="auto"/>
              <w:right w:val="single" w:sz="4" w:space="0" w:color="auto"/>
            </w:tcBorders>
            <w:shd w:val="clear" w:color="auto" w:fill="C6EFCE"/>
            <w:noWrap/>
            <w:vAlign w:val="center"/>
          </w:tcPr>
          <w:p w14:paraId="589A9512" w14:textId="77777777" w:rsidR="0023462A" w:rsidRDefault="00A550FA">
            <w:pPr>
              <w:pStyle w:val="P68B1DB1-Normal32"/>
              <w:spacing w:after="120" w:line="240" w:lineRule="auto"/>
              <w:rPr>
                <w:noProof/>
              </w:rPr>
            </w:pPr>
            <w:r>
              <w:rPr>
                <w:noProof/>
              </w:rPr>
              <w:t>Entrée en vigueur de la législation qui prévoit la spécification des règles relatives à une autorité pour l’intégrité visant à renforcer la prévention, la détection et la correction de la fraude, des conflits d’intérêts et de la corruption ainsi que d’autres illégalités et irrégularités concernant la mise en œuvre du soutien de l’Union en Hongrie, avec les éléments suivants:</w:t>
            </w:r>
          </w:p>
          <w:p w14:paraId="3D55CB6D" w14:textId="77777777" w:rsidR="0023462A" w:rsidRDefault="00A550FA">
            <w:pPr>
              <w:pStyle w:val="P68B1DB1-Normal32"/>
              <w:spacing w:after="120" w:line="240" w:lineRule="auto"/>
              <w:textAlignment w:val="baseline"/>
              <w:rPr>
                <w:noProof/>
              </w:rPr>
            </w:pPr>
            <w:r>
              <w:rPr>
                <w:noProof/>
              </w:rPr>
              <w:t xml:space="preserve">La législation prévoit que l’Autorité pour l’intégrité est compétente pour intervenir dans tous les cas où, selon elle, les autorités nationales compétentes n’ont pas pris les mesures nécessaires pour prévenir, détecter et corriger la fraude, les conflits d’intérêts, la corruption et les autres illégalités ou irrégularités susceptibles de porter atteinte ou de risquer sérieusement de porter atteinte à la bonne gestion financière du budget de l’Union européenne ou à la protection des intérêts financiers de l’Union européenne. </w:t>
            </w:r>
          </w:p>
          <w:p w14:paraId="1F69EB84" w14:textId="77777777" w:rsidR="0023462A" w:rsidRDefault="00A550FA">
            <w:pPr>
              <w:pStyle w:val="P68B1DB1-Normal32"/>
              <w:spacing w:after="120" w:line="240" w:lineRule="auto"/>
              <w:textAlignment w:val="baseline"/>
              <w:rPr>
                <w:noProof/>
              </w:rPr>
            </w:pPr>
            <w:r>
              <w:rPr>
                <w:noProof/>
              </w:rPr>
              <w:t>La législation prévoit l'indépendance de l'Autorité pour l'intégrité en stipulant que:</w:t>
            </w:r>
          </w:p>
          <w:p w14:paraId="3D7CF567" w14:textId="77777777" w:rsidR="0023462A" w:rsidRDefault="00A550FA">
            <w:pPr>
              <w:pStyle w:val="P68B1DB1-ListParagraph43"/>
              <w:numPr>
                <w:ilvl w:val="0"/>
                <w:numId w:val="154"/>
              </w:numPr>
              <w:spacing w:after="120" w:line="240" w:lineRule="auto"/>
              <w:ind w:left="414" w:hanging="357"/>
              <w:contextualSpacing w:val="0"/>
              <w:textAlignment w:val="baseline"/>
              <w:rPr>
                <w:noProof/>
              </w:rPr>
            </w:pPr>
            <w:r>
              <w:rPr>
                <w:noProof/>
              </w:rPr>
              <w:t xml:space="preserve">l'Autorité pour l'intégrité, y compris son personnel, ne sollicite ni n'accepte d'instructions d'aucune autre personne ou institution. </w:t>
            </w:r>
          </w:p>
          <w:p w14:paraId="7DDF5112" w14:textId="77777777" w:rsidR="0023462A" w:rsidRDefault="00A550FA">
            <w:pPr>
              <w:pStyle w:val="P68B1DB1-ListParagraph43"/>
              <w:numPr>
                <w:ilvl w:val="0"/>
                <w:numId w:val="154"/>
              </w:numPr>
              <w:spacing w:after="120" w:line="240" w:lineRule="auto"/>
              <w:ind w:left="414" w:hanging="357"/>
              <w:contextualSpacing w:val="0"/>
              <w:textAlignment w:val="baseline"/>
              <w:rPr>
                <w:noProof/>
              </w:rPr>
            </w:pPr>
            <w:r>
              <w:rPr>
                <w:noProof/>
              </w:rPr>
              <w:t>l'Autorité pour l'intégrité est responsable de la gestion de son propre budget et que son budget ne peut être réduit sans le consentement de l'Autorité pour l'intégrité. L'Autorité est en mesure de déterminer le montant des ressources dont elle a besoin pour s'acquitter de ses tâches ainsi que le nombre d'agents.</w:t>
            </w:r>
          </w:p>
          <w:p w14:paraId="7B362BE0" w14:textId="4F94166B" w:rsidR="0023462A" w:rsidRDefault="00A550FA">
            <w:pPr>
              <w:pStyle w:val="P68B1DB1-ListParagraph43"/>
              <w:numPr>
                <w:ilvl w:val="0"/>
                <w:numId w:val="154"/>
              </w:numPr>
              <w:spacing w:after="120" w:line="240" w:lineRule="auto"/>
              <w:ind w:left="414" w:hanging="357"/>
              <w:contextualSpacing w:val="0"/>
              <w:textAlignment w:val="baseline"/>
              <w:rPr>
                <w:noProof/>
              </w:rPr>
            </w:pPr>
            <w:r>
              <w:rPr>
                <w:noProof/>
              </w:rPr>
              <w:t>l’Autorité pour l’intégrité est gérée par un conseil composé d’un président et de vice-présidents nommés par le président de la Hongrie à la suite d’un appel ouvert et d’une procédure de sélection, pour un mandat de six ans non renouvelable.</w:t>
            </w:r>
          </w:p>
          <w:p w14:paraId="683E38D1" w14:textId="77777777" w:rsidR="0023462A" w:rsidRDefault="00A550FA">
            <w:pPr>
              <w:pStyle w:val="P68B1DB1-ListParagraph43"/>
              <w:numPr>
                <w:ilvl w:val="0"/>
                <w:numId w:val="154"/>
              </w:numPr>
              <w:spacing w:after="120" w:line="240" w:lineRule="auto"/>
              <w:ind w:left="414" w:hanging="357"/>
              <w:contextualSpacing w:val="0"/>
              <w:textAlignment w:val="baseline"/>
              <w:rPr>
                <w:noProof/>
              </w:rPr>
            </w:pPr>
            <w:r>
              <w:rPr>
                <w:noProof/>
              </w:rPr>
              <w:t xml:space="preserve">les critères de sélection des membres du jury sont fondés sur leurs qualités et qualifications professionnelles. La législation doit inclure des critères d'incompatibilité avec les mandats politiques ou l'adhésion et avec la participation au capital d'une société. </w:t>
            </w:r>
          </w:p>
          <w:p w14:paraId="3616A14A" w14:textId="77777777" w:rsidR="0023462A" w:rsidRDefault="00A550FA">
            <w:pPr>
              <w:pStyle w:val="P68B1DB1-ListParagraph43"/>
              <w:numPr>
                <w:ilvl w:val="0"/>
                <w:numId w:val="154"/>
              </w:numPr>
              <w:spacing w:after="120" w:line="240" w:lineRule="auto"/>
              <w:ind w:left="414" w:hanging="357"/>
              <w:contextualSpacing w:val="0"/>
              <w:textAlignment w:val="baseline"/>
              <w:rPr>
                <w:rFonts w:eastAsia="Times New Roman"/>
                <w:noProof/>
              </w:rPr>
            </w:pPr>
            <w:r>
              <w:rPr>
                <w:noProof/>
              </w:rPr>
              <w:t>les membres du conseil d’administration sont sélectionnés à la suite d’un appel ouvert sur la base de l’avis contraignant sur le respect de l’éligibilité des candidats par un comité d’éligibilité créé à cet effet. Que le comité d'éligibilité est convoqué par le directeur général de l'EUTAF à la suite d'un appel ouvert. Il est composé de trois personnes indépendantes issues d'institutions internationales reconnues et possédant une expérience suffisamment longue, vérifiable et pertinente dans le domaine des marchés publics et/ou de la lutte contre la corruption. Les membres du comité d’éligibilité n’ont pas, au cours des cinq dernières années: a occupé une position politique élue ou une position politique au sein du gouvernement, a été employé par un parti politique ou une fondation politique, ou a exercé une activité volontaire ou rémunérée pour ces entités. Les règles en matière de conflits d’intérêts conformément aux principes énoncés à l’article 61 du règlement (UE, Euratom) 2024/2509 s’appliquent aux membres du comité d’éligibilité pendant une période de cinq ans à compter de l’émission de l’avis contraignant. Les membres du comité d’éligibilité publient leurs déclarations de patrimoine et déclarent leur absence de conflit d’intérêts avant de commencer leurs travaux au sein du comité d’éligibilité.</w:t>
            </w:r>
          </w:p>
          <w:p w14:paraId="4864AEAF" w14:textId="31EC096E" w:rsidR="0023462A" w:rsidRDefault="00A550FA">
            <w:pPr>
              <w:pStyle w:val="P68B1DB1-ListParagraph43"/>
              <w:numPr>
                <w:ilvl w:val="0"/>
                <w:numId w:val="154"/>
              </w:numPr>
              <w:spacing w:after="120" w:line="240" w:lineRule="auto"/>
              <w:ind w:left="414" w:hanging="357"/>
              <w:contextualSpacing w:val="0"/>
              <w:textAlignment w:val="baseline"/>
              <w:rPr>
                <w:noProof/>
              </w:rPr>
            </w:pPr>
            <w:r>
              <w:rPr>
                <w:noProof/>
              </w:rPr>
              <w:t>un membre du conseil d’administration n’est révoqué qu’en cas de conflit d’intérêts à la suite de sa nomination ou lorsqu’un jugement pénal définitif est rendu à son encontre pour des questions liées aux travaux de l’Autorité pour l’intégrité ou affectant l’indépendance et l’impartialité du membre concerné.</w:t>
            </w:r>
          </w:p>
          <w:p w14:paraId="598E5E51" w14:textId="77777777" w:rsidR="0023462A" w:rsidRDefault="00A550FA">
            <w:pPr>
              <w:pStyle w:val="P68B1DB1-ListParagraph43"/>
              <w:spacing w:after="120" w:line="240" w:lineRule="auto"/>
              <w:ind w:left="57"/>
              <w:contextualSpacing w:val="0"/>
              <w:textAlignment w:val="baseline"/>
              <w:rPr>
                <w:noProof/>
              </w:rPr>
            </w:pPr>
            <w:r>
              <w:rPr>
                <w:noProof/>
              </w:rPr>
              <w:t xml:space="preserve">La législation prévoit que l’autorité chargée de l’intégrité est compétente: </w:t>
            </w:r>
          </w:p>
          <w:p w14:paraId="45C53519" w14:textId="77777777" w:rsidR="0023462A" w:rsidRDefault="00A550FA">
            <w:pPr>
              <w:pStyle w:val="P68B1DB1-ListParagraph43"/>
              <w:spacing w:after="120" w:line="240" w:lineRule="auto"/>
              <w:ind w:left="57"/>
              <w:contextualSpacing w:val="0"/>
              <w:textAlignment w:val="baseline"/>
              <w:rPr>
                <w:noProof/>
              </w:rPr>
            </w:pPr>
            <w:r>
              <w:rPr>
                <w:noProof/>
              </w:rPr>
              <w:t>i) donner instruction aux pouvoirs adjudicateurs de suspendre une procédure de passation de marché;</w:t>
            </w:r>
          </w:p>
          <w:p w14:paraId="3992DA99" w14:textId="77777777" w:rsidR="0023462A" w:rsidRDefault="00A550FA">
            <w:pPr>
              <w:pStyle w:val="P68B1DB1-ListParagraph43"/>
              <w:spacing w:after="120" w:line="240" w:lineRule="auto"/>
              <w:ind w:left="57"/>
              <w:contextualSpacing w:val="0"/>
              <w:textAlignment w:val="baseline"/>
              <w:rPr>
                <w:noProof/>
              </w:rPr>
            </w:pPr>
            <w:r>
              <w:rPr>
                <w:noProof/>
              </w:rPr>
              <w:t>ii) de demander aux organismes administratifs d’enquête de mener des enquêtes en son nom;</w:t>
            </w:r>
          </w:p>
          <w:p w14:paraId="51D8E33E" w14:textId="77777777" w:rsidR="0023462A" w:rsidRDefault="00A550FA">
            <w:pPr>
              <w:pStyle w:val="P68B1DB1-ListParagraph43"/>
              <w:spacing w:after="120" w:line="240" w:lineRule="auto"/>
              <w:ind w:left="57"/>
              <w:contextualSpacing w:val="0"/>
              <w:textAlignment w:val="baseline"/>
              <w:rPr>
                <w:noProof/>
              </w:rPr>
            </w:pPr>
            <w:r>
              <w:rPr>
                <w:noProof/>
              </w:rPr>
              <w:t>iii) recommander l’exclusion d’opérateurs économiques spécifiques du financement de l’Union pendant une certaine période;</w:t>
            </w:r>
          </w:p>
          <w:p w14:paraId="08929C31" w14:textId="77777777" w:rsidR="0023462A" w:rsidRDefault="00A550FA">
            <w:pPr>
              <w:pStyle w:val="P68B1DB1-ListParagraph43"/>
              <w:spacing w:after="120" w:line="240" w:lineRule="auto"/>
              <w:ind w:left="57"/>
              <w:contextualSpacing w:val="0"/>
              <w:textAlignment w:val="baseline"/>
              <w:rPr>
                <w:noProof/>
              </w:rPr>
            </w:pPr>
            <w:r>
              <w:rPr>
                <w:noProof/>
              </w:rPr>
              <w:t>iv) de charger les autorités ou organismes nationaux d’engager des procédures pour vérifier les déclarations de conflits d’intérêts et les soupçons relatifs à la gestion des fonds de l’Union;</w:t>
            </w:r>
          </w:p>
          <w:p w14:paraId="7B7EAF08" w14:textId="77777777" w:rsidR="0023462A" w:rsidRDefault="00A550FA">
            <w:pPr>
              <w:pStyle w:val="P68B1DB1-ListParagraph43"/>
              <w:spacing w:after="120" w:line="240" w:lineRule="auto"/>
              <w:ind w:left="57"/>
              <w:contextualSpacing w:val="0"/>
              <w:textAlignment w:val="baseline"/>
              <w:rPr>
                <w:noProof/>
              </w:rPr>
            </w:pPr>
            <w:r>
              <w:rPr>
                <w:noProof/>
              </w:rPr>
              <w:t xml:space="preserve">v) demander l’accès à tous les dossiers de marchés publics; </w:t>
            </w:r>
          </w:p>
          <w:p w14:paraId="460DBEB1" w14:textId="77777777" w:rsidR="0023462A" w:rsidRDefault="00A550FA">
            <w:pPr>
              <w:pStyle w:val="P68B1DB1-ListParagraph43"/>
              <w:spacing w:after="120" w:line="240" w:lineRule="auto"/>
              <w:ind w:left="57"/>
              <w:contextualSpacing w:val="0"/>
              <w:textAlignment w:val="baseline"/>
              <w:rPr>
                <w:noProof/>
              </w:rPr>
            </w:pPr>
            <w:r>
              <w:rPr>
                <w:noProof/>
              </w:rPr>
              <w:t xml:space="preserve">(vi) recommander aux pouvoirs adjudicateurs de recourir à une procédure spécifique dans le cadre d’un marché public spécifique ou d’une catégorie de procédures de passation de marchés publics; </w:t>
            </w:r>
          </w:p>
          <w:p w14:paraId="18595EA6" w14:textId="77777777" w:rsidR="0023462A" w:rsidRDefault="00A550FA">
            <w:pPr>
              <w:pStyle w:val="P68B1DB1-ListParagraph43"/>
              <w:spacing w:after="120" w:line="240" w:lineRule="auto"/>
              <w:ind w:left="57"/>
              <w:contextualSpacing w:val="0"/>
              <w:textAlignment w:val="baseline"/>
              <w:rPr>
                <w:noProof/>
              </w:rPr>
            </w:pPr>
            <w:r>
              <w:rPr>
                <w:noProof/>
              </w:rPr>
              <w:t xml:space="preserve">vii) engager des procédures devant les autorités ou organismes nationaux en vue d'établir des soupçons d'irrégularités; </w:t>
            </w:r>
          </w:p>
          <w:p w14:paraId="3790D1AF" w14:textId="77777777" w:rsidR="0023462A" w:rsidRDefault="00A550FA">
            <w:pPr>
              <w:pStyle w:val="P68B1DB1-ListParagraph43"/>
              <w:spacing w:after="120" w:line="240" w:lineRule="auto"/>
              <w:ind w:left="57"/>
              <w:contextualSpacing w:val="0"/>
              <w:textAlignment w:val="baseline"/>
              <w:rPr>
                <w:noProof/>
              </w:rPr>
            </w:pPr>
            <w:r>
              <w:rPr>
                <w:noProof/>
              </w:rPr>
              <w:t xml:space="preserve">viii) de demander le contrôle juridictionnel de toutes les décisions des autorités concernant les procédures de passation de marchés publics qui impliquent un soutien de l’Union; </w:t>
            </w:r>
          </w:p>
          <w:p w14:paraId="49C8F613" w14:textId="77777777" w:rsidR="0023462A" w:rsidRDefault="00A550FA">
            <w:pPr>
              <w:pStyle w:val="P68B1DB1-ListParagraph43"/>
              <w:spacing w:after="120" w:line="240" w:lineRule="auto"/>
              <w:ind w:left="57"/>
              <w:contextualSpacing w:val="0"/>
              <w:textAlignment w:val="baseline"/>
              <w:rPr>
                <w:noProof/>
              </w:rPr>
            </w:pPr>
            <w:r>
              <w:rPr>
                <w:noProof/>
              </w:rPr>
              <w:t xml:space="preserve">ix) d’engager la procédure de la commission d’arbitrage des marchés publics et, si l’Autorité propose la suspension de la procédure de passation des marchés publics, la commission d’arbitrage des marchés publics ordonne cette suspension; </w:t>
            </w:r>
          </w:p>
          <w:p w14:paraId="3D950607" w14:textId="77777777" w:rsidR="0023462A" w:rsidRDefault="00A550FA">
            <w:pPr>
              <w:pStyle w:val="P68B1DB1-ListParagraph43"/>
              <w:spacing w:after="120" w:line="240" w:lineRule="auto"/>
              <w:ind w:left="57"/>
              <w:contextualSpacing w:val="0"/>
              <w:textAlignment w:val="baseline"/>
              <w:rPr>
                <w:noProof/>
              </w:rPr>
            </w:pPr>
            <w:r>
              <w:rPr>
                <w:noProof/>
              </w:rPr>
              <w:t xml:space="preserve">x) contester l'inaction d'une autorité concernée devant un tribunal. </w:t>
            </w:r>
          </w:p>
          <w:p w14:paraId="19150D31" w14:textId="77777777" w:rsidR="0023462A" w:rsidRDefault="00A550FA">
            <w:pPr>
              <w:pStyle w:val="P68B1DB1-Normal32"/>
              <w:spacing w:after="120" w:line="240" w:lineRule="auto"/>
              <w:textAlignment w:val="baseline"/>
              <w:rPr>
                <w:noProof/>
              </w:rPr>
            </w:pPr>
            <w:r>
              <w:rPr>
                <w:noProof/>
              </w:rPr>
              <w:t xml:space="preserve">La législation prévoit: </w:t>
            </w:r>
          </w:p>
          <w:p w14:paraId="57A7D1B0" w14:textId="0D1F88FA" w:rsidR="0023462A" w:rsidRDefault="00A550FA">
            <w:pPr>
              <w:pStyle w:val="P68B1DB1-ListParagraph43"/>
              <w:numPr>
                <w:ilvl w:val="0"/>
                <w:numId w:val="154"/>
              </w:numPr>
              <w:spacing w:after="120" w:line="240" w:lineRule="auto"/>
              <w:contextualSpacing w:val="0"/>
              <w:textAlignment w:val="baseline"/>
              <w:rPr>
                <w:noProof/>
              </w:rPr>
            </w:pPr>
            <w:r>
              <w:rPr>
                <w:noProof/>
              </w:rPr>
              <w:t>que l’Autorité pour l’intégrité a le droit d’accéder aux données pertinentes relatives à ses procédures et que les autorités concernées par une demande de données de l’Autorité pour l’intégrité sont tenues de donner accès aux données ou de fournir les données dans un délai n’excédant pas 30 jours civils et que l’Autorité pour l’intégrité peut engager une action administrative en cas de non-respect si sa demande n’a pas été satisfaite.</w:t>
            </w:r>
          </w:p>
          <w:p w14:paraId="5C243250" w14:textId="77777777" w:rsidR="0023462A" w:rsidRDefault="00A550FA">
            <w:pPr>
              <w:pStyle w:val="P68B1DB1-ListParagraph43"/>
              <w:numPr>
                <w:ilvl w:val="0"/>
                <w:numId w:val="154"/>
              </w:numPr>
              <w:spacing w:after="120" w:line="240" w:lineRule="auto"/>
              <w:ind w:left="414" w:hanging="357"/>
              <w:contextualSpacing w:val="0"/>
              <w:textAlignment w:val="baseline"/>
              <w:rPr>
                <w:noProof/>
              </w:rPr>
            </w:pPr>
            <w:r>
              <w:rPr>
                <w:noProof/>
              </w:rPr>
              <w:t xml:space="preserve">que l'Autorité pour l'intégrité agit soit de sa propre initiative, soit sur la base de plaintes ou de rapports qu'elle reçoit. </w:t>
            </w:r>
          </w:p>
          <w:p w14:paraId="73AB1E0C" w14:textId="77777777" w:rsidR="0023462A" w:rsidRDefault="00A550FA">
            <w:pPr>
              <w:pStyle w:val="P68B1DB1-ListParagraph43"/>
              <w:numPr>
                <w:ilvl w:val="0"/>
                <w:numId w:val="154"/>
              </w:numPr>
              <w:spacing w:after="120" w:line="240" w:lineRule="auto"/>
              <w:ind w:left="414" w:hanging="357"/>
              <w:contextualSpacing w:val="0"/>
              <w:textAlignment w:val="baseline"/>
              <w:rPr>
                <w:noProof/>
              </w:rPr>
            </w:pPr>
            <w:r>
              <w:rPr>
                <w:noProof/>
              </w:rPr>
              <w:t>la base juridique et l’obligation pour l’autorité chargée de l’intégrité de mettre en place une interface pour les lanceurs d’alerte permettant une communication anonyme et confidentielle.</w:t>
            </w:r>
          </w:p>
          <w:p w14:paraId="39827737" w14:textId="67506A28" w:rsidR="0023462A" w:rsidRDefault="00A550FA">
            <w:pPr>
              <w:pStyle w:val="P68B1DB1-ListParagraph43"/>
              <w:numPr>
                <w:ilvl w:val="0"/>
                <w:numId w:val="154"/>
              </w:numPr>
              <w:spacing w:after="120" w:line="240" w:lineRule="auto"/>
              <w:ind w:left="414" w:hanging="357"/>
              <w:contextualSpacing w:val="0"/>
              <w:textAlignment w:val="baseline"/>
              <w:rPr>
                <w:noProof/>
              </w:rPr>
            </w:pPr>
            <w:r>
              <w:rPr>
                <w:noProof/>
              </w:rPr>
              <w:t>la base juridique et l’obligation pour l’Autorité pour l’intégrité d’établir, de mettre à jour et d’exploiter un registre des opérateurs économiques concernés par un jugement définitif de la juridiction ou une décision administrative définitive excluant ces opérateurs économiques des procédures de passation de marchés publics, l’Autorité pour l’intégrité signalant les cas suspects d’irrégularités aux autorités nationales et, le cas échéant, à l’OLAF.</w:t>
            </w:r>
          </w:p>
          <w:p w14:paraId="46948201" w14:textId="53345478" w:rsidR="0023462A" w:rsidRDefault="00A550FA">
            <w:pPr>
              <w:pStyle w:val="P68B1DB1-ListParagraph43"/>
              <w:numPr>
                <w:ilvl w:val="0"/>
                <w:numId w:val="154"/>
              </w:numPr>
              <w:spacing w:after="120" w:line="240" w:lineRule="auto"/>
              <w:ind w:left="414" w:hanging="357"/>
              <w:contextualSpacing w:val="0"/>
              <w:textAlignment w:val="baseline"/>
              <w:rPr>
                <w:noProof/>
              </w:rPr>
            </w:pPr>
            <w:r>
              <w:rPr>
                <w:noProof/>
              </w:rPr>
              <w:t>que l’Autorité pour l’intégrité a le pouvoir de continuer à exercer sa compétence même dans les cas où une mesure, une procédure ou un projet destiné à recevoir, en tout ou en partie, un soutien financier de l’Union européenne a été retiré ultérieurement du financement de l’Union européenne.</w:t>
            </w:r>
          </w:p>
        </w:tc>
      </w:tr>
      <w:tr w:rsidR="0023462A" w14:paraId="18B5112E" w14:textId="77777777" w:rsidTr="009C289F">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vAlign w:val="center"/>
          </w:tcPr>
          <w:p w14:paraId="052BDA0D" w14:textId="7482FD5F" w:rsidR="0023462A" w:rsidRDefault="00A550FA">
            <w:pPr>
              <w:pStyle w:val="P68B1DB1-Normal32"/>
              <w:spacing w:after="120" w:line="240" w:lineRule="auto"/>
              <w:rPr>
                <w:rFonts w:eastAsiaTheme="minorHAnsi"/>
                <w:noProof/>
              </w:rPr>
            </w:pPr>
            <w:r>
              <w:rPr>
                <w:noProof/>
              </w:rPr>
              <w:t>55</w:t>
            </w:r>
          </w:p>
        </w:tc>
        <w:tc>
          <w:tcPr>
            <w:tcW w:w="1559" w:type="dxa"/>
            <w:tcBorders>
              <w:top w:val="nil"/>
              <w:left w:val="nil"/>
              <w:bottom w:val="single" w:sz="4" w:space="0" w:color="auto"/>
              <w:right w:val="single" w:sz="4" w:space="0" w:color="auto"/>
            </w:tcBorders>
            <w:shd w:val="clear" w:color="auto" w:fill="C6EFCE"/>
            <w:noWrap/>
            <w:vAlign w:val="center"/>
          </w:tcPr>
          <w:p w14:paraId="7E58D3A0" w14:textId="792D7DCF" w:rsidR="0023462A" w:rsidRDefault="00A550FA">
            <w:pPr>
              <w:pStyle w:val="P68B1DB1-Normal32"/>
              <w:spacing w:after="120" w:line="240" w:lineRule="auto"/>
              <w:rPr>
                <w:noProof/>
              </w:rPr>
            </w:pPr>
            <w:r>
              <w:rPr>
                <w:noProof/>
              </w:rPr>
              <w:t>C8.R1 Entrée en vigueur de la législation relative à une autorité chargée de l'intégrité</w:t>
            </w:r>
          </w:p>
        </w:tc>
        <w:tc>
          <w:tcPr>
            <w:tcW w:w="709" w:type="dxa"/>
            <w:tcBorders>
              <w:top w:val="nil"/>
              <w:left w:val="nil"/>
              <w:bottom w:val="single" w:sz="4" w:space="0" w:color="auto"/>
              <w:right w:val="single" w:sz="4" w:space="0" w:color="auto"/>
            </w:tcBorders>
            <w:shd w:val="clear" w:color="auto" w:fill="C6EFCE"/>
            <w:noWrap/>
            <w:vAlign w:val="center"/>
          </w:tcPr>
          <w:p w14:paraId="30BB9617" w14:textId="520769AB" w:rsidR="0023462A" w:rsidRDefault="00A550FA">
            <w:pPr>
              <w:pStyle w:val="P68B1DB1-Normal32"/>
              <w:spacing w:after="120" w:line="240" w:lineRule="auto"/>
              <w:rPr>
                <w:rFonts w:eastAsiaTheme="minorHAnsi"/>
                <w:noProof/>
              </w:rPr>
            </w:pPr>
            <w:r>
              <w:rPr>
                <w:noProof/>
              </w:rPr>
              <w:t>Étape</w:t>
            </w:r>
          </w:p>
        </w:tc>
        <w:tc>
          <w:tcPr>
            <w:tcW w:w="1417" w:type="dxa"/>
            <w:tcBorders>
              <w:top w:val="nil"/>
              <w:left w:val="nil"/>
              <w:bottom w:val="single" w:sz="4" w:space="0" w:color="auto"/>
              <w:right w:val="single" w:sz="4" w:space="0" w:color="auto"/>
            </w:tcBorders>
            <w:shd w:val="clear" w:color="auto" w:fill="C6EFCE"/>
            <w:noWrap/>
            <w:vAlign w:val="center"/>
          </w:tcPr>
          <w:p w14:paraId="2779B8AA" w14:textId="016DA243" w:rsidR="0023462A" w:rsidRDefault="00A550FA">
            <w:pPr>
              <w:pStyle w:val="P68B1DB1-Normal32"/>
              <w:spacing w:after="120" w:line="240" w:lineRule="auto"/>
              <w:rPr>
                <w:rFonts w:eastAsiaTheme="minorHAnsi"/>
                <w:noProof/>
              </w:rPr>
            </w:pPr>
            <w:r>
              <w:rPr>
                <w:noProof/>
              </w:rPr>
              <w:t>Modifications législatives concernant les pouvoirs et compétences de l’Autorité pour l’intégrité en matière de vérification des déclarations de patrimoine</w:t>
            </w:r>
          </w:p>
        </w:tc>
        <w:tc>
          <w:tcPr>
            <w:tcW w:w="1701" w:type="dxa"/>
            <w:tcBorders>
              <w:top w:val="nil"/>
              <w:left w:val="nil"/>
              <w:bottom w:val="single" w:sz="4" w:space="0" w:color="auto"/>
              <w:right w:val="single" w:sz="4" w:space="0" w:color="auto"/>
            </w:tcBorders>
            <w:shd w:val="clear" w:color="auto" w:fill="C6EFCE"/>
            <w:noWrap/>
            <w:vAlign w:val="center"/>
          </w:tcPr>
          <w:p w14:paraId="03AE101A" w14:textId="2EF11BFE" w:rsidR="0023462A" w:rsidRDefault="00A550FA">
            <w:pPr>
              <w:pStyle w:val="P68B1DB1-Normal32"/>
              <w:spacing w:after="120" w:line="240" w:lineRule="auto"/>
              <w:rPr>
                <w:rFonts w:eastAsiaTheme="minorHAnsi"/>
                <w:noProof/>
              </w:rPr>
            </w:pPr>
            <w:r>
              <w:rPr>
                <w:noProof/>
              </w:rPr>
              <w:t>Disposition des modifications législatives indiquant leur entrée en vigueur</w:t>
            </w:r>
          </w:p>
        </w:tc>
        <w:tc>
          <w:tcPr>
            <w:tcW w:w="1418" w:type="dxa"/>
            <w:tcBorders>
              <w:top w:val="nil"/>
              <w:left w:val="nil"/>
              <w:bottom w:val="single" w:sz="4" w:space="0" w:color="auto"/>
              <w:right w:val="single" w:sz="4" w:space="0" w:color="auto"/>
            </w:tcBorders>
            <w:shd w:val="clear" w:color="auto" w:fill="C6EFCE"/>
            <w:noWrap/>
            <w:vAlign w:val="center"/>
          </w:tcPr>
          <w:p w14:paraId="47AC6DB7" w14:textId="77777777" w:rsidR="0023462A" w:rsidRDefault="0023462A">
            <w:pPr>
              <w:spacing w:after="120" w:line="240" w:lineRule="auto"/>
              <w:rPr>
                <w:rFonts w:ascii="Times New Roman" w:eastAsia="Calibri" w:hAnsi="Times New Roman" w:cs="Times New Roman"/>
                <w:noProof/>
                <w:sz w:val="18"/>
                <w:szCs w:val="18"/>
              </w:rPr>
            </w:pPr>
          </w:p>
        </w:tc>
        <w:tc>
          <w:tcPr>
            <w:tcW w:w="1417" w:type="dxa"/>
            <w:tcBorders>
              <w:top w:val="nil"/>
              <w:left w:val="nil"/>
              <w:bottom w:val="single" w:sz="4" w:space="0" w:color="auto"/>
              <w:right w:val="single" w:sz="4" w:space="0" w:color="auto"/>
            </w:tcBorders>
            <w:shd w:val="clear" w:color="auto" w:fill="C6EFCE"/>
            <w:noWrap/>
            <w:vAlign w:val="center"/>
          </w:tcPr>
          <w:p w14:paraId="3CF9EF21" w14:textId="77777777" w:rsidR="0023462A" w:rsidRDefault="0023462A">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vAlign w:val="center"/>
          </w:tcPr>
          <w:p w14:paraId="5B57A32C" w14:textId="77777777" w:rsidR="0023462A" w:rsidRDefault="0023462A">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4C1BB530" w14:textId="3EE62D37" w:rsidR="0023462A" w:rsidRDefault="00A550FA">
            <w:pPr>
              <w:pStyle w:val="P68B1DB1-Normal32"/>
              <w:spacing w:after="120" w:line="240" w:lineRule="auto"/>
              <w:rPr>
                <w:rFonts w:eastAsiaTheme="minorHAnsi"/>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5E02C2FC" w14:textId="1F615ACB" w:rsidR="0023462A" w:rsidRDefault="00A550FA">
            <w:pPr>
              <w:pStyle w:val="P68B1DB1-Normal32"/>
              <w:spacing w:after="120" w:line="240" w:lineRule="auto"/>
              <w:rPr>
                <w:rFonts w:eastAsiaTheme="minorHAnsi"/>
                <w:noProof/>
              </w:rPr>
            </w:pPr>
            <w:r>
              <w:rPr>
                <w:noProof/>
              </w:rPr>
              <w:t>2026</w:t>
            </w:r>
          </w:p>
        </w:tc>
        <w:tc>
          <w:tcPr>
            <w:tcW w:w="3713" w:type="dxa"/>
            <w:tcBorders>
              <w:top w:val="nil"/>
              <w:left w:val="nil"/>
              <w:bottom w:val="single" w:sz="4" w:space="0" w:color="auto"/>
              <w:right w:val="single" w:sz="4" w:space="0" w:color="auto"/>
            </w:tcBorders>
            <w:shd w:val="clear" w:color="auto" w:fill="C6EFCE"/>
            <w:noWrap/>
            <w:vAlign w:val="center"/>
          </w:tcPr>
          <w:p w14:paraId="74E4DFFB" w14:textId="77777777" w:rsidR="0023462A" w:rsidRDefault="00A550FA">
            <w:pPr>
              <w:pStyle w:val="P68B1DB1-Normal32"/>
              <w:spacing w:after="120" w:line="240" w:lineRule="auto"/>
              <w:ind w:left="52"/>
              <w:textAlignment w:val="baseline"/>
              <w:rPr>
                <w:noProof/>
              </w:rPr>
            </w:pPr>
            <w:r>
              <w:rPr>
                <w:noProof/>
              </w:rPr>
              <w:t>Entrée en vigueur de la législation qui confère à l'Autorité pour l'intégrité:</w:t>
            </w:r>
          </w:p>
          <w:p w14:paraId="0B718FE8" w14:textId="77777777" w:rsidR="0023462A" w:rsidRDefault="00A550FA">
            <w:pPr>
              <w:pStyle w:val="P68B1DB1-ListParagraph43"/>
              <w:numPr>
                <w:ilvl w:val="0"/>
                <w:numId w:val="19"/>
              </w:numPr>
              <w:spacing w:after="120" w:line="240" w:lineRule="auto"/>
              <w:ind w:left="412"/>
              <w:contextualSpacing w:val="0"/>
              <w:textAlignment w:val="baseline"/>
              <w:rPr>
                <w:rFonts w:eastAsia="Times New Roman"/>
                <w:noProof/>
              </w:rPr>
            </w:pPr>
            <w:r>
              <w:rPr>
                <w:noProof/>
              </w:rPr>
              <w:t xml:space="preserve">la responsabilité et la compétence juridiques exclusives pour vérifier directement la véracité des déclarations de patrimoine des hauts dirigeants politiques qui ne sont pas membres de l’Assemblée nationale (personnes relevant du champ d’application de l’article 183 de la loi CXXV de 2018) ainsi que les déclarations de patrimoine de leurs proches vivant dans le même ménage. </w:t>
            </w:r>
          </w:p>
          <w:p w14:paraId="1EAA642A" w14:textId="77777777" w:rsidR="0023462A" w:rsidRDefault="00A550FA">
            <w:pPr>
              <w:pStyle w:val="P68B1DB1-ListParagraph43"/>
              <w:numPr>
                <w:ilvl w:val="0"/>
                <w:numId w:val="19"/>
              </w:numPr>
              <w:spacing w:after="120" w:line="240" w:lineRule="auto"/>
              <w:ind w:left="412"/>
              <w:contextualSpacing w:val="0"/>
              <w:textAlignment w:val="baseline"/>
              <w:rPr>
                <w:rFonts w:eastAsia="Times New Roman"/>
                <w:noProof/>
              </w:rPr>
            </w:pPr>
            <w:r>
              <w:rPr>
                <w:noProof/>
              </w:rPr>
              <w:t xml:space="preserve">le pouvoir de vérifier directement les déclarations publiques de patrimoine d’autres fonctionnaires à haut risque, dont la loi exige que les déclarations de patrimoine soient rendues publiques; </w:t>
            </w:r>
          </w:p>
          <w:p w14:paraId="09D17188" w14:textId="77777777" w:rsidR="0023462A" w:rsidRDefault="00A550FA">
            <w:pPr>
              <w:pStyle w:val="P68B1DB1-ListParagraph43"/>
              <w:numPr>
                <w:ilvl w:val="0"/>
                <w:numId w:val="19"/>
              </w:numPr>
              <w:spacing w:after="120" w:line="240" w:lineRule="auto"/>
              <w:ind w:left="412"/>
              <w:contextualSpacing w:val="0"/>
              <w:textAlignment w:val="baseline"/>
              <w:rPr>
                <w:rFonts w:eastAsia="Times New Roman"/>
                <w:noProof/>
              </w:rPr>
            </w:pPr>
            <w:r>
              <w:rPr>
                <w:noProof/>
              </w:rPr>
              <w:t>le pouvoir de demander aux organismes compétents de procéder à la vérification de la véracité des déclarations de patrimoine des fonctionnaires à haut risque, dont la loi n’exige pas que les déclarations de patrimoine soient rendues publiques, et d’obtenir le résultat de cette vérification;</w:t>
            </w:r>
          </w:p>
          <w:p w14:paraId="42FD32D1" w14:textId="75FFF66B" w:rsidR="0023462A" w:rsidRDefault="00A550FA">
            <w:pPr>
              <w:pStyle w:val="P68B1DB1-ListParagraph43"/>
              <w:numPr>
                <w:ilvl w:val="0"/>
                <w:numId w:val="19"/>
              </w:numPr>
              <w:spacing w:after="120" w:line="240" w:lineRule="auto"/>
              <w:ind w:left="412"/>
              <w:contextualSpacing w:val="0"/>
              <w:textAlignment w:val="baseline"/>
              <w:rPr>
                <w:rFonts w:eastAsia="Times New Roman"/>
                <w:noProof/>
              </w:rPr>
            </w:pPr>
            <w:r>
              <w:rPr>
                <w:noProof/>
              </w:rPr>
              <w:t xml:space="preserve">une connexion directe aux bases de données et aux registres qu’elle juge nécessaires pour vérifier la véracité des informations contenues dans les déclarations de patrimoine, ou la possibilité d’accéder aux données pertinentes directement ou au moyen d’une demande de données aux autorités concernées, qui sont tenues de donner accès aux données ou de fournir les données et que, si sa demande n’a pas été satisfaite dans le délai imparti, l’autorité chargée de l’intégrité peut engager une action administrative en cas de non-respect. </w:t>
            </w:r>
          </w:p>
          <w:p w14:paraId="06934F8D" w14:textId="77777777" w:rsidR="0023462A" w:rsidRDefault="00A550FA">
            <w:pPr>
              <w:pStyle w:val="P68B1DB1-Normal32"/>
              <w:spacing w:after="120" w:line="240" w:lineRule="auto"/>
              <w:ind w:left="52"/>
              <w:textAlignment w:val="baseline"/>
              <w:rPr>
                <w:rFonts w:eastAsia="Times New Roman"/>
                <w:noProof/>
              </w:rPr>
            </w:pPr>
            <w:r>
              <w:rPr>
                <w:noProof/>
              </w:rPr>
              <w:t>La législation prévoit qu’une telle procédure de vérification peut être engagée par l’Autorité pour l’intégrité de sa propre initiative, de sa propre suspicion ou sur plainte de toute personne présentant une réclamation formelle indiquant un élément prétendument incorrect dans une déclaration de patrimoine.</w:t>
            </w:r>
          </w:p>
          <w:p w14:paraId="5C5F7C9C" w14:textId="613AC2A7" w:rsidR="0023462A" w:rsidRDefault="00A550FA">
            <w:pPr>
              <w:pStyle w:val="P68B1DB1-Normal32"/>
              <w:spacing w:after="120" w:line="240" w:lineRule="auto"/>
              <w:ind w:left="52"/>
              <w:textAlignment w:val="baseline"/>
              <w:rPr>
                <w:rFonts w:eastAsia="Times New Roman"/>
                <w:noProof/>
              </w:rPr>
            </w:pPr>
            <w:r>
              <w:rPr>
                <w:noProof/>
              </w:rPr>
              <w:t>En ce qui concerne le Président de la République; les membres de l’Assemblée nationale, les défenseurs de la minorité nationale et, lorsque cette personne n’est pas membre de l’Assemblée nationale, le directeur de l’Assemblée nationale; les maires et le maire de Budapest, les représentants des collectivités locales et les représentants des minorités nationales autonomes; les membres de la Cour constitutionnelle; le commissaire aux droits fondamentaux et ses adjoints; le président et les vice-présidents de la Cour des comptes; le président et les vice-présidents de la Curie; le président et les vice-présidents de l’Office national de la magistrature; les juges; le procureur général et son adjoint; le gouverneur et les vice-gouverneurs de la Banque nationale hongroise, les membres du Conseil monétaire et les membres du conseil de surveillance de la Banque nationale hongroise; le président du conseil budgétaire; le président et les membres du Comité national de commémoration; les membres du Conseil des médias; le Premier ministre, les ministres, les secrétaires d’État, le directeur politique du Premier ministre, le conseiller principal à la sécurité nationale du Premier ministre s’ils n’ont pas de mandat de député à l’Assemblée nationale; commissaire du gouvernement du comté, commissaire du gouvernement, commissaire du Premier ministre, commissaire ministériel; le chef ou le chef adjoint d’un organe de régulation indépendant ou d’un organe autonome de l’administration publique, ou un membre de l’un de ses organes collégiaux de décision, dans le cas où l’Autorité pour l’intégrité constate des irrégularités, y compris le fait que les personnes faisant l’objet de l’enquête ont délibérément communiqué de manière fausse ou mensongère des données importantes dans sa déclaration de patrimoine, notamment en dissimulant sa situation financière ou ses revenus réels, l’Autorité pour l’intégrité engage une procédure devant l’organisme national compétent qui justifie dûment sa position publiquement si elle n’est pas d’accord avec les conclusions de l’Autorité pour l’intégrité.</w:t>
            </w:r>
          </w:p>
          <w:p w14:paraId="563C42D7" w14:textId="77777777" w:rsidR="0023462A" w:rsidRDefault="00A550FA">
            <w:pPr>
              <w:pStyle w:val="P68B1DB1-Normal32"/>
              <w:spacing w:after="120" w:line="240" w:lineRule="auto"/>
              <w:ind w:left="81"/>
              <w:textAlignment w:val="baseline"/>
              <w:rPr>
                <w:noProof/>
              </w:rPr>
            </w:pPr>
            <w:r>
              <w:rPr>
                <w:noProof/>
              </w:rPr>
              <w:t>Aux fins des pouvoirs de vérification exclusifs ou non exclusifs de l’Autorité pour l’intégrité, les agents à haut risque comprennent les éléments suivants: le Président, les membres du Parlement, les hauts responsables politiques, les cadres politiques, les personnes ayant le statut de commissaire, les conseillers politiques, les hauts conseillers politiques, les chefs de cabinet, les chefs d’organismes de réglementation indépendants et d’organes administratifs autonomes, les gouverneurs régionaux, les maires de Budapest et de villes ayant le statut de comté, les juges, les procureurs, les membres des organes de gouvernance judiciaire et des procureurs, les chefs de département des services répressifs ou des services civils de sécurité nationale et les hauts dirigeants d’entreprises publiques.</w:t>
            </w:r>
          </w:p>
          <w:p w14:paraId="2AFF2181" w14:textId="60DD0799" w:rsidR="0023462A" w:rsidRDefault="00A550FA">
            <w:pPr>
              <w:pStyle w:val="P68B1DB1-Normal32"/>
              <w:spacing w:after="120" w:line="240" w:lineRule="auto"/>
              <w:ind w:left="52"/>
              <w:textAlignment w:val="baseline"/>
              <w:rPr>
                <w:rFonts w:eastAsiaTheme="minorHAnsi"/>
                <w:noProof/>
              </w:rPr>
            </w:pPr>
            <w:r>
              <w:rPr>
                <w:noProof/>
              </w:rPr>
              <w:t>Pour les personnes qui relèvent du champ d’application de l’article 183 de la loi CXXV de 2018, les pouvoirs susmentionnés comprennent également les pouvoirs suivants: i) que l’Autorité pour l’intégrité a la possibilité de donner instruction à la personne dont la déclaration de patrimoine fait l’objet d’une vérification par l’Autorité pour l’intégrité de présenter des données et des documents justificatifs concernant le contenu de sa déclaration de patrimoine; et ii) que l’autorité chargée de l’intégrité puisse donner instruction à une personne dont l’autorité chargée de l’intégrité a constaté qu’elle avait commis une erreur de corriger la déclaration de patrimoine.</w:t>
            </w:r>
          </w:p>
        </w:tc>
      </w:tr>
      <w:tr w:rsidR="0023462A" w14:paraId="594F95B3" w14:textId="77777777" w:rsidTr="009C289F">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vAlign w:val="center"/>
          </w:tcPr>
          <w:p w14:paraId="1A795C17" w14:textId="1AB9B409" w:rsidR="0023462A" w:rsidRDefault="00A550FA">
            <w:pPr>
              <w:pStyle w:val="P68B1DB1-Normal32"/>
              <w:spacing w:after="120" w:line="240" w:lineRule="auto"/>
              <w:ind w:left="52"/>
              <w:textAlignment w:val="baseline"/>
              <w:rPr>
                <w:noProof/>
              </w:rPr>
            </w:pPr>
            <w:r>
              <w:rPr>
                <w:noProof/>
              </w:rPr>
              <w:t>56</w:t>
            </w:r>
          </w:p>
          <w:p w14:paraId="1C360A3C" w14:textId="77777777" w:rsidR="0023462A" w:rsidRDefault="0023462A">
            <w:pPr>
              <w:spacing w:after="120" w:line="240" w:lineRule="auto"/>
              <w:rPr>
                <w:rFonts w:ascii="Times New Roman" w:eastAsiaTheme="minorHAnsi" w:hAnsi="Times New Roman" w:cs="Times New Roman"/>
                <w:noProof/>
                <w:sz w:val="18"/>
                <w:szCs w:val="18"/>
              </w:rPr>
            </w:pPr>
          </w:p>
        </w:tc>
        <w:tc>
          <w:tcPr>
            <w:tcW w:w="1559" w:type="dxa"/>
            <w:tcBorders>
              <w:top w:val="nil"/>
              <w:left w:val="nil"/>
              <w:bottom w:val="single" w:sz="4" w:space="0" w:color="auto"/>
              <w:right w:val="single" w:sz="4" w:space="0" w:color="auto"/>
            </w:tcBorders>
            <w:shd w:val="clear" w:color="auto" w:fill="C6EFCE"/>
            <w:noWrap/>
            <w:vAlign w:val="center"/>
          </w:tcPr>
          <w:p w14:paraId="60335525" w14:textId="7E3769FD" w:rsidR="0023462A" w:rsidRDefault="00A550FA">
            <w:pPr>
              <w:pStyle w:val="P68B1DB1-Normal32"/>
              <w:spacing w:after="120" w:line="240" w:lineRule="auto"/>
              <w:rPr>
                <w:noProof/>
              </w:rPr>
            </w:pPr>
            <w:r>
              <w:rPr>
                <w:noProof/>
              </w:rPr>
              <w:t>C8.R2 Participation à la coopération renforcée concernant la création du Parquet européen</w:t>
            </w:r>
          </w:p>
        </w:tc>
        <w:tc>
          <w:tcPr>
            <w:tcW w:w="709" w:type="dxa"/>
            <w:tcBorders>
              <w:top w:val="nil"/>
              <w:left w:val="nil"/>
              <w:bottom w:val="single" w:sz="4" w:space="0" w:color="auto"/>
              <w:right w:val="single" w:sz="4" w:space="0" w:color="auto"/>
            </w:tcBorders>
            <w:shd w:val="clear" w:color="auto" w:fill="C6EFCE"/>
            <w:noWrap/>
            <w:vAlign w:val="center"/>
          </w:tcPr>
          <w:p w14:paraId="2C5652DF" w14:textId="5CFF5B91" w:rsidR="0023462A" w:rsidRDefault="00A550FA">
            <w:pPr>
              <w:pStyle w:val="P68B1DB1-Normal32"/>
              <w:spacing w:after="120" w:line="240" w:lineRule="auto"/>
              <w:rPr>
                <w:rFonts w:eastAsiaTheme="minorHAnsi"/>
                <w:noProof/>
              </w:rPr>
            </w:pPr>
            <w:r>
              <w:rPr>
                <w:noProof/>
              </w:rPr>
              <w:t>Étape</w:t>
            </w:r>
          </w:p>
        </w:tc>
        <w:tc>
          <w:tcPr>
            <w:tcW w:w="1417" w:type="dxa"/>
            <w:tcBorders>
              <w:top w:val="nil"/>
              <w:left w:val="nil"/>
              <w:bottom w:val="single" w:sz="4" w:space="0" w:color="auto"/>
              <w:right w:val="single" w:sz="4" w:space="0" w:color="auto"/>
            </w:tcBorders>
            <w:shd w:val="clear" w:color="auto" w:fill="C6EFCE"/>
            <w:noWrap/>
            <w:vAlign w:val="center"/>
          </w:tcPr>
          <w:p w14:paraId="06B5F41B" w14:textId="4B68A1DE" w:rsidR="0023462A" w:rsidRDefault="00A550FA">
            <w:pPr>
              <w:pStyle w:val="P68B1DB1-Normal32"/>
              <w:spacing w:after="120" w:line="240" w:lineRule="auto"/>
              <w:rPr>
                <w:rFonts w:eastAsiaTheme="minorHAnsi"/>
                <w:noProof/>
              </w:rPr>
            </w:pPr>
            <w:r>
              <w:rPr>
                <w:noProof/>
              </w:rPr>
              <w:t>Participation à une coopération renforcée liée au Parquet européen</w:t>
            </w:r>
          </w:p>
        </w:tc>
        <w:tc>
          <w:tcPr>
            <w:tcW w:w="1701" w:type="dxa"/>
            <w:tcBorders>
              <w:top w:val="nil"/>
              <w:left w:val="nil"/>
              <w:bottom w:val="single" w:sz="4" w:space="0" w:color="auto"/>
              <w:right w:val="single" w:sz="4" w:space="0" w:color="auto"/>
            </w:tcBorders>
            <w:shd w:val="clear" w:color="auto" w:fill="C6EFCE"/>
            <w:noWrap/>
            <w:vAlign w:val="center"/>
          </w:tcPr>
          <w:p w14:paraId="0D62610A" w14:textId="0F9E4676" w:rsidR="0023462A" w:rsidRDefault="00A550FA">
            <w:pPr>
              <w:pStyle w:val="P68B1DB1-Normal32"/>
              <w:spacing w:after="120" w:line="240" w:lineRule="auto"/>
              <w:rPr>
                <w:rFonts w:eastAsiaTheme="minorHAnsi"/>
                <w:noProof/>
              </w:rPr>
            </w:pPr>
            <w:r>
              <w:rPr>
                <w:noProof/>
              </w:rPr>
              <w:t>Réception de la notification de l’intention de la Commission européenne de participer</w:t>
            </w:r>
          </w:p>
        </w:tc>
        <w:tc>
          <w:tcPr>
            <w:tcW w:w="1418" w:type="dxa"/>
            <w:tcBorders>
              <w:top w:val="nil"/>
              <w:left w:val="nil"/>
              <w:bottom w:val="single" w:sz="4" w:space="0" w:color="auto"/>
              <w:right w:val="single" w:sz="4" w:space="0" w:color="auto"/>
            </w:tcBorders>
            <w:shd w:val="clear" w:color="auto" w:fill="C6EFCE"/>
            <w:noWrap/>
            <w:vAlign w:val="center"/>
          </w:tcPr>
          <w:p w14:paraId="12317D13" w14:textId="77777777" w:rsidR="0023462A" w:rsidRDefault="0023462A">
            <w:pPr>
              <w:spacing w:after="120" w:line="240" w:lineRule="auto"/>
              <w:rPr>
                <w:rFonts w:ascii="Times New Roman" w:eastAsia="Calibri" w:hAnsi="Times New Roman" w:cs="Times New Roman"/>
                <w:noProof/>
                <w:sz w:val="18"/>
                <w:szCs w:val="18"/>
              </w:rPr>
            </w:pPr>
          </w:p>
        </w:tc>
        <w:tc>
          <w:tcPr>
            <w:tcW w:w="1417" w:type="dxa"/>
            <w:tcBorders>
              <w:top w:val="nil"/>
              <w:left w:val="nil"/>
              <w:bottom w:val="single" w:sz="4" w:space="0" w:color="auto"/>
              <w:right w:val="single" w:sz="4" w:space="0" w:color="auto"/>
            </w:tcBorders>
            <w:shd w:val="clear" w:color="auto" w:fill="C6EFCE"/>
            <w:noWrap/>
            <w:vAlign w:val="center"/>
          </w:tcPr>
          <w:p w14:paraId="0F97FD79" w14:textId="77777777" w:rsidR="0023462A" w:rsidRDefault="0023462A">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vAlign w:val="center"/>
          </w:tcPr>
          <w:p w14:paraId="54E3CDF1" w14:textId="77777777" w:rsidR="0023462A" w:rsidRDefault="0023462A">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42607F3A" w14:textId="652449EB" w:rsidR="0023462A" w:rsidRDefault="00A550FA">
            <w:pPr>
              <w:pStyle w:val="P68B1DB1-Normal32"/>
              <w:spacing w:after="120" w:line="240" w:lineRule="auto"/>
              <w:rPr>
                <w:rFonts w:eastAsiaTheme="minorHAnsi"/>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0AFDA466" w14:textId="3C34A8B8" w:rsidR="0023462A" w:rsidRDefault="00A550FA">
            <w:pPr>
              <w:pStyle w:val="P68B1DB1-Normal32"/>
              <w:spacing w:after="120" w:line="240" w:lineRule="auto"/>
              <w:rPr>
                <w:rFonts w:eastAsiaTheme="minorHAnsi"/>
                <w:noProof/>
              </w:rPr>
            </w:pPr>
            <w:r>
              <w:rPr>
                <w:noProof/>
              </w:rPr>
              <w:t>2026</w:t>
            </w:r>
          </w:p>
        </w:tc>
        <w:tc>
          <w:tcPr>
            <w:tcW w:w="3713" w:type="dxa"/>
            <w:tcBorders>
              <w:top w:val="nil"/>
              <w:left w:val="nil"/>
              <w:bottom w:val="single" w:sz="4" w:space="0" w:color="auto"/>
              <w:right w:val="single" w:sz="4" w:space="0" w:color="auto"/>
            </w:tcBorders>
            <w:shd w:val="clear" w:color="auto" w:fill="C6EFCE"/>
            <w:noWrap/>
          </w:tcPr>
          <w:p w14:paraId="3F9885BE" w14:textId="4B396758" w:rsidR="0023462A" w:rsidRDefault="00A550FA">
            <w:pPr>
              <w:pStyle w:val="P68B1DB1-Normal32"/>
              <w:spacing w:after="120" w:line="240" w:lineRule="auto"/>
              <w:ind w:left="52"/>
              <w:textAlignment w:val="baseline"/>
              <w:rPr>
                <w:rFonts w:eastAsiaTheme="minorHAnsi"/>
                <w:noProof/>
              </w:rPr>
            </w:pPr>
            <w:r>
              <w:rPr>
                <w:noProof/>
              </w:rPr>
              <w:t>La notification de l’intention de participer à la coopération renforcée concernant la création du Parquet européen est soumise à la Commission européenne. La notification comprend la demande que le règlement (UE) 2017/1939 s’applique en Hongrie en ce qui concerne les infractions relevant de la compétence du Parquet européen commises avant que la Hongrie n’ait été autorisée à participer à la coopération renforcée le 1er juin 2021 ou après cette date.</w:t>
            </w:r>
          </w:p>
        </w:tc>
      </w:tr>
      <w:tr w:rsidR="0023462A" w14:paraId="210B6CBF" w14:textId="77777777" w:rsidTr="009C289F">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vAlign w:val="center"/>
          </w:tcPr>
          <w:p w14:paraId="7BF07484" w14:textId="66622532" w:rsidR="0023462A" w:rsidRDefault="00A550FA">
            <w:pPr>
              <w:pStyle w:val="P68B1DB1-Normal32"/>
              <w:spacing w:after="120" w:line="240" w:lineRule="auto"/>
              <w:rPr>
                <w:rFonts w:eastAsiaTheme="minorHAnsi"/>
                <w:noProof/>
              </w:rPr>
            </w:pPr>
            <w:r>
              <w:rPr>
                <w:noProof/>
              </w:rPr>
              <w:t>57</w:t>
            </w:r>
          </w:p>
        </w:tc>
        <w:tc>
          <w:tcPr>
            <w:tcW w:w="1559" w:type="dxa"/>
            <w:tcBorders>
              <w:top w:val="nil"/>
              <w:left w:val="nil"/>
              <w:bottom w:val="single" w:sz="4" w:space="0" w:color="auto"/>
              <w:right w:val="single" w:sz="4" w:space="0" w:color="auto"/>
            </w:tcBorders>
            <w:shd w:val="clear" w:color="auto" w:fill="C6EFCE"/>
            <w:noWrap/>
            <w:vAlign w:val="center"/>
          </w:tcPr>
          <w:p w14:paraId="52B2D36E" w14:textId="4601C448" w:rsidR="0023462A" w:rsidRDefault="00A550FA">
            <w:pPr>
              <w:pStyle w:val="P68B1DB1-Normal32"/>
              <w:spacing w:after="120" w:line="240" w:lineRule="auto"/>
              <w:rPr>
                <w:noProof/>
              </w:rPr>
            </w:pPr>
            <w:r>
              <w:rPr>
                <w:noProof/>
              </w:rPr>
              <w:t xml:space="preserve">C8.R3 Entrée en vigueur des actes juridiques relatifs à une task force de lutte contre la corruption </w:t>
            </w:r>
          </w:p>
        </w:tc>
        <w:tc>
          <w:tcPr>
            <w:tcW w:w="709" w:type="dxa"/>
            <w:tcBorders>
              <w:top w:val="nil"/>
              <w:left w:val="nil"/>
              <w:bottom w:val="single" w:sz="4" w:space="0" w:color="auto"/>
              <w:right w:val="single" w:sz="4" w:space="0" w:color="auto"/>
            </w:tcBorders>
            <w:shd w:val="clear" w:color="auto" w:fill="C6EFCE"/>
            <w:noWrap/>
            <w:vAlign w:val="center"/>
          </w:tcPr>
          <w:p w14:paraId="3165F6F5" w14:textId="46A27700" w:rsidR="0023462A" w:rsidRDefault="00A550FA">
            <w:pPr>
              <w:pStyle w:val="P68B1DB1-Normal32"/>
              <w:spacing w:after="120" w:line="240" w:lineRule="auto"/>
              <w:rPr>
                <w:rFonts w:eastAsiaTheme="minorHAnsi"/>
                <w:noProof/>
              </w:rPr>
            </w:pPr>
            <w:r>
              <w:rPr>
                <w:noProof/>
              </w:rPr>
              <w:t>Étape </w:t>
            </w:r>
          </w:p>
        </w:tc>
        <w:tc>
          <w:tcPr>
            <w:tcW w:w="1417" w:type="dxa"/>
            <w:tcBorders>
              <w:top w:val="nil"/>
              <w:left w:val="nil"/>
              <w:bottom w:val="single" w:sz="4" w:space="0" w:color="auto"/>
              <w:right w:val="single" w:sz="4" w:space="0" w:color="auto"/>
            </w:tcBorders>
            <w:shd w:val="clear" w:color="auto" w:fill="C6EFCE"/>
            <w:noWrap/>
            <w:vAlign w:val="center"/>
          </w:tcPr>
          <w:p w14:paraId="2FBFE03C" w14:textId="61BC1AC2" w:rsidR="0023462A" w:rsidRDefault="00A550FA">
            <w:pPr>
              <w:pStyle w:val="P68B1DB1-Normal32"/>
              <w:spacing w:after="120" w:line="240" w:lineRule="auto"/>
              <w:rPr>
                <w:rFonts w:eastAsiaTheme="minorHAnsi"/>
                <w:noProof/>
              </w:rPr>
            </w:pPr>
            <w:r>
              <w:rPr>
                <w:noProof/>
              </w:rPr>
              <w:t xml:space="preserve">Entrée en vigueur des actes juridiques relatifs à une task force de lutte contre la corruption </w:t>
            </w:r>
          </w:p>
        </w:tc>
        <w:tc>
          <w:tcPr>
            <w:tcW w:w="1701" w:type="dxa"/>
            <w:tcBorders>
              <w:top w:val="nil"/>
              <w:left w:val="nil"/>
              <w:bottom w:val="single" w:sz="4" w:space="0" w:color="auto"/>
              <w:right w:val="single" w:sz="4" w:space="0" w:color="auto"/>
            </w:tcBorders>
            <w:shd w:val="clear" w:color="auto" w:fill="C6EFCE"/>
            <w:noWrap/>
            <w:vAlign w:val="center"/>
          </w:tcPr>
          <w:p w14:paraId="6F0A1F5B" w14:textId="085B6390" w:rsidR="0023462A" w:rsidRDefault="00A550FA">
            <w:pPr>
              <w:pStyle w:val="P68B1DB1-Normal32"/>
              <w:spacing w:after="120" w:line="240" w:lineRule="auto"/>
              <w:rPr>
                <w:rFonts w:eastAsiaTheme="minorHAnsi"/>
                <w:noProof/>
              </w:rPr>
            </w:pPr>
            <w:r>
              <w:rPr>
                <w:noProof/>
              </w:rPr>
              <w:t>Disposition de la législation indiquant l'entrée en vigueur</w:t>
            </w:r>
          </w:p>
        </w:tc>
        <w:tc>
          <w:tcPr>
            <w:tcW w:w="1418" w:type="dxa"/>
            <w:tcBorders>
              <w:top w:val="nil"/>
              <w:left w:val="nil"/>
              <w:bottom w:val="single" w:sz="4" w:space="0" w:color="auto"/>
              <w:right w:val="single" w:sz="4" w:space="0" w:color="auto"/>
            </w:tcBorders>
            <w:shd w:val="clear" w:color="auto" w:fill="C6EFCE"/>
            <w:noWrap/>
            <w:vAlign w:val="center"/>
          </w:tcPr>
          <w:p w14:paraId="7261E3C9" w14:textId="3507520C" w:rsidR="0023462A" w:rsidRDefault="00A550FA">
            <w:pPr>
              <w:pStyle w:val="P68B1DB1-Normal32"/>
              <w:spacing w:after="120" w:line="240" w:lineRule="auto"/>
              <w:rPr>
                <w:rFonts w:eastAsia="Calibri"/>
                <w:noProof/>
              </w:rPr>
            </w:pPr>
            <w:r>
              <w:rPr>
                <w:noProof/>
              </w:rPr>
              <w:t xml:space="preserve"> </w:t>
            </w:r>
          </w:p>
        </w:tc>
        <w:tc>
          <w:tcPr>
            <w:tcW w:w="1417" w:type="dxa"/>
            <w:tcBorders>
              <w:top w:val="nil"/>
              <w:left w:val="nil"/>
              <w:bottom w:val="single" w:sz="4" w:space="0" w:color="auto"/>
              <w:right w:val="single" w:sz="4" w:space="0" w:color="auto"/>
            </w:tcBorders>
            <w:shd w:val="clear" w:color="auto" w:fill="C6EFCE"/>
            <w:noWrap/>
            <w:vAlign w:val="center"/>
          </w:tcPr>
          <w:p w14:paraId="306C8E6E" w14:textId="74E35BD1" w:rsidR="0023462A" w:rsidRDefault="00A550FA">
            <w:pPr>
              <w:pStyle w:val="P68B1DB1-Normal32"/>
              <w:spacing w:after="120" w:line="240" w:lineRule="auto"/>
              <w:rPr>
                <w:rFonts w:eastAsia="Calibri"/>
                <w:noProof/>
              </w:rPr>
            </w:pPr>
            <w:r>
              <w:rPr>
                <w:noProof/>
              </w:rPr>
              <w:t xml:space="preserve"> </w:t>
            </w:r>
          </w:p>
        </w:tc>
        <w:tc>
          <w:tcPr>
            <w:tcW w:w="993" w:type="dxa"/>
            <w:tcBorders>
              <w:top w:val="nil"/>
              <w:left w:val="nil"/>
              <w:bottom w:val="single" w:sz="4" w:space="0" w:color="auto"/>
              <w:right w:val="single" w:sz="4" w:space="0" w:color="auto"/>
            </w:tcBorders>
            <w:shd w:val="clear" w:color="auto" w:fill="C6EFCE"/>
            <w:noWrap/>
            <w:vAlign w:val="center"/>
          </w:tcPr>
          <w:p w14:paraId="4FA0E7E7" w14:textId="51464960" w:rsidR="0023462A" w:rsidRDefault="00A550FA">
            <w:pPr>
              <w:pStyle w:val="P68B1DB1-Normal32"/>
              <w:spacing w:after="120" w:line="240" w:lineRule="auto"/>
              <w:rPr>
                <w:rFonts w:eastAsia="Calibri"/>
                <w:noProof/>
              </w:rPr>
            </w:pPr>
            <w:r>
              <w:rPr>
                <w:noProof/>
              </w:rPr>
              <w:t xml:space="preserve"> </w:t>
            </w:r>
          </w:p>
        </w:tc>
        <w:tc>
          <w:tcPr>
            <w:tcW w:w="1134" w:type="dxa"/>
            <w:tcBorders>
              <w:top w:val="nil"/>
              <w:left w:val="nil"/>
              <w:bottom w:val="single" w:sz="4" w:space="0" w:color="auto"/>
              <w:right w:val="single" w:sz="4" w:space="0" w:color="auto"/>
            </w:tcBorders>
            <w:shd w:val="clear" w:color="auto" w:fill="C6EFCE"/>
            <w:noWrap/>
            <w:vAlign w:val="center"/>
          </w:tcPr>
          <w:p w14:paraId="6AED6FDE" w14:textId="4A2DF60A" w:rsidR="0023462A" w:rsidRDefault="00A550FA">
            <w:pPr>
              <w:pStyle w:val="P68B1DB1-Normal32"/>
              <w:spacing w:after="120" w:line="240" w:lineRule="auto"/>
              <w:rPr>
                <w:rFonts w:eastAsiaTheme="minorHAnsi"/>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31E98784" w14:textId="49BAB20C" w:rsidR="0023462A" w:rsidRDefault="00A550FA">
            <w:pPr>
              <w:pStyle w:val="P68B1DB1-Normal32"/>
              <w:spacing w:after="120" w:line="240" w:lineRule="auto"/>
              <w:rPr>
                <w:rFonts w:eastAsiaTheme="minorHAnsi"/>
                <w:noProof/>
              </w:rPr>
            </w:pPr>
            <w:r>
              <w:rPr>
                <w:noProof/>
              </w:rPr>
              <w:t>2026</w:t>
            </w:r>
          </w:p>
        </w:tc>
        <w:tc>
          <w:tcPr>
            <w:tcW w:w="3713" w:type="dxa"/>
            <w:tcBorders>
              <w:top w:val="nil"/>
              <w:left w:val="nil"/>
              <w:bottom w:val="single" w:sz="4" w:space="0" w:color="auto"/>
              <w:right w:val="single" w:sz="4" w:space="0" w:color="auto"/>
            </w:tcBorders>
            <w:shd w:val="clear" w:color="auto" w:fill="C6EFCE"/>
            <w:noWrap/>
            <w:vAlign w:val="center"/>
          </w:tcPr>
          <w:p w14:paraId="49AF6CC0" w14:textId="77777777" w:rsidR="0023462A" w:rsidRDefault="00A550FA">
            <w:pPr>
              <w:pStyle w:val="P68B1DB1-Normal32"/>
              <w:spacing w:after="120" w:line="240" w:lineRule="auto"/>
              <w:ind w:left="52"/>
              <w:textAlignment w:val="baseline"/>
              <w:rPr>
                <w:rFonts w:eastAsia="Times New Roman"/>
                <w:noProof/>
              </w:rPr>
            </w:pPr>
            <w:r>
              <w:rPr>
                <w:noProof/>
              </w:rPr>
              <w:t xml:space="preserve">Entrée en vigueur d'une législation prévoyant la création légale de l'Équipe spéciale de lutte contre la corruption. </w:t>
            </w:r>
          </w:p>
          <w:p w14:paraId="69EBD212" w14:textId="77777777" w:rsidR="0023462A" w:rsidRDefault="00A550FA">
            <w:pPr>
              <w:pStyle w:val="P68B1DB1-Normal32"/>
              <w:spacing w:after="120" w:line="240" w:lineRule="auto"/>
              <w:ind w:left="52"/>
              <w:textAlignment w:val="baseline"/>
              <w:rPr>
                <w:noProof/>
              </w:rPr>
            </w:pPr>
            <w:r>
              <w:rPr>
                <w:noProof/>
              </w:rPr>
              <w:t xml:space="preserve">La législation prévoit que: </w:t>
            </w:r>
          </w:p>
          <w:p w14:paraId="16E6F1F4" w14:textId="77777777" w:rsidR="0023462A" w:rsidRDefault="00A550FA">
            <w:pPr>
              <w:pStyle w:val="P68B1DB1-Normal32"/>
              <w:spacing w:after="120" w:line="240" w:lineRule="auto"/>
              <w:ind w:left="52"/>
              <w:textAlignment w:val="baseline"/>
              <w:rPr>
                <w:noProof/>
              </w:rPr>
            </w:pPr>
            <w:r>
              <w:rPr>
                <w:noProof/>
              </w:rPr>
              <w:t xml:space="preserve">1. L ' Équipe spéciale de lutte contre la corruption est chargée des tâches suivantes: </w:t>
            </w:r>
          </w:p>
          <w:p w14:paraId="34DCE952" w14:textId="0A44B956" w:rsidR="0023462A" w:rsidRDefault="00A550FA">
            <w:pPr>
              <w:pStyle w:val="P68B1DB1-Normal32"/>
              <w:spacing w:after="120" w:line="240" w:lineRule="auto"/>
              <w:ind w:left="52"/>
              <w:textAlignment w:val="baseline"/>
              <w:rPr>
                <w:noProof/>
              </w:rPr>
            </w:pPr>
            <w:r>
              <w:rPr>
                <w:noProof/>
              </w:rPr>
              <w:t xml:space="preserve">a) Examiner les mesures existantes de lutte contre la corruption et élaborer des propositions pour les améliorer; </w:t>
            </w:r>
          </w:p>
          <w:p w14:paraId="19EFB3CD" w14:textId="77777777" w:rsidR="0023462A" w:rsidRDefault="00A550FA">
            <w:pPr>
              <w:pStyle w:val="P68B1DB1-Normal32"/>
              <w:spacing w:after="120" w:line="240" w:lineRule="auto"/>
              <w:ind w:left="52"/>
              <w:textAlignment w:val="baseline"/>
              <w:rPr>
                <w:noProof/>
              </w:rPr>
            </w:pPr>
            <w:r>
              <w:rPr>
                <w:noProof/>
              </w:rPr>
              <w:t xml:space="preserve">b) présenter des propositions visant à: </w:t>
            </w:r>
          </w:p>
          <w:p w14:paraId="1BD17E1E" w14:textId="77777777" w:rsidR="0023462A" w:rsidRDefault="00A550FA">
            <w:pPr>
              <w:pStyle w:val="P68B1DB1-Normal32"/>
              <w:spacing w:after="120" w:line="240" w:lineRule="auto"/>
              <w:ind w:left="720"/>
              <w:textAlignment w:val="baseline"/>
              <w:rPr>
                <w:noProof/>
              </w:rPr>
            </w:pPr>
            <w:r>
              <w:rPr>
                <w:noProof/>
              </w:rPr>
              <w:t xml:space="preserve">i) améliorer la prévention et la détection de la corruption, </w:t>
            </w:r>
          </w:p>
          <w:p w14:paraId="4EDFF2AE" w14:textId="77777777" w:rsidR="0023462A" w:rsidRDefault="00A550FA">
            <w:pPr>
              <w:pStyle w:val="P68B1DB1-Normal32"/>
              <w:spacing w:after="120" w:line="240" w:lineRule="auto"/>
              <w:ind w:left="720"/>
              <w:textAlignment w:val="baseline"/>
              <w:rPr>
                <w:noProof/>
              </w:rPr>
            </w:pPr>
            <w:r>
              <w:rPr>
                <w:noProof/>
              </w:rPr>
              <w:t xml:space="preserve">ii) stimuler le flux d’informations entre les autorités administratives et de contrôle de l’État et les autorités chargées des enquêtes pénales; </w:t>
            </w:r>
          </w:p>
          <w:p w14:paraId="006DD661" w14:textId="77777777" w:rsidR="0023462A" w:rsidRDefault="00A550FA">
            <w:pPr>
              <w:pStyle w:val="P68B1DB1-Normal32"/>
              <w:spacing w:after="120" w:line="240" w:lineRule="auto"/>
              <w:ind w:left="52"/>
              <w:textAlignment w:val="baseline"/>
              <w:rPr>
                <w:noProof/>
              </w:rPr>
            </w:pPr>
            <w:r>
              <w:rPr>
                <w:noProof/>
              </w:rPr>
              <w:t xml:space="preserve">c) évaluer la manière dont ses propositions précédentes ont été suivies et mises en œuvre; </w:t>
            </w:r>
          </w:p>
          <w:p w14:paraId="10C60090" w14:textId="77777777" w:rsidR="0023462A" w:rsidRDefault="00A550FA">
            <w:pPr>
              <w:pStyle w:val="P68B1DB1-Normal32"/>
              <w:spacing w:after="120" w:line="240" w:lineRule="auto"/>
              <w:ind w:left="52"/>
              <w:textAlignment w:val="baseline"/>
              <w:rPr>
                <w:noProof/>
              </w:rPr>
            </w:pPr>
            <w:r>
              <w:rPr>
                <w:noProof/>
              </w:rPr>
              <w:t>d) préparer un rapport annuel accessible au public .</w:t>
            </w:r>
          </w:p>
          <w:p w14:paraId="17104612" w14:textId="77777777" w:rsidR="0023462A" w:rsidRDefault="00A550FA">
            <w:pPr>
              <w:pStyle w:val="P68B1DB1-Normal32"/>
              <w:spacing w:after="120" w:line="240" w:lineRule="auto"/>
              <w:ind w:left="52"/>
              <w:textAlignment w:val="baseline"/>
              <w:rPr>
                <w:noProof/>
              </w:rPr>
            </w:pPr>
            <w:r>
              <w:rPr>
                <w:noProof/>
              </w:rPr>
              <w:t>La législation exige que ce rapport i) analyse les risques et les tendances de la corruption et des pratiques de corruption, ii) propose des contre-mesures et des bonnes pratiques pour la prévention, la détection et la sanction des risques de corruption et des types de corruption, en évaluant leur applicabilité, et iii) évalue la manière dont ses propositions précédentes ont été suivies et mises en œuvre.</w:t>
            </w:r>
          </w:p>
          <w:p w14:paraId="665CD087" w14:textId="63E84224" w:rsidR="0023462A" w:rsidRDefault="00A550FA">
            <w:pPr>
              <w:pStyle w:val="P68B1DB1-Normal32"/>
              <w:spacing w:after="120" w:line="240" w:lineRule="auto"/>
              <w:ind w:left="52"/>
              <w:textAlignment w:val="baseline"/>
              <w:rPr>
                <w:rFonts w:eastAsia="Times New Roman"/>
                <w:noProof/>
              </w:rPr>
            </w:pPr>
            <w:r>
              <w:rPr>
                <w:noProof/>
              </w:rPr>
              <w:t xml:space="preserve">2. le gouvernement examine systématiquement les rapports et les propositions de l'Équipe spéciale de lutte contre la corruption dans un délai de deux mois à compter de leur publication et motive sa décision sur chacune des propositions qu'il a décidé de ne pas mettre en œuvre. </w:t>
            </w:r>
          </w:p>
          <w:p w14:paraId="11B8C524" w14:textId="77777777" w:rsidR="0023462A" w:rsidRDefault="00A550FA">
            <w:pPr>
              <w:pStyle w:val="P68B1DB1-Normal32"/>
              <w:spacing w:after="120" w:line="240" w:lineRule="auto"/>
              <w:ind w:left="52"/>
              <w:textAlignment w:val="baseline"/>
              <w:rPr>
                <w:noProof/>
              </w:rPr>
            </w:pPr>
            <w:r>
              <w:rPr>
                <w:noProof/>
              </w:rPr>
              <w:t xml:space="preserve">3. Les acteurs non gouvernementaux actifs dans le domaine de la lutte contre la corruption représentent au moins 50 % des membres du groupe de travail sur la lutte contre la corruption (à l'exclusion du président). La législation exige que (i) ces membres soient manifestement indépendants du gouvernement, des autorités publiques, des partis politiques et des intérêts commerciaux; ii) ils sont sélectionnés sur la base d’une procédure de sélection ouverte, transparente et non discriminatoire et de critères objectifs liés à l’expertise et au mérite des candidats; et iii) si le nombre de membres issus d’acteurs non gouvernementaux tombe en dessous de 50 %, la part de leurs voix est modulée pour atteindre 50 % du total des voix (à l’exclusion du président). </w:t>
            </w:r>
          </w:p>
          <w:p w14:paraId="786FBC0F" w14:textId="4FFA6B72" w:rsidR="0023462A" w:rsidRDefault="00A550FA">
            <w:pPr>
              <w:pStyle w:val="P68B1DB1-Normal32"/>
              <w:spacing w:after="120" w:line="240" w:lineRule="auto"/>
              <w:ind w:left="52"/>
              <w:textAlignment w:val="baseline"/>
              <w:rPr>
                <w:rFonts w:eastAsia="Times New Roman"/>
                <w:noProof/>
              </w:rPr>
            </w:pPr>
            <w:r>
              <w:rPr>
                <w:noProof/>
              </w:rPr>
              <w:t xml:space="preserve">4. le président de l'Autorité pour l'intégrité assure la présidence de l'Équipe spéciale de lutte contre la corruption et qu'elle travaille indépendamment de l'Autorité pour l'intégrité. </w:t>
            </w:r>
          </w:p>
          <w:p w14:paraId="6700B422" w14:textId="718E7E50" w:rsidR="0023462A" w:rsidRDefault="00A550FA">
            <w:pPr>
              <w:pStyle w:val="P68B1DB1-Normal32"/>
              <w:spacing w:after="120" w:line="240" w:lineRule="auto"/>
              <w:ind w:left="52"/>
              <w:textAlignment w:val="baseline"/>
              <w:rPr>
                <w:rFonts w:eastAsiaTheme="minorHAnsi"/>
                <w:noProof/>
              </w:rPr>
            </w:pPr>
            <w:r>
              <w:rPr>
                <w:noProof/>
              </w:rPr>
              <w:t xml:space="preserve">5. Le Groupe de travail sur la lutte contre la corruption se réunit au moins deux fois par an et prend ses décisions à la majorité simple des suffrages exprimés. La législation exige que les procès-verbaux de ses réunions soient mis à la disposition du public sur le site web du groupe de travail sur la lutte contre la corruption. </w:t>
            </w:r>
          </w:p>
        </w:tc>
      </w:tr>
      <w:tr w:rsidR="0023462A" w14:paraId="036D3492" w14:textId="77777777" w:rsidTr="009C289F">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vAlign w:val="center"/>
          </w:tcPr>
          <w:p w14:paraId="11B8DE62" w14:textId="6C53A0D7" w:rsidR="0023462A" w:rsidRDefault="00A550FA">
            <w:pPr>
              <w:pStyle w:val="P68B1DB1-Normal32"/>
              <w:spacing w:after="120" w:line="240" w:lineRule="auto"/>
              <w:rPr>
                <w:rFonts w:eastAsiaTheme="minorHAnsi"/>
                <w:noProof/>
              </w:rPr>
            </w:pPr>
            <w:r>
              <w:rPr>
                <w:noProof/>
              </w:rPr>
              <w:t>58</w:t>
            </w:r>
          </w:p>
        </w:tc>
        <w:tc>
          <w:tcPr>
            <w:tcW w:w="1559" w:type="dxa"/>
            <w:tcBorders>
              <w:top w:val="nil"/>
              <w:left w:val="nil"/>
              <w:bottom w:val="single" w:sz="4" w:space="0" w:color="auto"/>
              <w:right w:val="single" w:sz="4" w:space="0" w:color="auto"/>
            </w:tcBorders>
            <w:shd w:val="clear" w:color="auto" w:fill="C6EFCE"/>
            <w:noWrap/>
            <w:vAlign w:val="center"/>
          </w:tcPr>
          <w:p w14:paraId="7C380FE4" w14:textId="38209432" w:rsidR="0023462A" w:rsidRDefault="00A550FA">
            <w:pPr>
              <w:pStyle w:val="P68B1DB1-Normal32"/>
              <w:spacing w:after="120" w:line="240" w:lineRule="auto"/>
              <w:rPr>
                <w:noProof/>
              </w:rPr>
            </w:pPr>
            <w:r>
              <w:rPr>
                <w:noProof/>
              </w:rPr>
              <w:t>C8.R4 Introduction d’une procédure spécifique en cas d’infractions spéciales liées à l’exercice de l’autorité publique ou à la gestion de biens publics («contrôle juridictionnel»)</w:t>
            </w:r>
          </w:p>
        </w:tc>
        <w:tc>
          <w:tcPr>
            <w:tcW w:w="709" w:type="dxa"/>
            <w:tcBorders>
              <w:top w:val="nil"/>
              <w:left w:val="nil"/>
              <w:bottom w:val="single" w:sz="4" w:space="0" w:color="auto"/>
              <w:right w:val="single" w:sz="4" w:space="0" w:color="auto"/>
            </w:tcBorders>
            <w:shd w:val="clear" w:color="auto" w:fill="C6EFCE"/>
            <w:noWrap/>
            <w:vAlign w:val="center"/>
          </w:tcPr>
          <w:p w14:paraId="0DC6AA2C" w14:textId="7CEEF388" w:rsidR="0023462A" w:rsidRDefault="00A550FA">
            <w:pPr>
              <w:pStyle w:val="P68B1DB1-Normal32"/>
              <w:spacing w:after="120" w:line="240" w:lineRule="auto"/>
              <w:rPr>
                <w:rFonts w:eastAsiaTheme="minorHAnsi"/>
                <w:noProof/>
              </w:rPr>
            </w:pPr>
            <w:r>
              <w:rPr>
                <w:noProof/>
              </w:rPr>
              <w:t>Étape </w:t>
            </w:r>
          </w:p>
        </w:tc>
        <w:tc>
          <w:tcPr>
            <w:tcW w:w="1417" w:type="dxa"/>
            <w:tcBorders>
              <w:top w:val="nil"/>
              <w:left w:val="nil"/>
              <w:bottom w:val="single" w:sz="4" w:space="0" w:color="auto"/>
              <w:right w:val="single" w:sz="4" w:space="0" w:color="auto"/>
            </w:tcBorders>
            <w:shd w:val="clear" w:color="auto" w:fill="C6EFCE"/>
            <w:noWrap/>
            <w:vAlign w:val="center"/>
          </w:tcPr>
          <w:p w14:paraId="197B15B4" w14:textId="73718191" w:rsidR="0023462A" w:rsidRDefault="00A550FA">
            <w:pPr>
              <w:pStyle w:val="P68B1DB1-Normal32"/>
              <w:spacing w:after="120" w:line="240" w:lineRule="auto"/>
              <w:rPr>
                <w:noProof/>
              </w:rPr>
            </w:pPr>
            <w:r>
              <w:rPr>
                <w:noProof/>
              </w:rPr>
              <w:t>Modification(s) législative(s) concernant une procédure en cas de certaines pratiques de corruption et pratiques liées à la corruption</w:t>
            </w:r>
          </w:p>
        </w:tc>
        <w:tc>
          <w:tcPr>
            <w:tcW w:w="1701" w:type="dxa"/>
            <w:tcBorders>
              <w:top w:val="nil"/>
              <w:left w:val="nil"/>
              <w:bottom w:val="single" w:sz="4" w:space="0" w:color="auto"/>
              <w:right w:val="single" w:sz="4" w:space="0" w:color="auto"/>
            </w:tcBorders>
            <w:shd w:val="clear" w:color="auto" w:fill="C6EFCE"/>
            <w:noWrap/>
            <w:vAlign w:val="center"/>
          </w:tcPr>
          <w:p w14:paraId="21FC6B51" w14:textId="133C4C7A" w:rsidR="0023462A" w:rsidRDefault="00A550FA">
            <w:pPr>
              <w:pStyle w:val="P68B1DB1-Normal32"/>
              <w:spacing w:after="120" w:line="240" w:lineRule="auto"/>
              <w:rPr>
                <w:noProof/>
              </w:rPr>
            </w:pPr>
            <w:r>
              <w:rPr>
                <w:noProof/>
              </w:rPr>
              <w:t>Adoption et publication du ou des actes juridiques au Journal officiel</w:t>
            </w:r>
          </w:p>
        </w:tc>
        <w:tc>
          <w:tcPr>
            <w:tcW w:w="1418" w:type="dxa"/>
            <w:tcBorders>
              <w:top w:val="nil"/>
              <w:left w:val="nil"/>
              <w:bottom w:val="single" w:sz="4" w:space="0" w:color="auto"/>
              <w:right w:val="single" w:sz="4" w:space="0" w:color="auto"/>
            </w:tcBorders>
            <w:shd w:val="clear" w:color="auto" w:fill="C6EFCE"/>
            <w:noWrap/>
            <w:vAlign w:val="center"/>
          </w:tcPr>
          <w:p w14:paraId="6BADBC7E" w14:textId="77777777" w:rsidR="0023462A" w:rsidRDefault="0023462A">
            <w:pPr>
              <w:spacing w:after="120" w:line="240" w:lineRule="auto"/>
              <w:rPr>
                <w:rFonts w:ascii="Times New Roman" w:eastAsia="Calibri" w:hAnsi="Times New Roman" w:cs="Times New Roman"/>
                <w:noProof/>
                <w:sz w:val="18"/>
                <w:szCs w:val="18"/>
              </w:rPr>
            </w:pPr>
          </w:p>
        </w:tc>
        <w:tc>
          <w:tcPr>
            <w:tcW w:w="1417" w:type="dxa"/>
            <w:tcBorders>
              <w:top w:val="nil"/>
              <w:left w:val="nil"/>
              <w:bottom w:val="single" w:sz="4" w:space="0" w:color="auto"/>
              <w:right w:val="single" w:sz="4" w:space="0" w:color="auto"/>
            </w:tcBorders>
            <w:shd w:val="clear" w:color="auto" w:fill="C6EFCE"/>
            <w:noWrap/>
            <w:vAlign w:val="center"/>
          </w:tcPr>
          <w:p w14:paraId="03252537" w14:textId="77777777" w:rsidR="0023462A" w:rsidRDefault="0023462A">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vAlign w:val="center"/>
          </w:tcPr>
          <w:p w14:paraId="431150C6" w14:textId="77777777" w:rsidR="0023462A" w:rsidRDefault="0023462A">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0A5492B4" w14:textId="7B1A4E2A" w:rsidR="0023462A" w:rsidRDefault="00A550FA">
            <w:pPr>
              <w:pStyle w:val="P68B1DB1-Normal32"/>
              <w:spacing w:after="120" w:line="240" w:lineRule="auto"/>
              <w:rPr>
                <w:rFonts w:eastAsiaTheme="minorHAnsi"/>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698CB48B" w14:textId="11B13283" w:rsidR="0023462A" w:rsidRDefault="00A550FA">
            <w:pPr>
              <w:pStyle w:val="P68B1DB1-Normal32"/>
              <w:spacing w:after="120" w:line="240" w:lineRule="auto"/>
              <w:rPr>
                <w:rFonts w:eastAsiaTheme="minorHAnsi"/>
                <w:noProof/>
              </w:rPr>
            </w:pPr>
            <w:r>
              <w:rPr>
                <w:noProof/>
              </w:rPr>
              <w:t>2026</w:t>
            </w:r>
          </w:p>
        </w:tc>
        <w:tc>
          <w:tcPr>
            <w:tcW w:w="3713" w:type="dxa"/>
            <w:tcBorders>
              <w:top w:val="nil"/>
              <w:left w:val="nil"/>
              <w:bottom w:val="single" w:sz="4" w:space="0" w:color="auto"/>
              <w:right w:val="single" w:sz="4" w:space="0" w:color="auto"/>
            </w:tcBorders>
            <w:shd w:val="clear" w:color="auto" w:fill="C6EFCE"/>
            <w:noWrap/>
            <w:vAlign w:val="center"/>
          </w:tcPr>
          <w:p w14:paraId="4FD1BD19" w14:textId="45EEA521" w:rsidR="0023462A" w:rsidRDefault="00A550FA">
            <w:pPr>
              <w:pStyle w:val="P68B1DB1-Normal32"/>
              <w:spacing w:after="120" w:line="240" w:lineRule="auto"/>
              <w:ind w:left="51"/>
              <w:rPr>
                <w:rFonts w:eastAsia="Times New Roman"/>
                <w:noProof/>
              </w:rPr>
            </w:pPr>
            <w:r>
              <w:rPr>
                <w:noProof/>
              </w:rPr>
              <w:t>Modification(s) législative(s) applicable(s) également aux infractions pénales (non prescrites) commises avant le 1er janvier 2023, qui:</w:t>
            </w:r>
          </w:p>
          <w:p w14:paraId="3C503569" w14:textId="77777777" w:rsidR="0023462A" w:rsidRDefault="00A550FA">
            <w:pPr>
              <w:pStyle w:val="P68B1DB1-Normal32"/>
              <w:spacing w:after="120" w:line="240" w:lineRule="auto"/>
              <w:ind w:left="51"/>
              <w:rPr>
                <w:rFonts w:eastAsia="Times New Roman"/>
                <w:noProof/>
              </w:rPr>
            </w:pPr>
            <w:r>
              <w:rPr>
                <w:noProof/>
              </w:rPr>
              <w:t>- prévoir la mise en place d'une procédure concernant certaines pratiques de corruption et pratiques liées à la corruption;</w:t>
            </w:r>
          </w:p>
          <w:p w14:paraId="6C1DC200" w14:textId="77777777" w:rsidR="0023462A" w:rsidRDefault="00A550FA">
            <w:pPr>
              <w:pStyle w:val="P68B1DB1-Normal32"/>
              <w:spacing w:after="120" w:line="240" w:lineRule="auto"/>
              <w:ind w:left="51"/>
              <w:rPr>
                <w:noProof/>
              </w:rPr>
            </w:pPr>
            <w:r>
              <w:rPr>
                <w:noProof/>
              </w:rPr>
              <w:t>- prévoir la mise en place d'un contrôle juridictionnel de la décision du ministère public ou de l'autorité chargée de l'enquête de rejeter un rapport d'infraction ou de mettre fin à la procédure pénale par le juge d'instruction du tribunal central de district de Buda, qui est habilité à ordonner l'ouverture ou la poursuite de la procédure pénale. En cas d’ouverture d’une enquête ou de poursuite de la procédure, le ministère public ou l’autorité chargée de l’enquête poursuit la procédure sur la base de la motivation de la décision de justice et, en cas d’absence de détection, en remédiant aux irrégularités qui y sont constatées. </w:t>
            </w:r>
          </w:p>
          <w:p w14:paraId="4CA8776E" w14:textId="6855420D" w:rsidR="0023462A" w:rsidRDefault="00A550FA">
            <w:pPr>
              <w:pStyle w:val="P68B1DB1-Normal32"/>
              <w:spacing w:after="120" w:line="240" w:lineRule="auto"/>
              <w:ind w:left="51"/>
              <w:rPr>
                <w:rFonts w:eastAsia="Calibri"/>
                <w:noProof/>
              </w:rPr>
            </w:pPr>
            <w:r>
              <w:rPr>
                <w:noProof/>
              </w:rPr>
              <w:t xml:space="preserve">- prévoir que, à la suite de la demande de révision, si la décision de rejeter un rapport d'infraction ou de clore la procédure pénale a été annulée par le juge d'instruction, en cas de clôture répétée de la procédure, il sera possible de déposer un acte d'accusation devant le tribunal. Dans les conditions précisées dans l’acte législatif, la procédure ouvre le droit de déposer un acte d’accusation à la juridiction compétente, qui statue sur le fond de l’affaire après avoir entendu les éléments de preuve. L’examen des motifs d’une requête en poursuite est limité (par exemple, la question de savoir si la personne désignée comme accusée peut être raisonnablement soupçonnée d’avoir commis l’infraction pénale faisant l’objet de la requête en poursuite et/ou si la personne désignée jouit de l’immunité) dans le but d’éviter un filtrage substantiel qui risquerait d’anticiper ou d’empêcher une décision sur le fond sans possibilité de rechercher et d’entendre des éléments de preuve dans l’affaire. Les personnes physiques et morales peuvent (sous réserve de dispositions spécifiques) déposer des requêtes dans le cadre de cette procédure, à l'exception des autorités publiques, mais l'Autorité pour l'intégrité a le droit de déposer une requête en révision et une requête répétée en révision. </w:t>
            </w:r>
          </w:p>
          <w:p w14:paraId="55F71854" w14:textId="7D7FE9AE" w:rsidR="0023462A" w:rsidRDefault="00A550FA">
            <w:pPr>
              <w:pStyle w:val="P68B1DB1-Normal32"/>
              <w:spacing w:after="120" w:line="240" w:lineRule="auto"/>
              <w:ind w:left="52"/>
              <w:textAlignment w:val="baseline"/>
              <w:rPr>
                <w:rFonts w:eastAsiaTheme="minorHAnsi"/>
                <w:noProof/>
              </w:rPr>
            </w:pPr>
            <w:r>
              <w:rPr>
                <w:noProof/>
              </w:rPr>
              <w:t>Les dispositions du chapitre CV/A de la loi XC de 2017 sur la procédure pénale s’appliquent et l’autorité chargée de l’enquête ou le ministère public adopte une nouvelle décision sur le rapport d’infraction au titre de l’article 379 également si a) le rapport d’infraction déposé après le 31 décembre 2022 concerne le même acte que l’acte faisant l’objet d’un rapport d’infraction antérieur qui a été déposé et rejeté avant le 1er janvier 2023 ou lorsque l’enquête a été clôturée avant le 1er janvier 2023, b) le chapitre CV/A s’appliquerait au rapport d’infraction déposé après le 31 décembre 2022.</w:t>
            </w:r>
          </w:p>
        </w:tc>
      </w:tr>
      <w:tr w:rsidR="0023462A" w14:paraId="477731EB" w14:textId="77777777" w:rsidTr="009C289F">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vAlign w:val="center"/>
          </w:tcPr>
          <w:p w14:paraId="1EB5016B" w14:textId="7D812A6C" w:rsidR="0023462A" w:rsidRDefault="00A550FA">
            <w:pPr>
              <w:pStyle w:val="P68B1DB1-Normal32"/>
              <w:spacing w:after="120" w:line="240" w:lineRule="auto"/>
              <w:rPr>
                <w:rFonts w:eastAsiaTheme="minorHAnsi"/>
                <w:noProof/>
              </w:rPr>
            </w:pPr>
            <w:r>
              <w:rPr>
                <w:noProof/>
              </w:rPr>
              <w:t>59</w:t>
            </w:r>
          </w:p>
        </w:tc>
        <w:tc>
          <w:tcPr>
            <w:tcW w:w="1559" w:type="dxa"/>
            <w:tcBorders>
              <w:top w:val="nil"/>
              <w:left w:val="nil"/>
              <w:bottom w:val="single" w:sz="4" w:space="0" w:color="auto"/>
              <w:right w:val="single" w:sz="4" w:space="0" w:color="auto"/>
            </w:tcBorders>
            <w:shd w:val="clear" w:color="auto" w:fill="C6EFCE"/>
            <w:noWrap/>
            <w:vAlign w:val="center"/>
          </w:tcPr>
          <w:p w14:paraId="00517B0C" w14:textId="7E008A92" w:rsidR="0023462A" w:rsidRDefault="00A550FA">
            <w:pPr>
              <w:pStyle w:val="P68B1DB1-Normal32"/>
              <w:spacing w:after="120" w:line="240" w:lineRule="auto"/>
              <w:ind w:left="52"/>
              <w:textAlignment w:val="baseline"/>
              <w:rPr>
                <w:noProof/>
              </w:rPr>
            </w:pPr>
            <w:r>
              <w:rPr>
                <w:noProof/>
              </w:rPr>
              <w:t>C8.R5 Modification des règles relatives aux déclarations de patrimoine</w:t>
            </w:r>
          </w:p>
          <w:p w14:paraId="210438D2" w14:textId="77777777" w:rsidR="0023462A" w:rsidRDefault="0023462A">
            <w:pPr>
              <w:spacing w:after="120" w:line="240" w:lineRule="auto"/>
              <w:rPr>
                <w:rFonts w:ascii="Times New Roman" w:eastAsiaTheme="minorHAnsi" w:hAnsi="Times New Roman" w:cs="Times New Roman"/>
                <w:noProof/>
                <w:sz w:val="18"/>
                <w:szCs w:val="18"/>
              </w:rPr>
            </w:pPr>
          </w:p>
        </w:tc>
        <w:tc>
          <w:tcPr>
            <w:tcW w:w="709" w:type="dxa"/>
            <w:tcBorders>
              <w:top w:val="nil"/>
              <w:left w:val="nil"/>
              <w:bottom w:val="single" w:sz="4" w:space="0" w:color="auto"/>
              <w:right w:val="single" w:sz="4" w:space="0" w:color="auto"/>
            </w:tcBorders>
            <w:shd w:val="clear" w:color="auto" w:fill="C6EFCE"/>
            <w:noWrap/>
            <w:vAlign w:val="center"/>
          </w:tcPr>
          <w:p w14:paraId="3A0486B0" w14:textId="50EA3EA5" w:rsidR="0023462A" w:rsidRDefault="00A550FA">
            <w:pPr>
              <w:pStyle w:val="P68B1DB1-Normal32"/>
              <w:spacing w:after="120" w:line="240" w:lineRule="auto"/>
              <w:rPr>
                <w:rFonts w:eastAsiaTheme="minorHAnsi"/>
                <w:noProof/>
              </w:rPr>
            </w:pPr>
            <w:r>
              <w:rPr>
                <w:noProof/>
              </w:rPr>
              <w:t>Étape</w:t>
            </w:r>
          </w:p>
        </w:tc>
        <w:tc>
          <w:tcPr>
            <w:tcW w:w="1417" w:type="dxa"/>
            <w:tcBorders>
              <w:top w:val="nil"/>
              <w:left w:val="nil"/>
              <w:bottom w:val="single" w:sz="4" w:space="0" w:color="auto"/>
              <w:right w:val="single" w:sz="4" w:space="0" w:color="auto"/>
            </w:tcBorders>
            <w:shd w:val="clear" w:color="auto" w:fill="C6EFCE"/>
            <w:noWrap/>
            <w:vAlign w:val="center"/>
          </w:tcPr>
          <w:p w14:paraId="5AAFE2D4" w14:textId="59263CE5" w:rsidR="0023462A" w:rsidRDefault="00A550FA">
            <w:pPr>
              <w:pStyle w:val="P68B1DB1-Normal32"/>
              <w:spacing w:after="120" w:line="240" w:lineRule="auto"/>
              <w:rPr>
                <w:noProof/>
              </w:rPr>
            </w:pPr>
            <w:r>
              <w:rPr>
                <w:noProof/>
              </w:rPr>
              <w:t xml:space="preserve">Entrée en vigueur de modifications législatives élargissant le champ d’application personnel et matériel des déclarations de patrimoine, tout en garantissant une divulgation fréquente </w:t>
            </w:r>
          </w:p>
        </w:tc>
        <w:tc>
          <w:tcPr>
            <w:tcW w:w="1701" w:type="dxa"/>
            <w:tcBorders>
              <w:top w:val="nil"/>
              <w:left w:val="nil"/>
              <w:bottom w:val="single" w:sz="4" w:space="0" w:color="auto"/>
              <w:right w:val="single" w:sz="4" w:space="0" w:color="auto"/>
            </w:tcBorders>
            <w:shd w:val="clear" w:color="auto" w:fill="C6EFCE"/>
            <w:noWrap/>
            <w:vAlign w:val="center"/>
          </w:tcPr>
          <w:p w14:paraId="289DD781" w14:textId="45FAA637" w:rsidR="0023462A" w:rsidRDefault="00A550FA">
            <w:pPr>
              <w:pStyle w:val="P68B1DB1-Normal32"/>
              <w:spacing w:after="120" w:line="240" w:lineRule="auto"/>
              <w:rPr>
                <w:rFonts w:eastAsiaTheme="minorHAnsi"/>
                <w:noProof/>
              </w:rPr>
            </w:pPr>
            <w:r>
              <w:rPr>
                <w:noProof/>
              </w:rPr>
              <w:t xml:space="preserve">Disposition des modifications législatives indiquant l’entrée en vigueur </w:t>
            </w:r>
          </w:p>
        </w:tc>
        <w:tc>
          <w:tcPr>
            <w:tcW w:w="1418" w:type="dxa"/>
            <w:tcBorders>
              <w:top w:val="nil"/>
              <w:left w:val="nil"/>
              <w:bottom w:val="single" w:sz="4" w:space="0" w:color="auto"/>
              <w:right w:val="single" w:sz="4" w:space="0" w:color="auto"/>
            </w:tcBorders>
            <w:shd w:val="clear" w:color="auto" w:fill="C6EFCE"/>
            <w:noWrap/>
            <w:vAlign w:val="center"/>
          </w:tcPr>
          <w:p w14:paraId="4A612656" w14:textId="77777777" w:rsidR="0023462A" w:rsidRDefault="0023462A">
            <w:pPr>
              <w:spacing w:after="120" w:line="240" w:lineRule="auto"/>
              <w:rPr>
                <w:rFonts w:ascii="Times New Roman" w:eastAsia="Calibri" w:hAnsi="Times New Roman" w:cs="Times New Roman"/>
                <w:noProof/>
                <w:sz w:val="18"/>
                <w:szCs w:val="18"/>
              </w:rPr>
            </w:pPr>
          </w:p>
        </w:tc>
        <w:tc>
          <w:tcPr>
            <w:tcW w:w="1417" w:type="dxa"/>
            <w:tcBorders>
              <w:top w:val="nil"/>
              <w:left w:val="nil"/>
              <w:bottom w:val="single" w:sz="4" w:space="0" w:color="auto"/>
              <w:right w:val="single" w:sz="4" w:space="0" w:color="auto"/>
            </w:tcBorders>
            <w:shd w:val="clear" w:color="auto" w:fill="C6EFCE"/>
            <w:noWrap/>
            <w:vAlign w:val="center"/>
          </w:tcPr>
          <w:p w14:paraId="0C088D1C" w14:textId="77777777" w:rsidR="0023462A" w:rsidRDefault="0023462A">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vAlign w:val="center"/>
          </w:tcPr>
          <w:p w14:paraId="3F1A12CF" w14:textId="77777777" w:rsidR="0023462A" w:rsidRDefault="0023462A">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66506C68" w14:textId="282F05C7" w:rsidR="0023462A" w:rsidRDefault="00A550FA">
            <w:pPr>
              <w:pStyle w:val="P68B1DB1-Normal32"/>
              <w:spacing w:after="120" w:line="240" w:lineRule="auto"/>
              <w:rPr>
                <w:rFonts w:eastAsiaTheme="minorHAnsi"/>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365BD07C" w14:textId="48722FAD" w:rsidR="0023462A" w:rsidRDefault="00A550FA">
            <w:pPr>
              <w:pStyle w:val="P68B1DB1-Normal32"/>
              <w:spacing w:after="120" w:line="240" w:lineRule="auto"/>
              <w:rPr>
                <w:rFonts w:eastAsiaTheme="minorHAnsi"/>
                <w:noProof/>
              </w:rPr>
            </w:pPr>
            <w:r>
              <w:rPr>
                <w:noProof/>
              </w:rPr>
              <w:t>2026</w:t>
            </w:r>
          </w:p>
        </w:tc>
        <w:tc>
          <w:tcPr>
            <w:tcW w:w="3713" w:type="dxa"/>
            <w:tcBorders>
              <w:top w:val="nil"/>
              <w:left w:val="nil"/>
              <w:bottom w:val="single" w:sz="4" w:space="0" w:color="auto"/>
              <w:right w:val="single" w:sz="4" w:space="0" w:color="auto"/>
            </w:tcBorders>
            <w:shd w:val="clear" w:color="auto" w:fill="C6EFCE"/>
            <w:noWrap/>
            <w:vAlign w:val="center"/>
          </w:tcPr>
          <w:p w14:paraId="1187C551" w14:textId="77777777" w:rsidR="0023462A" w:rsidRDefault="00A550FA">
            <w:pPr>
              <w:pStyle w:val="P68B1DB1-Normal32"/>
              <w:spacing w:after="120" w:line="240" w:lineRule="auto"/>
              <w:ind w:left="52"/>
              <w:textAlignment w:val="baseline"/>
              <w:rPr>
                <w:noProof/>
              </w:rPr>
            </w:pPr>
            <w:r>
              <w:rPr>
                <w:noProof/>
              </w:rPr>
              <w:t>Les modifications législatives qui prévoient:</w:t>
            </w:r>
          </w:p>
          <w:p w14:paraId="20A96295" w14:textId="77777777" w:rsidR="0023462A" w:rsidRDefault="00A550FA">
            <w:pPr>
              <w:pStyle w:val="P68B1DB1-Normal32"/>
              <w:spacing w:after="120" w:line="240" w:lineRule="auto"/>
              <w:ind w:left="52"/>
              <w:textAlignment w:val="baseline"/>
              <w:rPr>
                <w:noProof/>
              </w:rPr>
            </w:pPr>
            <w:r>
              <w:rPr>
                <w:noProof/>
              </w:rPr>
              <w:t xml:space="preserve">i) les hauts responsables politiques (en vertu des articles 183 et 184 de la loi CXXV de 2018 sur l’administration publique) et leurs proches vivant dans le même ménage que les personnes concernées, ainsi que les membres de l’Assemblée nationale et leurs proches vivant dans le même ménage que les membres concernés, présentent des déclarations de patrimoine lors de leur prise de fonctions, chaque année par la suite et au moment de la cessation de leurs fonctions; </w:t>
            </w:r>
          </w:p>
          <w:p w14:paraId="7B5A04CD" w14:textId="1D37C3C6" w:rsidR="0023462A" w:rsidRDefault="00A550FA">
            <w:pPr>
              <w:pStyle w:val="P68B1DB1-Normal32"/>
              <w:spacing w:after="120" w:line="240" w:lineRule="auto"/>
              <w:ind w:left="52"/>
              <w:textAlignment w:val="baseline"/>
              <w:rPr>
                <w:rFonts w:eastAsiaTheme="minorHAnsi"/>
                <w:noProof/>
              </w:rPr>
            </w:pPr>
            <w:r>
              <w:rPr>
                <w:noProof/>
              </w:rPr>
              <w:t>ii) toutes les personnes relevant du champ d’application personnel visé au point i) sont tenues de déclarer au moins: les revenus, les biens immobiliers, les autres biens de valeur (qui comprennent, sans s’y limiter, les véhicules, les navires, les antiquités de valeur, les œuvres d’art), l’épargne en dépôts bancaires et en espèces, les actifs en actions, les titres et les fonds de capital-investissement, les polices d’assurance-vie, les fiducies et les bénéficiaires effectifs des entreprises.</w:t>
            </w:r>
          </w:p>
        </w:tc>
      </w:tr>
      <w:tr w:rsidR="0023462A" w14:paraId="64168DB7" w14:textId="77777777" w:rsidTr="009C289F">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vAlign w:val="center"/>
          </w:tcPr>
          <w:p w14:paraId="3D29B084" w14:textId="20B9F1F6" w:rsidR="0023462A" w:rsidRDefault="00A550FA">
            <w:pPr>
              <w:pStyle w:val="P68B1DB1-Normal32"/>
              <w:spacing w:after="120" w:line="240" w:lineRule="auto"/>
              <w:rPr>
                <w:rFonts w:eastAsiaTheme="minorHAnsi"/>
                <w:noProof/>
              </w:rPr>
            </w:pPr>
            <w:r>
              <w:rPr>
                <w:noProof/>
              </w:rPr>
              <w:t>60</w:t>
            </w:r>
          </w:p>
        </w:tc>
        <w:tc>
          <w:tcPr>
            <w:tcW w:w="1559" w:type="dxa"/>
            <w:tcBorders>
              <w:top w:val="nil"/>
              <w:left w:val="nil"/>
              <w:bottom w:val="single" w:sz="4" w:space="0" w:color="auto"/>
              <w:right w:val="single" w:sz="4" w:space="0" w:color="auto"/>
            </w:tcBorders>
            <w:shd w:val="clear" w:color="auto" w:fill="C6EFCE"/>
            <w:noWrap/>
            <w:vAlign w:val="center"/>
          </w:tcPr>
          <w:p w14:paraId="5FE37CB7" w14:textId="6E763345" w:rsidR="0023462A" w:rsidRDefault="00A550FA">
            <w:pPr>
              <w:pStyle w:val="P68B1DB1-Normal32"/>
              <w:spacing w:after="120" w:line="240" w:lineRule="auto"/>
              <w:ind w:left="52"/>
              <w:textAlignment w:val="baseline"/>
              <w:rPr>
                <w:noProof/>
              </w:rPr>
            </w:pPr>
            <w:r>
              <w:rPr>
                <w:noProof/>
              </w:rPr>
              <w:t>C8.R5 Modification des règles relatives aux déclarations de patrimoine</w:t>
            </w:r>
          </w:p>
          <w:p w14:paraId="036580F0" w14:textId="77777777" w:rsidR="0023462A" w:rsidRDefault="0023462A">
            <w:pPr>
              <w:spacing w:after="120" w:line="240" w:lineRule="auto"/>
              <w:rPr>
                <w:rFonts w:ascii="Times New Roman" w:eastAsiaTheme="minorHAnsi" w:hAnsi="Times New Roman" w:cs="Times New Roman"/>
                <w:noProof/>
                <w:sz w:val="18"/>
                <w:szCs w:val="18"/>
              </w:rPr>
            </w:pPr>
          </w:p>
        </w:tc>
        <w:tc>
          <w:tcPr>
            <w:tcW w:w="709" w:type="dxa"/>
            <w:tcBorders>
              <w:top w:val="nil"/>
              <w:left w:val="nil"/>
              <w:bottom w:val="single" w:sz="4" w:space="0" w:color="auto"/>
              <w:right w:val="single" w:sz="4" w:space="0" w:color="auto"/>
            </w:tcBorders>
            <w:shd w:val="clear" w:color="auto" w:fill="C6EFCE"/>
            <w:noWrap/>
            <w:vAlign w:val="center"/>
          </w:tcPr>
          <w:p w14:paraId="68102784" w14:textId="3534582A" w:rsidR="0023462A" w:rsidRDefault="00A550FA">
            <w:pPr>
              <w:pStyle w:val="P68B1DB1-Normal32"/>
              <w:spacing w:after="120" w:line="240" w:lineRule="auto"/>
              <w:rPr>
                <w:rFonts w:eastAsiaTheme="minorHAnsi"/>
                <w:noProof/>
              </w:rPr>
            </w:pPr>
            <w:r>
              <w:rPr>
                <w:noProof/>
              </w:rPr>
              <w:t>Étape</w:t>
            </w:r>
          </w:p>
        </w:tc>
        <w:tc>
          <w:tcPr>
            <w:tcW w:w="1417" w:type="dxa"/>
            <w:tcBorders>
              <w:top w:val="nil"/>
              <w:left w:val="nil"/>
              <w:bottom w:val="single" w:sz="4" w:space="0" w:color="auto"/>
              <w:right w:val="single" w:sz="4" w:space="0" w:color="auto"/>
            </w:tcBorders>
            <w:shd w:val="clear" w:color="auto" w:fill="C6EFCE"/>
            <w:noWrap/>
            <w:vAlign w:val="center"/>
          </w:tcPr>
          <w:p w14:paraId="4EC8D2DC" w14:textId="6E8AFB2F" w:rsidR="0023462A" w:rsidRDefault="00A550FA">
            <w:pPr>
              <w:pStyle w:val="P68B1DB1-Normal32"/>
              <w:spacing w:after="120" w:line="240" w:lineRule="auto"/>
              <w:rPr>
                <w:rFonts w:eastAsiaTheme="minorHAnsi"/>
                <w:noProof/>
              </w:rPr>
            </w:pPr>
            <w:r>
              <w:rPr>
                <w:noProof/>
              </w:rPr>
              <w:t>Entrée en vigueur des modifications législatives relatives à la mise en place d’un système de soumission électronique des déclarations de patrimoine au format numérique et d’une base de données publique pour les déclarations de patrimoine</w:t>
            </w:r>
          </w:p>
        </w:tc>
        <w:tc>
          <w:tcPr>
            <w:tcW w:w="1701" w:type="dxa"/>
            <w:tcBorders>
              <w:top w:val="nil"/>
              <w:left w:val="nil"/>
              <w:bottom w:val="single" w:sz="4" w:space="0" w:color="auto"/>
              <w:right w:val="single" w:sz="4" w:space="0" w:color="auto"/>
            </w:tcBorders>
            <w:shd w:val="clear" w:color="auto" w:fill="C6EFCE"/>
            <w:noWrap/>
            <w:vAlign w:val="center"/>
          </w:tcPr>
          <w:p w14:paraId="094E2EF2" w14:textId="3E32DFF0" w:rsidR="0023462A" w:rsidRDefault="00A550FA">
            <w:pPr>
              <w:pStyle w:val="P68B1DB1-Normal32"/>
              <w:spacing w:after="120" w:line="240" w:lineRule="auto"/>
              <w:rPr>
                <w:rFonts w:eastAsiaTheme="minorHAnsi"/>
                <w:noProof/>
              </w:rPr>
            </w:pPr>
            <w:r>
              <w:rPr>
                <w:noProof/>
              </w:rPr>
              <w:t xml:space="preserve">Disposition de la législation indiquant l'entrée en vigueur </w:t>
            </w:r>
          </w:p>
        </w:tc>
        <w:tc>
          <w:tcPr>
            <w:tcW w:w="1418" w:type="dxa"/>
            <w:tcBorders>
              <w:top w:val="nil"/>
              <w:left w:val="nil"/>
              <w:bottom w:val="single" w:sz="4" w:space="0" w:color="auto"/>
              <w:right w:val="single" w:sz="4" w:space="0" w:color="auto"/>
            </w:tcBorders>
            <w:shd w:val="clear" w:color="auto" w:fill="C6EFCE"/>
            <w:noWrap/>
            <w:vAlign w:val="center"/>
          </w:tcPr>
          <w:p w14:paraId="176BB868" w14:textId="77777777" w:rsidR="0023462A" w:rsidRDefault="0023462A">
            <w:pPr>
              <w:spacing w:after="120" w:line="240" w:lineRule="auto"/>
              <w:rPr>
                <w:rFonts w:ascii="Times New Roman" w:eastAsia="Calibri" w:hAnsi="Times New Roman" w:cs="Times New Roman"/>
                <w:noProof/>
                <w:sz w:val="18"/>
                <w:szCs w:val="18"/>
              </w:rPr>
            </w:pPr>
          </w:p>
        </w:tc>
        <w:tc>
          <w:tcPr>
            <w:tcW w:w="1417" w:type="dxa"/>
            <w:tcBorders>
              <w:top w:val="nil"/>
              <w:left w:val="nil"/>
              <w:bottom w:val="single" w:sz="4" w:space="0" w:color="auto"/>
              <w:right w:val="single" w:sz="4" w:space="0" w:color="auto"/>
            </w:tcBorders>
            <w:shd w:val="clear" w:color="auto" w:fill="C6EFCE"/>
            <w:noWrap/>
            <w:vAlign w:val="center"/>
          </w:tcPr>
          <w:p w14:paraId="1A8E33FE" w14:textId="77777777" w:rsidR="0023462A" w:rsidRDefault="0023462A">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vAlign w:val="center"/>
          </w:tcPr>
          <w:p w14:paraId="5C6D5251" w14:textId="77777777" w:rsidR="0023462A" w:rsidRDefault="0023462A">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68FBCC5C" w14:textId="139A4607" w:rsidR="0023462A" w:rsidRDefault="00A550FA">
            <w:pPr>
              <w:pStyle w:val="P68B1DB1-Normal32"/>
              <w:spacing w:after="120" w:line="240" w:lineRule="auto"/>
              <w:rPr>
                <w:rFonts w:eastAsiaTheme="minorHAnsi"/>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1EDBC495" w14:textId="7C3EB44A" w:rsidR="0023462A" w:rsidRDefault="00A550FA">
            <w:pPr>
              <w:pStyle w:val="P68B1DB1-Normal32"/>
              <w:spacing w:after="120" w:line="240" w:lineRule="auto"/>
              <w:rPr>
                <w:rFonts w:eastAsiaTheme="minorHAnsi"/>
                <w:noProof/>
              </w:rPr>
            </w:pPr>
            <w:r>
              <w:rPr>
                <w:noProof/>
              </w:rPr>
              <w:t>2026</w:t>
            </w:r>
          </w:p>
        </w:tc>
        <w:tc>
          <w:tcPr>
            <w:tcW w:w="3713" w:type="dxa"/>
            <w:tcBorders>
              <w:top w:val="nil"/>
              <w:left w:val="nil"/>
              <w:bottom w:val="single" w:sz="4" w:space="0" w:color="auto"/>
              <w:right w:val="single" w:sz="4" w:space="0" w:color="auto"/>
            </w:tcBorders>
            <w:shd w:val="clear" w:color="auto" w:fill="C6EFCE"/>
            <w:noWrap/>
          </w:tcPr>
          <w:p w14:paraId="6024C5B2" w14:textId="77777777" w:rsidR="0023462A" w:rsidRDefault="00A550FA">
            <w:pPr>
              <w:pStyle w:val="P68B1DB1-Normal32"/>
              <w:spacing w:after="120" w:line="240" w:lineRule="auto"/>
              <w:ind w:left="52"/>
              <w:textAlignment w:val="baseline"/>
              <w:rPr>
                <w:rFonts w:eastAsia="Times New Roman"/>
                <w:noProof/>
              </w:rPr>
            </w:pPr>
            <w:r>
              <w:rPr>
                <w:noProof/>
              </w:rPr>
              <w:t>Entrée en vigueur des modifications législatives qui prévoient:</w:t>
            </w:r>
          </w:p>
          <w:p w14:paraId="19EFE167" w14:textId="77777777" w:rsidR="0023462A" w:rsidRDefault="00A550FA">
            <w:pPr>
              <w:pStyle w:val="P68B1DB1-ListParagraph43"/>
              <w:numPr>
                <w:ilvl w:val="0"/>
                <w:numId w:val="155"/>
              </w:numPr>
              <w:spacing w:after="120" w:line="240" w:lineRule="auto"/>
              <w:contextualSpacing w:val="0"/>
              <w:textAlignment w:val="baseline"/>
              <w:rPr>
                <w:rFonts w:eastAsia="Times New Roman"/>
                <w:noProof/>
              </w:rPr>
            </w:pPr>
            <w:r>
              <w:rPr>
                <w:noProof/>
              </w:rPr>
              <w:t xml:space="preserve">la base juridique et l’obligation de mettre en place un système dans lequel les déclarations de patrimoine des hauts dirigeants politiques (en vertu des articles 183 et 184 de la loi CXXV de 2018 sur l’administration publique) et de leurs proches vivant dans le même ménage que les personnes concernées, ainsi que des membres de l’Assemblée nationale et de leurs proches vivant dans le même ménage que les membres concernés, doivent être soumises par voie électronique et dans lequel elles sont déposées par voie électronique dans un format numérique. </w:t>
            </w:r>
          </w:p>
          <w:p w14:paraId="701155D4" w14:textId="05FB6F77" w:rsidR="0023462A" w:rsidRDefault="00A550FA">
            <w:pPr>
              <w:pStyle w:val="P68B1DB1-ListParagraph43"/>
              <w:numPr>
                <w:ilvl w:val="0"/>
                <w:numId w:val="155"/>
              </w:numPr>
              <w:spacing w:after="120" w:line="240" w:lineRule="auto"/>
              <w:contextualSpacing w:val="0"/>
              <w:textAlignment w:val="baseline"/>
              <w:rPr>
                <w:rFonts w:eastAsia="Times New Roman"/>
                <w:noProof/>
              </w:rPr>
            </w:pPr>
            <w:r>
              <w:rPr>
                <w:noProof/>
              </w:rPr>
              <w:t>la base juridique et l’obligation de mettre en place une base de données consultable dans laquelle les déclarations de patrimoine déposées par les hauts responsables politiques (en vertu des articles 183 et 184 de la loi CXXV de 2018 sur l’administration publique) et les membres de l’Assemblée nationale sont mises à la disposition du public gratuitement et sans enregistrement.</w:t>
            </w:r>
          </w:p>
        </w:tc>
      </w:tr>
      <w:tr w:rsidR="0023462A" w14:paraId="3B154AE1" w14:textId="77777777" w:rsidTr="009C289F">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vAlign w:val="center"/>
          </w:tcPr>
          <w:p w14:paraId="4AEE8477" w14:textId="20EF6855" w:rsidR="0023462A" w:rsidRDefault="00A550FA">
            <w:pPr>
              <w:pStyle w:val="P68B1DB1-Normal32"/>
              <w:spacing w:after="120" w:line="240" w:lineRule="auto"/>
              <w:rPr>
                <w:rFonts w:eastAsiaTheme="minorHAnsi"/>
                <w:noProof/>
              </w:rPr>
            </w:pPr>
            <w:r>
              <w:rPr>
                <w:noProof/>
              </w:rPr>
              <w:t>61</w:t>
            </w:r>
          </w:p>
        </w:tc>
        <w:tc>
          <w:tcPr>
            <w:tcW w:w="1559" w:type="dxa"/>
            <w:tcBorders>
              <w:top w:val="nil"/>
              <w:left w:val="nil"/>
              <w:bottom w:val="single" w:sz="4" w:space="0" w:color="auto"/>
              <w:right w:val="single" w:sz="4" w:space="0" w:color="auto"/>
            </w:tcBorders>
            <w:shd w:val="clear" w:color="auto" w:fill="C6EFCE"/>
            <w:noWrap/>
            <w:vAlign w:val="center"/>
          </w:tcPr>
          <w:p w14:paraId="3B5CB461" w14:textId="702E05A5" w:rsidR="0023462A" w:rsidRDefault="00A550FA">
            <w:pPr>
              <w:pStyle w:val="P68B1DB1-Normal32"/>
              <w:spacing w:after="120" w:line="240" w:lineRule="auto"/>
              <w:rPr>
                <w:noProof/>
              </w:rPr>
            </w:pPr>
            <w:r>
              <w:rPr>
                <w:noProof/>
              </w:rPr>
              <w:t>C8.R5 Modification des règles relatives aux déclarations de patrimoine</w:t>
            </w:r>
          </w:p>
        </w:tc>
        <w:tc>
          <w:tcPr>
            <w:tcW w:w="709" w:type="dxa"/>
            <w:tcBorders>
              <w:top w:val="nil"/>
              <w:left w:val="nil"/>
              <w:bottom w:val="single" w:sz="4" w:space="0" w:color="auto"/>
              <w:right w:val="single" w:sz="4" w:space="0" w:color="auto"/>
            </w:tcBorders>
            <w:shd w:val="clear" w:color="auto" w:fill="C6EFCE"/>
            <w:noWrap/>
            <w:vAlign w:val="center"/>
          </w:tcPr>
          <w:p w14:paraId="6E80BD56" w14:textId="00418F9F" w:rsidR="0023462A" w:rsidRDefault="00A550FA">
            <w:pPr>
              <w:pStyle w:val="P68B1DB1-Normal32"/>
              <w:spacing w:after="120" w:line="240" w:lineRule="auto"/>
              <w:rPr>
                <w:rFonts w:eastAsiaTheme="minorHAnsi"/>
                <w:noProof/>
              </w:rPr>
            </w:pPr>
            <w:r>
              <w:rPr>
                <w:noProof/>
              </w:rPr>
              <w:t>Étape</w:t>
            </w:r>
          </w:p>
        </w:tc>
        <w:tc>
          <w:tcPr>
            <w:tcW w:w="1417" w:type="dxa"/>
            <w:tcBorders>
              <w:top w:val="nil"/>
              <w:left w:val="nil"/>
              <w:bottom w:val="single" w:sz="4" w:space="0" w:color="auto"/>
              <w:right w:val="single" w:sz="4" w:space="0" w:color="auto"/>
            </w:tcBorders>
            <w:shd w:val="clear" w:color="auto" w:fill="C6EFCE"/>
            <w:noWrap/>
            <w:vAlign w:val="center"/>
          </w:tcPr>
          <w:p w14:paraId="5BEC6CC0" w14:textId="6E2F7032" w:rsidR="0023462A" w:rsidRDefault="00A550FA">
            <w:pPr>
              <w:pStyle w:val="P68B1DB1-Normal32"/>
              <w:spacing w:after="120" w:line="240" w:lineRule="auto"/>
              <w:rPr>
                <w:rFonts w:eastAsiaTheme="minorHAnsi"/>
                <w:noProof/>
              </w:rPr>
            </w:pPr>
            <w:r>
              <w:rPr>
                <w:noProof/>
              </w:rPr>
              <w:t>Introduction de sanctions concernant les violations des obligations en matière de déclaration de patrimoine</w:t>
            </w:r>
          </w:p>
        </w:tc>
        <w:tc>
          <w:tcPr>
            <w:tcW w:w="1701" w:type="dxa"/>
            <w:tcBorders>
              <w:top w:val="nil"/>
              <w:left w:val="nil"/>
              <w:bottom w:val="single" w:sz="4" w:space="0" w:color="auto"/>
              <w:right w:val="single" w:sz="4" w:space="0" w:color="auto"/>
            </w:tcBorders>
            <w:shd w:val="clear" w:color="auto" w:fill="C6EFCE"/>
            <w:noWrap/>
            <w:vAlign w:val="center"/>
          </w:tcPr>
          <w:p w14:paraId="1814D9CB" w14:textId="2CF0192A" w:rsidR="0023462A" w:rsidRDefault="00A550FA">
            <w:pPr>
              <w:pStyle w:val="P68B1DB1-Normal32"/>
              <w:spacing w:after="120" w:line="240" w:lineRule="auto"/>
              <w:rPr>
                <w:rFonts w:eastAsiaTheme="minorHAnsi"/>
                <w:noProof/>
              </w:rPr>
            </w:pPr>
            <w:r>
              <w:rPr>
                <w:noProof/>
              </w:rPr>
              <w:t xml:space="preserve">Disposition de la législation indiquant l'entrée en vigueur </w:t>
            </w:r>
          </w:p>
        </w:tc>
        <w:tc>
          <w:tcPr>
            <w:tcW w:w="1418" w:type="dxa"/>
            <w:tcBorders>
              <w:top w:val="nil"/>
              <w:left w:val="nil"/>
              <w:bottom w:val="single" w:sz="4" w:space="0" w:color="auto"/>
              <w:right w:val="single" w:sz="4" w:space="0" w:color="auto"/>
            </w:tcBorders>
            <w:shd w:val="clear" w:color="auto" w:fill="C6EFCE"/>
            <w:noWrap/>
            <w:vAlign w:val="center"/>
          </w:tcPr>
          <w:p w14:paraId="72F404A1" w14:textId="77777777" w:rsidR="0023462A" w:rsidRDefault="0023462A">
            <w:pPr>
              <w:spacing w:after="120" w:line="240" w:lineRule="auto"/>
              <w:rPr>
                <w:rFonts w:ascii="Times New Roman" w:eastAsia="Calibri" w:hAnsi="Times New Roman" w:cs="Times New Roman"/>
                <w:noProof/>
                <w:sz w:val="18"/>
                <w:szCs w:val="18"/>
              </w:rPr>
            </w:pPr>
          </w:p>
        </w:tc>
        <w:tc>
          <w:tcPr>
            <w:tcW w:w="1417" w:type="dxa"/>
            <w:tcBorders>
              <w:top w:val="nil"/>
              <w:left w:val="nil"/>
              <w:bottom w:val="single" w:sz="4" w:space="0" w:color="auto"/>
              <w:right w:val="single" w:sz="4" w:space="0" w:color="auto"/>
            </w:tcBorders>
            <w:shd w:val="clear" w:color="auto" w:fill="C6EFCE"/>
            <w:noWrap/>
            <w:vAlign w:val="center"/>
          </w:tcPr>
          <w:p w14:paraId="1662840F" w14:textId="77777777" w:rsidR="0023462A" w:rsidRDefault="0023462A">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vAlign w:val="center"/>
          </w:tcPr>
          <w:p w14:paraId="5C70F8C2" w14:textId="77777777" w:rsidR="0023462A" w:rsidRDefault="0023462A">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750404FD" w14:textId="5FCA2886" w:rsidR="0023462A" w:rsidRDefault="00A550FA">
            <w:pPr>
              <w:pStyle w:val="P68B1DB1-Normal32"/>
              <w:spacing w:after="120" w:line="240" w:lineRule="auto"/>
              <w:rPr>
                <w:rFonts w:eastAsiaTheme="minorHAnsi"/>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364047EF" w14:textId="26C67CD4" w:rsidR="0023462A" w:rsidRDefault="00A550FA">
            <w:pPr>
              <w:pStyle w:val="P68B1DB1-Normal32"/>
              <w:spacing w:after="120" w:line="240" w:lineRule="auto"/>
              <w:rPr>
                <w:rFonts w:eastAsiaTheme="minorHAnsi"/>
                <w:noProof/>
              </w:rPr>
            </w:pPr>
            <w:r>
              <w:rPr>
                <w:noProof/>
              </w:rPr>
              <w:t>2026</w:t>
            </w:r>
          </w:p>
        </w:tc>
        <w:tc>
          <w:tcPr>
            <w:tcW w:w="3713" w:type="dxa"/>
            <w:tcBorders>
              <w:top w:val="nil"/>
              <w:left w:val="nil"/>
              <w:bottom w:val="single" w:sz="4" w:space="0" w:color="auto"/>
              <w:right w:val="single" w:sz="4" w:space="0" w:color="auto"/>
            </w:tcBorders>
            <w:shd w:val="clear" w:color="auto" w:fill="C6EFCE"/>
            <w:noWrap/>
          </w:tcPr>
          <w:p w14:paraId="0A045510" w14:textId="4F08D519" w:rsidR="0023462A" w:rsidRDefault="00A550FA">
            <w:pPr>
              <w:pStyle w:val="P68B1DB1-Normal32"/>
              <w:spacing w:after="120" w:line="240" w:lineRule="auto"/>
              <w:ind w:left="51"/>
              <w:rPr>
                <w:noProof/>
              </w:rPr>
            </w:pPr>
            <w:r>
              <w:rPr>
                <w:noProof/>
              </w:rPr>
              <w:t>Entrée en vigueur d’une modification législative établissant des sanctions pénales, des amendes administratives et des conséquences connexes liées au mandat ou à la relation juridique en cas de manquement aux obligations de déclaration de patrimoine.</w:t>
            </w:r>
          </w:p>
          <w:p w14:paraId="63400D05" w14:textId="3DA3EDCB" w:rsidR="0023462A" w:rsidRDefault="00A550FA">
            <w:pPr>
              <w:pStyle w:val="P68B1DB1-Normal32"/>
              <w:spacing w:after="120" w:line="240" w:lineRule="auto"/>
              <w:ind w:left="51"/>
              <w:rPr>
                <w:noProof/>
              </w:rPr>
            </w:pPr>
            <w:r>
              <w:rPr>
                <w:noProof/>
              </w:rPr>
              <w:t>Les sanctions pénales devraient s'appliquer aux situations suivantes: a) le défaut de présenter une déclaration de patrimoine par sa propre faute à la suite d’un appel à le faire de la part de l’entité compétente, b) le fait de dissimuler sa situation financière à l’égard d’un fait matériel en faisant une déclaration de patrimoine avec un contenu faux, en retenant un fait réel ou par tout autre moyen.</w:t>
            </w:r>
          </w:p>
          <w:p w14:paraId="5DB71424" w14:textId="77777777" w:rsidR="0023462A" w:rsidRDefault="00A550FA">
            <w:pPr>
              <w:pStyle w:val="P68B1DB1-Normal32"/>
              <w:spacing w:after="120" w:line="240" w:lineRule="auto"/>
              <w:ind w:left="52"/>
              <w:textAlignment w:val="baseline"/>
              <w:rPr>
                <w:noProof/>
              </w:rPr>
            </w:pPr>
            <w:r>
              <w:rPr>
                <w:noProof/>
              </w:rPr>
              <w:t>Lorsque l’Autorité pour l’intégrité constate une violation grave, elle entame les conséquences applicables en matière de mandat ou de relations juridiques devant l’organisme, la personne, l’autorité ou la juridiction compétents, y compris, lorsque la loi le prévoit, les conséquences pécuniaires.</w:t>
            </w:r>
          </w:p>
          <w:p w14:paraId="5B147690" w14:textId="4E7B5C35" w:rsidR="0023462A" w:rsidRDefault="00A550FA">
            <w:pPr>
              <w:pStyle w:val="P68B1DB1-Normal32"/>
              <w:spacing w:after="120" w:line="240" w:lineRule="auto"/>
              <w:ind w:left="52"/>
              <w:textAlignment w:val="baseline"/>
              <w:rPr>
                <w:rFonts w:eastAsiaTheme="minorHAnsi"/>
                <w:noProof/>
              </w:rPr>
            </w:pPr>
            <w:r>
              <w:rPr>
                <w:noProof/>
              </w:rPr>
              <w:t>Les amendes administratives s’appliquent aux manquements purement administratifs non intentionnels qui ne relèvent pas de ces manquements graves, y compris le fait de ne pas y remédier à la suite de la recommandation de l’Autorité ou de la mesure proposée, à moins que le manquement ne soit mineur ou négligeable et qu’il n’ait été remédié.</w:t>
            </w:r>
          </w:p>
        </w:tc>
      </w:tr>
      <w:tr w:rsidR="0023462A" w14:paraId="70B0235C" w14:textId="77777777" w:rsidTr="009C289F">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vAlign w:val="center"/>
          </w:tcPr>
          <w:p w14:paraId="02E34025" w14:textId="6DDB4B2D" w:rsidR="0023462A" w:rsidRDefault="00A550FA">
            <w:pPr>
              <w:pStyle w:val="P68B1DB1-Normal32"/>
              <w:spacing w:after="120" w:line="240" w:lineRule="auto"/>
              <w:rPr>
                <w:rFonts w:eastAsiaTheme="minorHAnsi"/>
                <w:noProof/>
              </w:rPr>
            </w:pPr>
            <w:r>
              <w:rPr>
                <w:noProof/>
              </w:rPr>
              <w:t>62</w:t>
            </w:r>
          </w:p>
        </w:tc>
        <w:tc>
          <w:tcPr>
            <w:tcW w:w="1559" w:type="dxa"/>
            <w:tcBorders>
              <w:top w:val="nil"/>
              <w:left w:val="nil"/>
              <w:bottom w:val="single" w:sz="4" w:space="0" w:color="auto"/>
              <w:right w:val="single" w:sz="4" w:space="0" w:color="auto"/>
            </w:tcBorders>
            <w:shd w:val="clear" w:color="auto" w:fill="C6EFCE"/>
            <w:noWrap/>
            <w:vAlign w:val="center"/>
          </w:tcPr>
          <w:p w14:paraId="63208D9A" w14:textId="58950F04" w:rsidR="0023462A" w:rsidRDefault="00A550FA">
            <w:pPr>
              <w:pStyle w:val="P68B1DB1-Normal32"/>
              <w:spacing w:after="120" w:line="240" w:lineRule="auto"/>
              <w:rPr>
                <w:noProof/>
              </w:rPr>
            </w:pPr>
            <w:r>
              <w:rPr>
                <w:noProof/>
              </w:rPr>
              <w:t>C8.R6 Entrée en vigueur des actes juridiques relatifs à la transparence de l'utilisation des ressources publiques par les fondations de gestion d'actifs d'intérêt public</w:t>
            </w:r>
          </w:p>
        </w:tc>
        <w:tc>
          <w:tcPr>
            <w:tcW w:w="709" w:type="dxa"/>
            <w:tcBorders>
              <w:top w:val="nil"/>
              <w:left w:val="nil"/>
              <w:bottom w:val="single" w:sz="4" w:space="0" w:color="auto"/>
              <w:right w:val="single" w:sz="4" w:space="0" w:color="auto"/>
            </w:tcBorders>
            <w:shd w:val="clear" w:color="auto" w:fill="C6EFCE"/>
            <w:noWrap/>
            <w:vAlign w:val="center"/>
          </w:tcPr>
          <w:p w14:paraId="72E535B2" w14:textId="3C95BD5D" w:rsidR="0023462A" w:rsidRDefault="00A550FA">
            <w:pPr>
              <w:pStyle w:val="P68B1DB1-Normal32"/>
              <w:spacing w:after="120" w:line="240" w:lineRule="auto"/>
              <w:rPr>
                <w:rFonts w:eastAsiaTheme="minorHAnsi"/>
                <w:noProof/>
              </w:rPr>
            </w:pPr>
            <w:r>
              <w:rPr>
                <w:noProof/>
              </w:rPr>
              <w:t>Étape</w:t>
            </w:r>
          </w:p>
        </w:tc>
        <w:tc>
          <w:tcPr>
            <w:tcW w:w="1417" w:type="dxa"/>
            <w:tcBorders>
              <w:top w:val="nil"/>
              <w:left w:val="nil"/>
              <w:bottom w:val="single" w:sz="4" w:space="0" w:color="auto"/>
              <w:right w:val="single" w:sz="4" w:space="0" w:color="auto"/>
            </w:tcBorders>
            <w:shd w:val="clear" w:color="auto" w:fill="C6EFCE"/>
            <w:noWrap/>
            <w:vAlign w:val="center"/>
          </w:tcPr>
          <w:p w14:paraId="5E49DBF5" w14:textId="02552BD8" w:rsidR="0023462A" w:rsidRDefault="00A550FA">
            <w:pPr>
              <w:pStyle w:val="P68B1DB1-Normal32"/>
              <w:spacing w:after="120" w:line="240" w:lineRule="auto"/>
              <w:rPr>
                <w:rFonts w:eastAsiaTheme="minorHAnsi"/>
                <w:noProof/>
              </w:rPr>
            </w:pPr>
            <w:r>
              <w:rPr>
                <w:noProof/>
              </w:rPr>
              <w:t>Entrée en vigueur des modifications législatives relatives à la surveillance de la manière dont les fondations de gestion d’actifs d’intérêt public accomplissant des missions d’intérêt public et les personnes morales qu’elles établissent ou entretiennent utilisent le soutien de l’Union</w:t>
            </w:r>
          </w:p>
        </w:tc>
        <w:tc>
          <w:tcPr>
            <w:tcW w:w="1701" w:type="dxa"/>
            <w:tcBorders>
              <w:top w:val="nil"/>
              <w:left w:val="nil"/>
              <w:bottom w:val="single" w:sz="4" w:space="0" w:color="auto"/>
              <w:right w:val="single" w:sz="4" w:space="0" w:color="auto"/>
            </w:tcBorders>
            <w:shd w:val="clear" w:color="auto" w:fill="C6EFCE"/>
            <w:noWrap/>
            <w:vAlign w:val="center"/>
          </w:tcPr>
          <w:p w14:paraId="52882E3A" w14:textId="0B244017" w:rsidR="0023462A" w:rsidRDefault="00A550FA">
            <w:pPr>
              <w:pStyle w:val="P68B1DB1-Normal32"/>
              <w:spacing w:after="120" w:line="240" w:lineRule="auto"/>
              <w:rPr>
                <w:rFonts w:eastAsiaTheme="minorHAnsi"/>
                <w:noProof/>
              </w:rPr>
            </w:pPr>
            <w:r>
              <w:rPr>
                <w:noProof/>
              </w:rPr>
              <w:t>Disposition des modifications législatives indiquant l’entrée en vigueur</w:t>
            </w:r>
          </w:p>
        </w:tc>
        <w:tc>
          <w:tcPr>
            <w:tcW w:w="1418" w:type="dxa"/>
            <w:tcBorders>
              <w:top w:val="nil"/>
              <w:left w:val="nil"/>
              <w:bottom w:val="single" w:sz="4" w:space="0" w:color="auto"/>
              <w:right w:val="single" w:sz="4" w:space="0" w:color="auto"/>
            </w:tcBorders>
            <w:shd w:val="clear" w:color="auto" w:fill="C6EFCE"/>
            <w:noWrap/>
          </w:tcPr>
          <w:p w14:paraId="4D625A4F" w14:textId="77777777" w:rsidR="0023462A" w:rsidRDefault="0023462A">
            <w:pPr>
              <w:spacing w:after="120" w:line="240" w:lineRule="auto"/>
              <w:rPr>
                <w:rFonts w:ascii="Times New Roman" w:eastAsia="Calibri" w:hAnsi="Times New Roman" w:cs="Times New Roman"/>
                <w:noProof/>
                <w:sz w:val="18"/>
                <w:szCs w:val="18"/>
              </w:rPr>
            </w:pPr>
          </w:p>
        </w:tc>
        <w:tc>
          <w:tcPr>
            <w:tcW w:w="1417" w:type="dxa"/>
            <w:tcBorders>
              <w:top w:val="nil"/>
              <w:left w:val="nil"/>
              <w:bottom w:val="single" w:sz="4" w:space="0" w:color="auto"/>
              <w:right w:val="single" w:sz="4" w:space="0" w:color="auto"/>
            </w:tcBorders>
            <w:shd w:val="clear" w:color="auto" w:fill="C6EFCE"/>
            <w:noWrap/>
          </w:tcPr>
          <w:p w14:paraId="512F7079" w14:textId="77777777" w:rsidR="0023462A" w:rsidRDefault="0023462A">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tcPr>
          <w:p w14:paraId="23FAC1C1" w14:textId="77777777" w:rsidR="0023462A" w:rsidRDefault="0023462A">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65E7BCE3" w14:textId="0B679545" w:rsidR="0023462A" w:rsidRDefault="00A550FA">
            <w:pPr>
              <w:pStyle w:val="P68B1DB1-Normal32"/>
              <w:spacing w:after="120" w:line="240" w:lineRule="auto"/>
              <w:rPr>
                <w:rFonts w:eastAsiaTheme="minorHAnsi"/>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06463E04" w14:textId="760C4845" w:rsidR="0023462A" w:rsidRDefault="00A550FA">
            <w:pPr>
              <w:pStyle w:val="P68B1DB1-Normal32"/>
              <w:spacing w:after="120" w:line="240" w:lineRule="auto"/>
              <w:rPr>
                <w:rFonts w:eastAsiaTheme="minorHAnsi"/>
                <w:noProof/>
              </w:rPr>
            </w:pPr>
            <w:r>
              <w:rPr>
                <w:noProof/>
              </w:rPr>
              <w:t>2026</w:t>
            </w:r>
          </w:p>
        </w:tc>
        <w:tc>
          <w:tcPr>
            <w:tcW w:w="3713" w:type="dxa"/>
            <w:tcBorders>
              <w:top w:val="nil"/>
              <w:left w:val="nil"/>
              <w:bottom w:val="single" w:sz="4" w:space="0" w:color="auto"/>
              <w:right w:val="single" w:sz="4" w:space="0" w:color="auto"/>
            </w:tcBorders>
            <w:shd w:val="clear" w:color="auto" w:fill="C6EFCE"/>
            <w:noWrap/>
            <w:vAlign w:val="center"/>
          </w:tcPr>
          <w:p w14:paraId="184B29AA" w14:textId="77777777" w:rsidR="0023462A" w:rsidRDefault="00A550FA">
            <w:pPr>
              <w:pStyle w:val="P68B1DB1-Normal32"/>
              <w:spacing w:after="120" w:line="240" w:lineRule="auto"/>
              <w:ind w:left="52"/>
              <w:textAlignment w:val="baseline"/>
              <w:rPr>
                <w:rFonts w:eastAsia="Times New Roman"/>
                <w:noProof/>
              </w:rPr>
            </w:pPr>
            <w:r>
              <w:rPr>
                <w:noProof/>
              </w:rPr>
              <w:t>Entrée en vigueur des modifications législatives qui prévoient:</w:t>
            </w:r>
          </w:p>
          <w:p w14:paraId="168A1CBA" w14:textId="4601DF59" w:rsidR="0023462A" w:rsidRDefault="00A550FA">
            <w:pPr>
              <w:pStyle w:val="P68B1DB1-Normal32"/>
              <w:spacing w:after="120" w:line="240" w:lineRule="auto"/>
              <w:ind w:left="52"/>
              <w:textAlignment w:val="baseline"/>
              <w:rPr>
                <w:noProof/>
              </w:rPr>
            </w:pPr>
            <w:r>
              <w:rPr>
                <w:noProof/>
              </w:rPr>
              <w:t>i) la désignation des fondations de gestion d’actifs d’intérêt public exerçant des fonctions publiques et des personnes morales qu’elles établissent ou entretiennent en tant que pouvoirs adjudicateurs au sens des règles relatives aux marchés publics;</w:t>
            </w:r>
          </w:p>
          <w:p w14:paraId="4B7CC75D" w14:textId="77777777" w:rsidR="0023462A" w:rsidRDefault="00A550FA">
            <w:pPr>
              <w:pStyle w:val="P68B1DB1-Normal32"/>
              <w:spacing w:after="120" w:line="240" w:lineRule="auto"/>
              <w:ind w:left="52"/>
              <w:textAlignment w:val="baseline"/>
              <w:rPr>
                <w:noProof/>
              </w:rPr>
            </w:pPr>
            <w:r>
              <w:rPr>
                <w:noProof/>
              </w:rPr>
              <w:t xml:space="preserve">ii) l’exigence selon laquelle les fondations de gestion d’actifs d’intérêt public exerçant des fonctions publiques et les personnes morales qu’elles créent ou maintiennent sont soumises à des exigences en matière d’accès à l’information du public; </w:t>
            </w:r>
          </w:p>
          <w:p w14:paraId="0CF912AE" w14:textId="6D8D4268" w:rsidR="0023462A" w:rsidRDefault="00A550FA">
            <w:pPr>
              <w:pStyle w:val="P68B1DB1-Normal32"/>
              <w:spacing w:after="120" w:line="240" w:lineRule="auto"/>
              <w:ind w:left="52"/>
              <w:textAlignment w:val="baseline"/>
              <w:rPr>
                <w:noProof/>
              </w:rPr>
            </w:pPr>
            <w:r>
              <w:rPr>
                <w:noProof/>
              </w:rPr>
              <w:t>iii) la base juridique et l’obligation de supprimer progressivement les fondations de gestion d’actifs d’intérêt public exerçant des fonctions publiques qui n’entretiennent pas d’établissement d’enseignement supérieur en Hongrie; et</w:t>
            </w:r>
          </w:p>
          <w:p w14:paraId="4FC5C1FF" w14:textId="36265AF7" w:rsidR="0023462A" w:rsidRDefault="00A550FA">
            <w:pPr>
              <w:pStyle w:val="P68B1DB1-Normal32"/>
              <w:spacing w:after="120" w:line="240" w:lineRule="auto"/>
              <w:ind w:left="52"/>
              <w:textAlignment w:val="baseline"/>
              <w:rPr>
                <w:rFonts w:eastAsiaTheme="minorHAnsi"/>
                <w:noProof/>
              </w:rPr>
            </w:pPr>
            <w:r>
              <w:rPr>
                <w:noProof/>
              </w:rPr>
              <w:t>iv) la conformité avec les dispositions de l’article 61 du règlement (UE, Euratom) 2024/2509 des règles applicables à toutes les personnes physiques exerçant des fonctions ou employées par des fondations de gestion d’actifs d’intérêt public exerçant des fonctions publiques qui maintiennent des établissements d’enseignement supérieur en Hongrie et aux personnes morales qu’elles établissent ou entretiennent, indépendamment de leurs autres activités et fonctions, y compris au sein du gouvernement hongrois.</w:t>
            </w:r>
          </w:p>
        </w:tc>
      </w:tr>
      <w:tr w:rsidR="0023462A" w14:paraId="5CA2AC47" w14:textId="77777777" w:rsidTr="009C289F">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vAlign w:val="center"/>
          </w:tcPr>
          <w:p w14:paraId="269BE4CF" w14:textId="7A542FE2" w:rsidR="0023462A" w:rsidRDefault="00A550FA">
            <w:pPr>
              <w:pStyle w:val="P68B1DB1-Normal32"/>
              <w:spacing w:after="120" w:line="240" w:lineRule="auto"/>
              <w:rPr>
                <w:rFonts w:eastAsiaTheme="minorHAnsi"/>
                <w:noProof/>
              </w:rPr>
            </w:pPr>
            <w:r>
              <w:rPr>
                <w:noProof/>
              </w:rPr>
              <w:t>63</w:t>
            </w:r>
          </w:p>
        </w:tc>
        <w:tc>
          <w:tcPr>
            <w:tcW w:w="1559" w:type="dxa"/>
            <w:tcBorders>
              <w:top w:val="nil"/>
              <w:left w:val="nil"/>
              <w:bottom w:val="single" w:sz="4" w:space="0" w:color="auto"/>
              <w:right w:val="single" w:sz="4" w:space="0" w:color="auto"/>
            </w:tcBorders>
            <w:shd w:val="clear" w:color="auto" w:fill="C6EFCE"/>
            <w:noWrap/>
            <w:vAlign w:val="center"/>
          </w:tcPr>
          <w:p w14:paraId="59477D74" w14:textId="37BE41B4" w:rsidR="0023462A" w:rsidRDefault="00A550FA">
            <w:pPr>
              <w:pStyle w:val="P68B1DB1-Normal32"/>
              <w:spacing w:after="120" w:line="240" w:lineRule="auto"/>
              <w:ind w:left="52"/>
              <w:rPr>
                <w:noProof/>
              </w:rPr>
            </w:pPr>
            <w:r>
              <w:rPr>
                <w:noProof/>
              </w:rPr>
              <w:t>C8.R7 Renforcer la transparence des dépenses publiques</w:t>
            </w:r>
          </w:p>
          <w:p w14:paraId="45A59298" w14:textId="77777777" w:rsidR="0023462A" w:rsidRDefault="0023462A">
            <w:pPr>
              <w:spacing w:after="120" w:line="240" w:lineRule="auto"/>
              <w:rPr>
                <w:rFonts w:ascii="Times New Roman" w:eastAsiaTheme="minorHAnsi" w:hAnsi="Times New Roman" w:cs="Times New Roman"/>
                <w:noProof/>
                <w:sz w:val="18"/>
                <w:szCs w:val="18"/>
              </w:rPr>
            </w:pPr>
          </w:p>
        </w:tc>
        <w:tc>
          <w:tcPr>
            <w:tcW w:w="709" w:type="dxa"/>
            <w:tcBorders>
              <w:top w:val="nil"/>
              <w:left w:val="nil"/>
              <w:bottom w:val="single" w:sz="4" w:space="0" w:color="auto"/>
              <w:right w:val="single" w:sz="4" w:space="0" w:color="auto"/>
            </w:tcBorders>
            <w:shd w:val="clear" w:color="auto" w:fill="C6EFCE"/>
            <w:noWrap/>
            <w:vAlign w:val="center"/>
          </w:tcPr>
          <w:p w14:paraId="7BF5B04D" w14:textId="26A4A5BB" w:rsidR="0023462A" w:rsidRDefault="00A550FA">
            <w:pPr>
              <w:pStyle w:val="P68B1DB1-Normal32"/>
              <w:spacing w:after="120" w:line="240" w:lineRule="auto"/>
              <w:rPr>
                <w:rFonts w:eastAsiaTheme="minorHAnsi"/>
                <w:noProof/>
              </w:rPr>
            </w:pPr>
            <w:r>
              <w:rPr>
                <w:noProof/>
              </w:rPr>
              <w:t>Étape</w:t>
            </w:r>
          </w:p>
        </w:tc>
        <w:tc>
          <w:tcPr>
            <w:tcW w:w="1417" w:type="dxa"/>
            <w:tcBorders>
              <w:top w:val="nil"/>
              <w:left w:val="nil"/>
              <w:bottom w:val="single" w:sz="4" w:space="0" w:color="auto"/>
              <w:right w:val="single" w:sz="4" w:space="0" w:color="auto"/>
            </w:tcBorders>
            <w:shd w:val="clear" w:color="auto" w:fill="C6EFCE"/>
            <w:noWrap/>
            <w:vAlign w:val="center"/>
          </w:tcPr>
          <w:p w14:paraId="1B796712" w14:textId="1576C191" w:rsidR="0023462A" w:rsidRDefault="00A550FA">
            <w:pPr>
              <w:pStyle w:val="P68B1DB1-Normal32"/>
              <w:spacing w:after="120" w:line="240" w:lineRule="auto"/>
              <w:rPr>
                <w:rFonts w:eastAsiaTheme="minorHAnsi"/>
                <w:noProof/>
              </w:rPr>
            </w:pPr>
            <w:r>
              <w:rPr>
                <w:noProof/>
              </w:rPr>
              <w:t>Entrée en vigueur d'une législation visant à renforcer la transparence des dépenses publiques</w:t>
            </w:r>
          </w:p>
        </w:tc>
        <w:tc>
          <w:tcPr>
            <w:tcW w:w="1701" w:type="dxa"/>
            <w:tcBorders>
              <w:top w:val="nil"/>
              <w:left w:val="nil"/>
              <w:bottom w:val="single" w:sz="4" w:space="0" w:color="auto"/>
              <w:right w:val="single" w:sz="4" w:space="0" w:color="auto"/>
            </w:tcBorders>
            <w:shd w:val="clear" w:color="auto" w:fill="C6EFCE"/>
            <w:noWrap/>
            <w:vAlign w:val="center"/>
          </w:tcPr>
          <w:p w14:paraId="1B73E300" w14:textId="07EC87DC" w:rsidR="0023462A" w:rsidRDefault="00A550FA">
            <w:pPr>
              <w:pStyle w:val="P68B1DB1-Normal32"/>
              <w:spacing w:after="120" w:line="240" w:lineRule="auto"/>
              <w:rPr>
                <w:rFonts w:eastAsiaTheme="minorHAnsi"/>
                <w:noProof/>
              </w:rPr>
            </w:pPr>
            <w:r>
              <w:rPr>
                <w:noProof/>
              </w:rPr>
              <w:t>Disposition de la législation indiquant l'entrée en vigueur</w:t>
            </w:r>
          </w:p>
        </w:tc>
        <w:tc>
          <w:tcPr>
            <w:tcW w:w="1418" w:type="dxa"/>
            <w:tcBorders>
              <w:top w:val="nil"/>
              <w:left w:val="nil"/>
              <w:bottom w:val="single" w:sz="4" w:space="0" w:color="auto"/>
              <w:right w:val="single" w:sz="4" w:space="0" w:color="auto"/>
            </w:tcBorders>
            <w:shd w:val="clear" w:color="auto" w:fill="C6EFCE"/>
            <w:noWrap/>
          </w:tcPr>
          <w:p w14:paraId="47D83916" w14:textId="77777777" w:rsidR="0023462A" w:rsidRDefault="0023462A">
            <w:pPr>
              <w:spacing w:after="120" w:line="240" w:lineRule="auto"/>
              <w:rPr>
                <w:rFonts w:ascii="Times New Roman" w:eastAsia="Calibri" w:hAnsi="Times New Roman" w:cs="Times New Roman"/>
                <w:noProof/>
                <w:sz w:val="18"/>
                <w:szCs w:val="18"/>
              </w:rPr>
            </w:pPr>
          </w:p>
        </w:tc>
        <w:tc>
          <w:tcPr>
            <w:tcW w:w="1417" w:type="dxa"/>
            <w:tcBorders>
              <w:top w:val="nil"/>
              <w:left w:val="nil"/>
              <w:bottom w:val="single" w:sz="4" w:space="0" w:color="auto"/>
              <w:right w:val="single" w:sz="4" w:space="0" w:color="auto"/>
            </w:tcBorders>
            <w:shd w:val="clear" w:color="auto" w:fill="C6EFCE"/>
            <w:noWrap/>
          </w:tcPr>
          <w:p w14:paraId="4D12E2C6" w14:textId="77777777" w:rsidR="0023462A" w:rsidRDefault="0023462A">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tcPr>
          <w:p w14:paraId="6892A157" w14:textId="77777777" w:rsidR="0023462A" w:rsidRDefault="0023462A">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5C447785" w14:textId="4D086C20" w:rsidR="0023462A" w:rsidRDefault="00A550FA">
            <w:pPr>
              <w:pStyle w:val="P68B1DB1-Normal32"/>
              <w:spacing w:after="120" w:line="240" w:lineRule="auto"/>
              <w:rPr>
                <w:rFonts w:eastAsiaTheme="minorHAnsi"/>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49AA1F41" w14:textId="56F0FD4E" w:rsidR="0023462A" w:rsidRDefault="00A550FA">
            <w:pPr>
              <w:pStyle w:val="P68B1DB1-Normal32"/>
              <w:spacing w:after="120" w:line="240" w:lineRule="auto"/>
              <w:rPr>
                <w:rFonts w:eastAsiaTheme="minorHAnsi"/>
                <w:noProof/>
              </w:rPr>
            </w:pPr>
            <w:r>
              <w:rPr>
                <w:noProof/>
              </w:rPr>
              <w:t>2026</w:t>
            </w:r>
          </w:p>
        </w:tc>
        <w:tc>
          <w:tcPr>
            <w:tcW w:w="3713" w:type="dxa"/>
            <w:tcBorders>
              <w:top w:val="nil"/>
              <w:left w:val="nil"/>
              <w:bottom w:val="single" w:sz="4" w:space="0" w:color="auto"/>
              <w:right w:val="single" w:sz="4" w:space="0" w:color="auto"/>
            </w:tcBorders>
            <w:shd w:val="clear" w:color="auto" w:fill="C6EFCE"/>
            <w:noWrap/>
            <w:vAlign w:val="center"/>
          </w:tcPr>
          <w:p w14:paraId="3E89A271" w14:textId="39D1FC49" w:rsidR="0023462A" w:rsidRDefault="00A550FA">
            <w:pPr>
              <w:pStyle w:val="P68B1DB1-Normal32"/>
              <w:spacing w:after="120" w:line="240" w:lineRule="auto"/>
              <w:ind w:left="52"/>
              <w:textAlignment w:val="baseline"/>
              <w:rPr>
                <w:noProof/>
              </w:rPr>
            </w:pPr>
            <w:r>
              <w:rPr>
                <w:noProof/>
              </w:rPr>
              <w:t>Entrée en vigueur d’une législation prévoyant une obligation pour les organismes exerçant des fonctions publiques au sens de l’article 37/C de la loi CXII de 2011 (couvrant au moins les personnes morales inscrites au registre de la trésorerie, les opérateurs économiques publics et les fondations créées par eux; les fondations de gestion d’actifs établies par l’État, les fondations de gestion d’actifs d’intérêt public exerçant des fonctions publiques et les personnes morales créées ou gérées par elles, le réseau de recherche HUN-REN) afin de publier de manière proactive un ensemble prédéfini d’informations sur l’utilisation des fonds publics dans un registre central. Les informations sont mises à disposition dans un registre central, qui fournit également des informations sur les sous-traitants et inclut, le cas échéant, des identifiants uniques des marchés dans le système électronique de passation des marchés publics (SPE).</w:t>
            </w:r>
          </w:p>
          <w:p w14:paraId="4129964D" w14:textId="47C83D8F" w:rsidR="0023462A" w:rsidRDefault="00A550FA">
            <w:pPr>
              <w:pStyle w:val="P68B1DB1-Normal32"/>
              <w:spacing w:after="120" w:line="240" w:lineRule="auto"/>
              <w:ind w:left="52"/>
              <w:textAlignment w:val="baseline"/>
              <w:rPr>
                <w:noProof/>
              </w:rPr>
            </w:pPr>
            <w:r>
              <w:rPr>
                <w:noProof/>
              </w:rPr>
              <w:t>La législation prévoit que l’ensemble minimal de données à charger dans le registre central comprend:</w:t>
            </w:r>
          </w:p>
          <w:p w14:paraId="7377EC39" w14:textId="77777777" w:rsidR="0023462A" w:rsidRDefault="00A550FA">
            <w:pPr>
              <w:pStyle w:val="P68B1DB1-Normal32"/>
              <w:spacing w:after="120" w:line="240" w:lineRule="auto"/>
              <w:ind w:left="52"/>
              <w:textAlignment w:val="baseline"/>
              <w:rPr>
                <w:noProof/>
              </w:rPr>
            </w:pPr>
            <w:r>
              <w:rPr>
                <w:noProof/>
              </w:rPr>
              <w:t>i) toutes les données dont la publication est déjà obligatoire à des fins de transparence, y compris les données publiées dans le registre de transparence des aides d’État;</w:t>
            </w:r>
          </w:p>
          <w:p w14:paraId="5AAE4842" w14:textId="77777777" w:rsidR="0023462A" w:rsidRDefault="00A550FA">
            <w:pPr>
              <w:pStyle w:val="P68B1DB1-Normal32"/>
              <w:spacing w:after="120" w:line="240" w:lineRule="auto"/>
              <w:ind w:left="52"/>
              <w:textAlignment w:val="baseline"/>
              <w:rPr>
                <w:noProof/>
              </w:rPr>
            </w:pPr>
            <w:r>
              <w:rPr>
                <w:noProof/>
              </w:rPr>
              <w:t xml:space="preserve">ii) la forme des dépenses publiques, y compris leur base juridique; </w:t>
            </w:r>
          </w:p>
          <w:p w14:paraId="6B16E810" w14:textId="77777777" w:rsidR="0023462A" w:rsidRDefault="00A550FA">
            <w:pPr>
              <w:pStyle w:val="P68B1DB1-Normal32"/>
              <w:spacing w:after="120" w:line="240" w:lineRule="auto"/>
              <w:ind w:left="52"/>
              <w:textAlignment w:val="baseline"/>
              <w:rPr>
                <w:noProof/>
              </w:rPr>
            </w:pPr>
            <w:r>
              <w:rPr>
                <w:noProof/>
              </w:rPr>
              <w:t xml:space="preserve">iii) le nom légal complet du destinataire (pour une personne morale) ou le prénom et le nom de famille du destinataire (pour les personnes physiques); </w:t>
            </w:r>
          </w:p>
          <w:p w14:paraId="68D190B7" w14:textId="77777777" w:rsidR="0023462A" w:rsidRDefault="00A550FA">
            <w:pPr>
              <w:pStyle w:val="P68B1DB1-Normal32"/>
              <w:spacing w:after="120" w:line="240" w:lineRule="auto"/>
              <w:ind w:left="52"/>
              <w:textAlignment w:val="baseline"/>
              <w:rPr>
                <w:noProof/>
              </w:rPr>
            </w:pPr>
            <w:r>
              <w:rPr>
                <w:noProof/>
              </w:rPr>
              <w:t xml:space="preserve">iv) la valeur des dépenses publiques; </w:t>
            </w:r>
          </w:p>
          <w:p w14:paraId="4AA9B3B1" w14:textId="77777777" w:rsidR="0023462A" w:rsidRDefault="00A550FA">
            <w:pPr>
              <w:pStyle w:val="P68B1DB1-Normal32"/>
              <w:spacing w:after="120" w:line="240" w:lineRule="auto"/>
              <w:ind w:left="52"/>
              <w:textAlignment w:val="baseline"/>
              <w:rPr>
                <w:noProof/>
              </w:rPr>
            </w:pPr>
            <w:r>
              <w:rPr>
                <w:noProof/>
              </w:rPr>
              <w:t xml:space="preserve">v) si le destinataire est une personne physique ou morale; </w:t>
            </w:r>
          </w:p>
          <w:p w14:paraId="6B5F66C3" w14:textId="77777777" w:rsidR="0023462A" w:rsidRDefault="00A550FA">
            <w:pPr>
              <w:pStyle w:val="P68B1DB1-Normal32"/>
              <w:spacing w:after="120" w:line="240" w:lineRule="auto"/>
              <w:ind w:left="52"/>
              <w:textAlignment w:val="baseline"/>
              <w:rPr>
                <w:noProof/>
              </w:rPr>
            </w:pPr>
            <w:r>
              <w:rPr>
                <w:noProof/>
              </w:rPr>
              <w:t xml:space="preserve">vi) un identifiant unique pour les personnes morales (numéro d’identification TVA ou numéro d’identification fiscale, le cas échéant, ou un autre identifiant unique établi au niveau national); </w:t>
            </w:r>
          </w:p>
          <w:p w14:paraId="45F64266" w14:textId="77777777" w:rsidR="0023462A" w:rsidRDefault="00A550FA">
            <w:pPr>
              <w:pStyle w:val="P68B1DB1-Normal32"/>
              <w:spacing w:after="120" w:line="240" w:lineRule="auto"/>
              <w:ind w:left="52"/>
              <w:textAlignment w:val="baseline"/>
              <w:rPr>
                <w:noProof/>
              </w:rPr>
            </w:pPr>
            <w:r>
              <w:rPr>
                <w:noProof/>
              </w:rPr>
              <w:t xml:space="preserve">vii) les détails du contrat relatifs à l’utilisation des fonds publics, y compris leur nature et leur finalité (type de contrat utilisé, type de procédure d’appel d’offres utilisée, valeur du contrat, date de signature, durée du contrat, objectif à atteindre, élément livrable à livrer dans le cadre du contrat); </w:t>
            </w:r>
          </w:p>
          <w:p w14:paraId="135E0AC4" w14:textId="77777777" w:rsidR="0023462A" w:rsidRDefault="00A550FA">
            <w:pPr>
              <w:pStyle w:val="P68B1DB1-Normal32"/>
              <w:spacing w:after="120" w:line="240" w:lineRule="auto"/>
              <w:ind w:left="52"/>
              <w:textAlignment w:val="baseline"/>
              <w:rPr>
                <w:noProof/>
              </w:rPr>
            </w:pPr>
            <w:r>
              <w:rPr>
                <w:noProof/>
              </w:rPr>
              <w:t xml:space="preserve">viii) les documents d’appel d’offres relatifs à l’utilisation des fonds publics, y compris leur nature et leur finalité (valeur estimée, type de procédure de passation de marché public, date de l’appel d’offres, nombre d’offres soumises, nom des soumissionnaires); </w:t>
            </w:r>
          </w:p>
          <w:p w14:paraId="19CFAE2A" w14:textId="77777777" w:rsidR="0023462A" w:rsidRDefault="00A550FA">
            <w:pPr>
              <w:pStyle w:val="P68B1DB1-Normal32"/>
              <w:spacing w:after="120" w:line="240" w:lineRule="auto"/>
              <w:ind w:left="52"/>
              <w:textAlignment w:val="baseline"/>
              <w:rPr>
                <w:noProof/>
              </w:rPr>
            </w:pPr>
            <w:r>
              <w:rPr>
                <w:noProof/>
              </w:rPr>
              <w:t xml:space="preserve">ix) le nom des prestataires de services, y compris le nom des sous-traitants, des fournisseurs et des fournisseurs de capacités, dans un format de texte libre pour les données historiques et dans un format traitable par des moyens automatiques pour les futurs marchés publics; </w:t>
            </w:r>
          </w:p>
          <w:p w14:paraId="4F593422" w14:textId="77777777" w:rsidR="0023462A" w:rsidRDefault="00A550FA">
            <w:pPr>
              <w:pStyle w:val="P68B1DB1-Normal32"/>
              <w:spacing w:after="120" w:line="240" w:lineRule="auto"/>
              <w:ind w:left="52"/>
              <w:textAlignment w:val="baseline"/>
              <w:rPr>
                <w:noProof/>
              </w:rPr>
            </w:pPr>
            <w:r>
              <w:rPr>
                <w:noProof/>
              </w:rPr>
              <w:t xml:space="preserve">x) la part prévue de sous-traitants, si elle est disponible, tant pour les marchés publics passés que pour les marchés publics futurs; </w:t>
            </w:r>
          </w:p>
          <w:p w14:paraId="2C31E301" w14:textId="77777777" w:rsidR="0023462A" w:rsidRDefault="00A550FA">
            <w:pPr>
              <w:pStyle w:val="P68B1DB1-Normal32"/>
              <w:spacing w:after="120" w:line="240" w:lineRule="auto"/>
              <w:ind w:left="52"/>
              <w:textAlignment w:val="baseline"/>
              <w:rPr>
                <w:noProof/>
              </w:rPr>
            </w:pPr>
            <w:r>
              <w:rPr>
                <w:noProof/>
              </w:rPr>
              <w:t xml:space="preserve">xi) l'organisme public responsable; </w:t>
            </w:r>
          </w:p>
          <w:p w14:paraId="10DE715C" w14:textId="67EE63E6" w:rsidR="0023462A" w:rsidRDefault="00A550FA">
            <w:pPr>
              <w:pStyle w:val="P68B1DB1-Normal32"/>
              <w:spacing w:after="120" w:line="240" w:lineRule="auto"/>
              <w:ind w:left="52"/>
              <w:textAlignment w:val="baseline"/>
              <w:rPr>
                <w:rFonts w:eastAsia="Times New Roman"/>
                <w:noProof/>
              </w:rPr>
            </w:pPr>
            <w:r>
              <w:rPr>
                <w:noProof/>
              </w:rPr>
              <w:t xml:space="preserve">xii) la date à laquelle les fonds ont été décaissés. </w:t>
            </w:r>
          </w:p>
          <w:p w14:paraId="40AFA1A6" w14:textId="77777777" w:rsidR="0023462A" w:rsidRDefault="00A550FA">
            <w:pPr>
              <w:pStyle w:val="P68B1DB1-Normal32"/>
              <w:spacing w:after="120" w:line="240" w:lineRule="auto"/>
              <w:ind w:left="52"/>
              <w:textAlignment w:val="baseline"/>
              <w:rPr>
                <w:rFonts w:eastAsia="Times New Roman"/>
                <w:noProof/>
              </w:rPr>
            </w:pPr>
            <w:r>
              <w:rPr>
                <w:noProof/>
              </w:rPr>
              <w:t xml:space="preserve">La législation prévoit que les informations indiquant si les fonds publics impliquent (totalement ou partiellement) un soutien de l’Union sont également mises à disposition dans le registre central: a) pour les fonds publics supérieurs au seuil national de passation de marchés publics et b) pour les procédures de passation de marchés qui ont débuté après le 31 mars 2023, y compris pour les procédures impliquant un soutien de l’Union ne dépassant pas les seuils nationaux de passation de marchés publics. </w:t>
            </w:r>
          </w:p>
          <w:p w14:paraId="2CD9453B" w14:textId="77777777" w:rsidR="0023462A" w:rsidRDefault="00A550FA">
            <w:pPr>
              <w:pStyle w:val="P68B1DB1-Normal32"/>
              <w:spacing w:after="120" w:line="240" w:lineRule="auto"/>
              <w:ind w:left="52"/>
              <w:textAlignment w:val="baseline"/>
              <w:rPr>
                <w:rFonts w:eastAsia="Times New Roman"/>
                <w:noProof/>
              </w:rPr>
            </w:pPr>
            <w:r>
              <w:rPr>
                <w:noProof/>
              </w:rPr>
              <w:t>La législation prévoit que les ensembles de données publiés dans le registre central doivent être publiés dans un format ouvert, interopérable et lisible par machine, qui permet de trier, de rechercher, d’extraire, de comparer et de réutiliser les données téléchargées en masse. Il convient également de veiller à ce que l’accès aux données soit fourni gratuitement et sans qu’il soit nécessaire de s’enregistrer.</w:t>
            </w:r>
          </w:p>
          <w:p w14:paraId="2641BFCD" w14:textId="3F7B5D4D" w:rsidR="0023462A" w:rsidRDefault="00A550FA">
            <w:pPr>
              <w:pStyle w:val="P68B1DB1-Normal32"/>
              <w:spacing w:after="120" w:line="240" w:lineRule="auto"/>
              <w:ind w:left="52"/>
              <w:textAlignment w:val="baseline"/>
              <w:rPr>
                <w:rFonts w:eastAsia="Times New Roman"/>
                <w:noProof/>
              </w:rPr>
            </w:pPr>
            <w:r>
              <w:rPr>
                <w:noProof/>
              </w:rPr>
              <w:t>La législation prévoit l'obligation pour les organismes de mettre à jour les données du registre central au moins tous les deux mois.</w:t>
            </w:r>
          </w:p>
          <w:p w14:paraId="1E7DD6B5" w14:textId="4367ED5F" w:rsidR="0023462A" w:rsidRDefault="00A550FA">
            <w:pPr>
              <w:pStyle w:val="P68B1DB1-Normal32"/>
              <w:spacing w:after="120" w:line="240" w:lineRule="auto"/>
              <w:ind w:left="52"/>
              <w:textAlignment w:val="baseline"/>
              <w:rPr>
                <w:rFonts w:eastAsiaTheme="minorHAnsi"/>
                <w:noProof/>
              </w:rPr>
            </w:pPr>
            <w:r>
              <w:rPr>
                <w:noProof/>
              </w:rPr>
              <w:t>La législation exige le contrôle du respect et de l'exécution des obligations découlant des exigences ci-dessus.</w:t>
            </w:r>
          </w:p>
        </w:tc>
      </w:tr>
      <w:tr w:rsidR="0023462A" w14:paraId="261F7104" w14:textId="77777777" w:rsidTr="009C289F">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vAlign w:val="center"/>
          </w:tcPr>
          <w:p w14:paraId="050A1D72" w14:textId="3CE0CB30" w:rsidR="0023462A" w:rsidRDefault="00A550FA">
            <w:pPr>
              <w:pStyle w:val="P68B1DB1-Normal32"/>
              <w:spacing w:after="120" w:line="240" w:lineRule="auto"/>
              <w:ind w:left="52"/>
              <w:textAlignment w:val="baseline"/>
              <w:rPr>
                <w:noProof/>
              </w:rPr>
            </w:pPr>
            <w:r>
              <w:rPr>
                <w:noProof/>
              </w:rPr>
              <w:t>64</w:t>
            </w:r>
          </w:p>
          <w:p w14:paraId="13117D50" w14:textId="77777777" w:rsidR="0023462A" w:rsidRDefault="0023462A">
            <w:pPr>
              <w:spacing w:after="120" w:line="240" w:lineRule="auto"/>
              <w:rPr>
                <w:rFonts w:ascii="Times New Roman" w:eastAsiaTheme="minorHAnsi" w:hAnsi="Times New Roman" w:cs="Times New Roman"/>
                <w:noProof/>
                <w:sz w:val="18"/>
                <w:szCs w:val="18"/>
              </w:rPr>
            </w:pPr>
          </w:p>
        </w:tc>
        <w:tc>
          <w:tcPr>
            <w:tcW w:w="1559" w:type="dxa"/>
            <w:tcBorders>
              <w:top w:val="nil"/>
              <w:left w:val="nil"/>
              <w:bottom w:val="single" w:sz="4" w:space="0" w:color="auto"/>
              <w:right w:val="single" w:sz="4" w:space="0" w:color="auto"/>
            </w:tcBorders>
            <w:shd w:val="clear" w:color="auto" w:fill="C6EFCE"/>
            <w:noWrap/>
            <w:vAlign w:val="center"/>
          </w:tcPr>
          <w:p w14:paraId="21012095" w14:textId="7AB71847" w:rsidR="0023462A" w:rsidRDefault="00A550FA">
            <w:pPr>
              <w:pStyle w:val="P68B1DB1-Normal32"/>
              <w:spacing w:after="120" w:line="240" w:lineRule="auto"/>
              <w:rPr>
                <w:noProof/>
              </w:rPr>
            </w:pPr>
            <w:r>
              <w:rPr>
                <w:noProof/>
              </w:rPr>
              <w:t>C8.R8 Règles garantissant la transparence des bénéficiaires effectifs des entités et clarifiant le recours aux subventions publiques</w:t>
            </w:r>
          </w:p>
        </w:tc>
        <w:tc>
          <w:tcPr>
            <w:tcW w:w="709" w:type="dxa"/>
            <w:tcBorders>
              <w:top w:val="nil"/>
              <w:left w:val="nil"/>
              <w:bottom w:val="single" w:sz="4" w:space="0" w:color="auto"/>
              <w:right w:val="single" w:sz="4" w:space="0" w:color="auto"/>
            </w:tcBorders>
            <w:shd w:val="clear" w:color="auto" w:fill="C6EFCE"/>
            <w:noWrap/>
            <w:vAlign w:val="center"/>
          </w:tcPr>
          <w:p w14:paraId="434BC8A6" w14:textId="723250AB" w:rsidR="0023462A" w:rsidRDefault="00A550FA">
            <w:pPr>
              <w:pStyle w:val="P68B1DB1-Normal32"/>
              <w:spacing w:after="120" w:line="240" w:lineRule="auto"/>
              <w:rPr>
                <w:rFonts w:eastAsiaTheme="minorHAnsi"/>
                <w:noProof/>
              </w:rPr>
            </w:pPr>
            <w:r>
              <w:rPr>
                <w:noProof/>
              </w:rPr>
              <w:t>Étape</w:t>
            </w:r>
          </w:p>
        </w:tc>
        <w:tc>
          <w:tcPr>
            <w:tcW w:w="1417" w:type="dxa"/>
            <w:tcBorders>
              <w:top w:val="nil"/>
              <w:left w:val="nil"/>
              <w:bottom w:val="single" w:sz="4" w:space="0" w:color="auto"/>
              <w:right w:val="single" w:sz="4" w:space="0" w:color="auto"/>
            </w:tcBorders>
            <w:shd w:val="clear" w:color="auto" w:fill="C6EFCE"/>
            <w:noWrap/>
            <w:vAlign w:val="center"/>
          </w:tcPr>
          <w:p w14:paraId="4D5D5DF2" w14:textId="12C2145E" w:rsidR="0023462A" w:rsidRDefault="00A550FA">
            <w:pPr>
              <w:pStyle w:val="P68B1DB1-Normal32"/>
              <w:spacing w:after="120" w:line="240" w:lineRule="auto"/>
              <w:rPr>
                <w:rFonts w:eastAsiaTheme="minorHAnsi"/>
                <w:noProof/>
              </w:rPr>
            </w:pPr>
            <w:r>
              <w:rPr>
                <w:noProof/>
              </w:rPr>
              <w:t xml:space="preserve">Modifications législatives garantissant la transparence des données des personnes physiques qui sont les bénéficiaires effectifs et législation visant à clarifier le champ d’application des agents publics et des entités qui sont exclus du bénéfice de subventions publiques </w:t>
            </w:r>
          </w:p>
        </w:tc>
        <w:tc>
          <w:tcPr>
            <w:tcW w:w="1701" w:type="dxa"/>
            <w:tcBorders>
              <w:top w:val="nil"/>
              <w:left w:val="nil"/>
              <w:bottom w:val="single" w:sz="4" w:space="0" w:color="auto"/>
              <w:right w:val="single" w:sz="4" w:space="0" w:color="auto"/>
            </w:tcBorders>
            <w:shd w:val="clear" w:color="auto" w:fill="C6EFCE"/>
            <w:noWrap/>
            <w:vAlign w:val="center"/>
          </w:tcPr>
          <w:p w14:paraId="11E9FE5C" w14:textId="2ECEDBCD" w:rsidR="0023462A" w:rsidRDefault="00A550FA">
            <w:pPr>
              <w:pStyle w:val="P68B1DB1-Normal32"/>
              <w:spacing w:after="120" w:line="240" w:lineRule="auto"/>
              <w:rPr>
                <w:rFonts w:eastAsiaTheme="minorHAnsi"/>
                <w:noProof/>
              </w:rPr>
            </w:pPr>
            <w:r>
              <w:rPr>
                <w:noProof/>
              </w:rPr>
              <w:t>Disposition de la législation indiquant l'entrée en vigueur</w:t>
            </w:r>
          </w:p>
        </w:tc>
        <w:tc>
          <w:tcPr>
            <w:tcW w:w="1418" w:type="dxa"/>
            <w:tcBorders>
              <w:top w:val="nil"/>
              <w:left w:val="nil"/>
              <w:bottom w:val="single" w:sz="4" w:space="0" w:color="auto"/>
              <w:right w:val="single" w:sz="4" w:space="0" w:color="auto"/>
            </w:tcBorders>
            <w:shd w:val="clear" w:color="auto" w:fill="C6EFCE"/>
            <w:noWrap/>
          </w:tcPr>
          <w:p w14:paraId="58CFC30C" w14:textId="77777777" w:rsidR="0023462A" w:rsidRDefault="0023462A">
            <w:pPr>
              <w:spacing w:after="120" w:line="240" w:lineRule="auto"/>
              <w:rPr>
                <w:rFonts w:ascii="Times New Roman" w:eastAsia="Calibri" w:hAnsi="Times New Roman" w:cs="Times New Roman"/>
                <w:noProof/>
                <w:sz w:val="18"/>
                <w:szCs w:val="18"/>
              </w:rPr>
            </w:pPr>
          </w:p>
        </w:tc>
        <w:tc>
          <w:tcPr>
            <w:tcW w:w="1417" w:type="dxa"/>
            <w:tcBorders>
              <w:top w:val="nil"/>
              <w:left w:val="nil"/>
              <w:bottom w:val="single" w:sz="4" w:space="0" w:color="auto"/>
              <w:right w:val="single" w:sz="4" w:space="0" w:color="auto"/>
            </w:tcBorders>
            <w:shd w:val="clear" w:color="auto" w:fill="C6EFCE"/>
            <w:noWrap/>
          </w:tcPr>
          <w:p w14:paraId="357A82F8" w14:textId="77777777" w:rsidR="0023462A" w:rsidRDefault="0023462A">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tcPr>
          <w:p w14:paraId="37FF353E" w14:textId="77777777" w:rsidR="0023462A" w:rsidRDefault="0023462A">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54AA5A7F" w14:textId="50D32056" w:rsidR="0023462A" w:rsidRDefault="00A550FA">
            <w:pPr>
              <w:pStyle w:val="P68B1DB1-Normal32"/>
              <w:spacing w:after="120" w:line="240" w:lineRule="auto"/>
              <w:rPr>
                <w:rFonts w:eastAsiaTheme="minorHAnsi"/>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265EA536" w14:textId="4E8C6D6A" w:rsidR="0023462A" w:rsidRDefault="00A550FA">
            <w:pPr>
              <w:pStyle w:val="P68B1DB1-Normal32"/>
              <w:spacing w:after="120" w:line="240" w:lineRule="auto"/>
              <w:rPr>
                <w:rFonts w:eastAsiaTheme="minorHAnsi"/>
                <w:noProof/>
              </w:rPr>
            </w:pPr>
            <w:r>
              <w:rPr>
                <w:noProof/>
              </w:rPr>
              <w:t>2026</w:t>
            </w:r>
          </w:p>
        </w:tc>
        <w:tc>
          <w:tcPr>
            <w:tcW w:w="3713" w:type="dxa"/>
            <w:tcBorders>
              <w:top w:val="nil"/>
              <w:left w:val="nil"/>
              <w:bottom w:val="single" w:sz="4" w:space="0" w:color="auto"/>
              <w:right w:val="single" w:sz="4" w:space="0" w:color="auto"/>
            </w:tcBorders>
            <w:shd w:val="clear" w:color="auto" w:fill="C6EFCE"/>
            <w:noWrap/>
            <w:vAlign w:val="center"/>
          </w:tcPr>
          <w:p w14:paraId="7C4E641B" w14:textId="78070AD1" w:rsidR="0023462A" w:rsidRDefault="00A550FA">
            <w:pPr>
              <w:pStyle w:val="P68B1DB1-Normal32"/>
              <w:spacing w:after="120" w:line="240" w:lineRule="auto"/>
              <w:ind w:left="52"/>
              <w:textAlignment w:val="baseline"/>
              <w:rPr>
                <w:noProof/>
              </w:rPr>
            </w:pPr>
            <w:r>
              <w:rPr>
                <w:noProof/>
              </w:rPr>
              <w:t xml:space="preserve">Entrée en vigueur des modifications législatives prévoyant la transparence des données relatives aux bénéficiaires effectifs et l’accès à ces données. </w:t>
            </w:r>
          </w:p>
          <w:p w14:paraId="66634F86" w14:textId="77777777" w:rsidR="0023462A" w:rsidRDefault="00A550FA">
            <w:pPr>
              <w:pStyle w:val="P68B1DB1-Normal32"/>
              <w:spacing w:after="120" w:line="240" w:lineRule="auto"/>
              <w:ind w:left="52"/>
              <w:textAlignment w:val="baseline"/>
              <w:rPr>
                <w:noProof/>
              </w:rPr>
            </w:pPr>
            <w:r>
              <w:rPr>
                <w:noProof/>
              </w:rPr>
              <w:t>Ces modifications législatives:</w:t>
            </w:r>
          </w:p>
          <w:p w14:paraId="0AEEC14B" w14:textId="77777777" w:rsidR="0023462A" w:rsidRDefault="00A550FA">
            <w:pPr>
              <w:pStyle w:val="P68B1DB1-ListParagraph43"/>
              <w:numPr>
                <w:ilvl w:val="0"/>
                <w:numId w:val="155"/>
              </w:numPr>
              <w:spacing w:after="120" w:line="240" w:lineRule="auto"/>
              <w:contextualSpacing w:val="0"/>
              <w:textAlignment w:val="baseline"/>
              <w:rPr>
                <w:noProof/>
              </w:rPr>
            </w:pPr>
            <w:r>
              <w:rPr>
                <w:noProof/>
              </w:rPr>
              <w:t>Réviser la définition de «bénéficiaire effectif» afin d’y inclure des dispositions spécifiques sur les fonds d’investissement privés</w:t>
            </w:r>
          </w:p>
          <w:p w14:paraId="047A0628" w14:textId="77777777" w:rsidR="0023462A" w:rsidRDefault="00A550FA">
            <w:pPr>
              <w:pStyle w:val="P68B1DB1-ListParagraph43"/>
              <w:numPr>
                <w:ilvl w:val="0"/>
                <w:numId w:val="155"/>
              </w:numPr>
              <w:spacing w:after="120" w:line="240" w:lineRule="auto"/>
              <w:contextualSpacing w:val="0"/>
              <w:textAlignment w:val="baseline"/>
              <w:rPr>
                <w:noProof/>
              </w:rPr>
            </w:pPr>
            <w:r>
              <w:rPr>
                <w:noProof/>
              </w:rPr>
              <w:t>inclure le bénéficiaire effectif de fonds d’investissement privés/d’une relation fiduciaire de gestion d’actifs dans la liste des entités juridiques qui doivent communiquer leur bénéficiaire effectif;</w:t>
            </w:r>
          </w:p>
          <w:p w14:paraId="584AF0F1" w14:textId="77777777" w:rsidR="0023462A" w:rsidRDefault="00A550FA">
            <w:pPr>
              <w:pStyle w:val="P68B1DB1-ListParagraph43"/>
              <w:numPr>
                <w:ilvl w:val="0"/>
                <w:numId w:val="155"/>
              </w:numPr>
              <w:spacing w:after="120" w:line="240" w:lineRule="auto"/>
              <w:contextualSpacing w:val="0"/>
              <w:textAlignment w:val="baseline"/>
              <w:rPr>
                <w:noProof/>
              </w:rPr>
            </w:pPr>
            <w:r>
              <w:rPr>
                <w:noProof/>
              </w:rPr>
              <w:t>Inclure les journalistes et les organisations de la société civile dans la liste des personnes physiques ou morales réputées avoir un intérêt légitime à accéder aux données relatives aux bénéficiaires effectifs</w:t>
            </w:r>
          </w:p>
          <w:p w14:paraId="4E0A212C" w14:textId="77777777" w:rsidR="0023462A" w:rsidRDefault="00A550FA">
            <w:pPr>
              <w:pStyle w:val="P68B1DB1-ListParagraph43"/>
              <w:numPr>
                <w:ilvl w:val="0"/>
                <w:numId w:val="155"/>
              </w:numPr>
              <w:spacing w:after="120" w:line="240" w:lineRule="auto"/>
              <w:contextualSpacing w:val="0"/>
              <w:textAlignment w:val="baseline"/>
              <w:rPr>
                <w:noProof/>
              </w:rPr>
            </w:pPr>
            <w:r>
              <w:rPr>
                <w:noProof/>
              </w:rPr>
              <w:t>Veiller à ce que les organismes responsables de la gestion et du contrôle du soutien de l’Union en Hongrie aient la possibilité de recueillir des informations sur les bénéficiaires effectifs des fonds de capital-investissement et de les vérifier à partir du 1er février 2020 au moins.</w:t>
            </w:r>
          </w:p>
          <w:p w14:paraId="17F4D1C0" w14:textId="75A763BB" w:rsidR="0023462A" w:rsidRDefault="00A550FA">
            <w:pPr>
              <w:pStyle w:val="P68B1DB1-Normal32"/>
              <w:spacing w:after="120" w:line="240" w:lineRule="auto"/>
              <w:ind w:left="52"/>
              <w:textAlignment w:val="baseline"/>
              <w:rPr>
                <w:rFonts w:eastAsiaTheme="minorHAnsi"/>
                <w:noProof/>
              </w:rPr>
            </w:pPr>
            <w:r>
              <w:rPr>
                <w:noProof/>
              </w:rPr>
              <w:t>Entrée en vigueur d’une législation prévoyant la clarification et l’extension du champ d’application des agents publics exclus et du champ d’application des entités qui ne peuvent pas demander ou recevoir de subventions provenant de fonds publics.</w:t>
            </w:r>
          </w:p>
        </w:tc>
      </w:tr>
      <w:tr w:rsidR="0023462A" w14:paraId="5C25B105" w14:textId="77777777" w:rsidTr="009C289F">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vAlign w:val="center"/>
          </w:tcPr>
          <w:p w14:paraId="3F10E921" w14:textId="23E10623" w:rsidR="0023462A" w:rsidRDefault="00A550FA">
            <w:pPr>
              <w:pStyle w:val="P68B1DB1-Normal32"/>
              <w:spacing w:after="120" w:line="240" w:lineRule="auto"/>
              <w:rPr>
                <w:rFonts w:eastAsiaTheme="minorHAnsi"/>
                <w:noProof/>
              </w:rPr>
            </w:pPr>
            <w:r>
              <w:rPr>
                <w:noProof/>
              </w:rPr>
              <w:t>65</w:t>
            </w:r>
          </w:p>
        </w:tc>
        <w:tc>
          <w:tcPr>
            <w:tcW w:w="1559" w:type="dxa"/>
            <w:tcBorders>
              <w:top w:val="nil"/>
              <w:left w:val="nil"/>
              <w:bottom w:val="single" w:sz="4" w:space="0" w:color="auto"/>
              <w:right w:val="single" w:sz="4" w:space="0" w:color="auto"/>
            </w:tcBorders>
            <w:shd w:val="clear" w:color="auto" w:fill="C6EFCE"/>
            <w:noWrap/>
            <w:vAlign w:val="center"/>
          </w:tcPr>
          <w:p w14:paraId="06CC73AE" w14:textId="5B02A1DF" w:rsidR="0023462A" w:rsidRDefault="00A550FA">
            <w:pPr>
              <w:pStyle w:val="P68B1DB1-Normal32"/>
              <w:spacing w:after="120" w:line="240" w:lineRule="auto"/>
              <w:rPr>
                <w:noProof/>
              </w:rPr>
            </w:pPr>
            <w:r>
              <w:rPr>
                <w:noProof/>
              </w:rPr>
              <w:t>C8.R9 Réduction de la part des procédures de marchés publics à offre unique</w:t>
            </w:r>
          </w:p>
        </w:tc>
        <w:tc>
          <w:tcPr>
            <w:tcW w:w="709" w:type="dxa"/>
            <w:tcBorders>
              <w:top w:val="nil"/>
              <w:left w:val="nil"/>
              <w:bottom w:val="single" w:sz="4" w:space="0" w:color="auto"/>
              <w:right w:val="single" w:sz="4" w:space="0" w:color="auto"/>
            </w:tcBorders>
            <w:shd w:val="clear" w:color="auto" w:fill="C6EFCE"/>
            <w:noWrap/>
            <w:vAlign w:val="center"/>
          </w:tcPr>
          <w:p w14:paraId="6C7E81C5" w14:textId="3D3D5824" w:rsidR="0023462A" w:rsidRDefault="00A550FA">
            <w:pPr>
              <w:pStyle w:val="P68B1DB1-Normal32"/>
              <w:spacing w:after="120" w:line="240" w:lineRule="auto"/>
              <w:rPr>
                <w:rFonts w:eastAsiaTheme="minorHAnsi"/>
                <w:noProof/>
              </w:rPr>
            </w:pPr>
            <w:r>
              <w:rPr>
                <w:noProof/>
              </w:rPr>
              <w:t>Étape</w:t>
            </w:r>
          </w:p>
        </w:tc>
        <w:tc>
          <w:tcPr>
            <w:tcW w:w="1417" w:type="dxa"/>
            <w:tcBorders>
              <w:top w:val="nil"/>
              <w:left w:val="nil"/>
              <w:bottom w:val="single" w:sz="4" w:space="0" w:color="auto"/>
              <w:right w:val="single" w:sz="4" w:space="0" w:color="auto"/>
            </w:tcBorders>
            <w:shd w:val="clear" w:color="auto" w:fill="C6EFCE"/>
            <w:noWrap/>
            <w:vAlign w:val="center"/>
          </w:tcPr>
          <w:p w14:paraId="4C455F2C" w14:textId="1F0CFF22" w:rsidR="0023462A" w:rsidRDefault="00A550FA">
            <w:pPr>
              <w:pStyle w:val="P68B1DB1-Normal32"/>
              <w:spacing w:after="120" w:line="240" w:lineRule="auto"/>
              <w:rPr>
                <w:rFonts w:eastAsiaTheme="minorHAnsi"/>
                <w:noProof/>
              </w:rPr>
            </w:pPr>
            <w:r>
              <w:rPr>
                <w:noProof/>
              </w:rPr>
              <w:t>La part des procédures d’appel d’offres comportant des offres uniques pour les marchés financés par le soutien de l’Union ne dépasse pas 15 %.</w:t>
            </w:r>
          </w:p>
        </w:tc>
        <w:tc>
          <w:tcPr>
            <w:tcW w:w="1701" w:type="dxa"/>
            <w:tcBorders>
              <w:top w:val="nil"/>
              <w:left w:val="nil"/>
              <w:bottom w:val="single" w:sz="4" w:space="0" w:color="auto"/>
              <w:right w:val="single" w:sz="4" w:space="0" w:color="auto"/>
            </w:tcBorders>
            <w:shd w:val="clear" w:color="auto" w:fill="C6EFCE"/>
            <w:noWrap/>
            <w:vAlign w:val="center"/>
          </w:tcPr>
          <w:p w14:paraId="1C60F786" w14:textId="36771C27" w:rsidR="0023462A" w:rsidRDefault="00A550FA">
            <w:pPr>
              <w:pStyle w:val="P68B1DB1-Normal32"/>
              <w:spacing w:after="120" w:line="240" w:lineRule="auto"/>
              <w:rPr>
                <w:rFonts w:eastAsiaTheme="minorHAnsi"/>
                <w:noProof/>
              </w:rPr>
            </w:pPr>
            <w:r>
              <w:rPr>
                <w:noProof/>
              </w:rPr>
              <w:t>Part des procédures d’appel d’offres comportant des offres uniques pour les marchés financés par l’Union</w:t>
            </w:r>
          </w:p>
        </w:tc>
        <w:tc>
          <w:tcPr>
            <w:tcW w:w="1418" w:type="dxa"/>
            <w:tcBorders>
              <w:top w:val="nil"/>
              <w:left w:val="nil"/>
              <w:bottom w:val="single" w:sz="4" w:space="0" w:color="auto"/>
              <w:right w:val="single" w:sz="4" w:space="0" w:color="auto"/>
            </w:tcBorders>
            <w:shd w:val="clear" w:color="auto" w:fill="C6EFCE"/>
            <w:noWrap/>
            <w:vAlign w:val="center"/>
          </w:tcPr>
          <w:p w14:paraId="4F048FAB" w14:textId="756B32DE" w:rsidR="0023462A" w:rsidRDefault="0023462A">
            <w:pPr>
              <w:spacing w:after="120" w:line="240" w:lineRule="auto"/>
              <w:rPr>
                <w:rFonts w:ascii="Times New Roman" w:eastAsia="Calibri" w:hAnsi="Times New Roman" w:cs="Times New Roman"/>
                <w:noProof/>
                <w:sz w:val="18"/>
                <w:szCs w:val="18"/>
              </w:rPr>
            </w:pPr>
          </w:p>
        </w:tc>
        <w:tc>
          <w:tcPr>
            <w:tcW w:w="1417" w:type="dxa"/>
            <w:tcBorders>
              <w:top w:val="nil"/>
              <w:left w:val="nil"/>
              <w:bottom w:val="single" w:sz="4" w:space="0" w:color="auto"/>
              <w:right w:val="single" w:sz="4" w:space="0" w:color="auto"/>
            </w:tcBorders>
            <w:shd w:val="clear" w:color="auto" w:fill="C6EFCE"/>
            <w:noWrap/>
            <w:vAlign w:val="center"/>
          </w:tcPr>
          <w:p w14:paraId="7D08719A" w14:textId="7C08D449" w:rsidR="0023462A" w:rsidRDefault="0023462A">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vAlign w:val="center"/>
          </w:tcPr>
          <w:p w14:paraId="47FB2305" w14:textId="14E743C8" w:rsidR="0023462A" w:rsidRDefault="0023462A">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087B5D3F" w14:textId="26A9255B" w:rsidR="0023462A" w:rsidRDefault="00A550FA">
            <w:pPr>
              <w:pStyle w:val="P68B1DB1-Normal32"/>
              <w:spacing w:after="120" w:line="240" w:lineRule="auto"/>
              <w:rPr>
                <w:rFonts w:eastAsiaTheme="minorHAnsi"/>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7FB4F8F9" w14:textId="420ADD30" w:rsidR="0023462A" w:rsidRDefault="00A550FA">
            <w:pPr>
              <w:pStyle w:val="P68B1DB1-Normal32"/>
              <w:spacing w:after="120" w:line="240" w:lineRule="auto"/>
              <w:rPr>
                <w:rFonts w:eastAsiaTheme="minorHAnsi"/>
                <w:noProof/>
              </w:rPr>
            </w:pPr>
            <w:r>
              <w:rPr>
                <w:noProof/>
              </w:rPr>
              <w:t>2026</w:t>
            </w:r>
          </w:p>
        </w:tc>
        <w:tc>
          <w:tcPr>
            <w:tcW w:w="3713" w:type="dxa"/>
            <w:tcBorders>
              <w:top w:val="nil"/>
              <w:left w:val="nil"/>
              <w:bottom w:val="single" w:sz="4" w:space="0" w:color="auto"/>
              <w:right w:val="single" w:sz="4" w:space="0" w:color="auto"/>
            </w:tcBorders>
            <w:shd w:val="clear" w:color="auto" w:fill="C6EFCE"/>
            <w:noWrap/>
            <w:vAlign w:val="center"/>
          </w:tcPr>
          <w:p w14:paraId="5CC06669" w14:textId="00283462" w:rsidR="0023462A" w:rsidRDefault="00A550FA">
            <w:pPr>
              <w:pStyle w:val="P68B1DB1-Normal32"/>
              <w:spacing w:after="120" w:line="240" w:lineRule="auto"/>
              <w:ind w:left="52"/>
              <w:textAlignment w:val="baseline"/>
              <w:rPr>
                <w:rFonts w:eastAsiaTheme="minorHAnsi"/>
                <w:noProof/>
              </w:rPr>
            </w:pPr>
            <w:r>
              <w:rPr>
                <w:noProof/>
              </w:rPr>
              <w:t>La part des procédures de passation de marchés publics déclarées dans l’outil de notification des offres uniques – qui couvre les procédures de passation de marchés publics d’une valeur estimée à la fois supérieure et inférieure aux seuils de l’UE en matière de marchés publics – clôturées entre le 1er janvier et le 31 décembre 2022-2025 et entre le 1er janvier et le 31 mars 2026 avec des offres uniques pour des marchés financés au moins partiellement par le soutien de l’Union est inférieure à 15 %. Un rapport d’audit assorti d’une opinion d’audit sans réserve de l’EUTAF confirme que la part des offres uniques est inférieure à 15 %.</w:t>
            </w:r>
          </w:p>
        </w:tc>
      </w:tr>
      <w:tr w:rsidR="0023462A" w14:paraId="5BCF665A" w14:textId="77777777" w:rsidTr="009C289F">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vAlign w:val="center"/>
          </w:tcPr>
          <w:p w14:paraId="3D45E344" w14:textId="5D2B5CAB" w:rsidR="0023462A" w:rsidRDefault="00A550FA">
            <w:pPr>
              <w:pStyle w:val="P68B1DB1-Normal32"/>
              <w:spacing w:after="120" w:line="240" w:lineRule="auto"/>
              <w:rPr>
                <w:rFonts w:eastAsiaTheme="minorHAnsi"/>
                <w:noProof/>
              </w:rPr>
            </w:pPr>
            <w:r>
              <w:rPr>
                <w:noProof/>
              </w:rPr>
              <w:t>66</w:t>
            </w:r>
          </w:p>
        </w:tc>
        <w:tc>
          <w:tcPr>
            <w:tcW w:w="1559" w:type="dxa"/>
            <w:tcBorders>
              <w:top w:val="nil"/>
              <w:left w:val="nil"/>
              <w:bottom w:val="single" w:sz="4" w:space="0" w:color="auto"/>
              <w:right w:val="single" w:sz="4" w:space="0" w:color="auto"/>
            </w:tcBorders>
            <w:shd w:val="clear" w:color="auto" w:fill="C6EFCE"/>
            <w:noWrap/>
            <w:vAlign w:val="center"/>
          </w:tcPr>
          <w:p w14:paraId="3D2C7C73" w14:textId="166C31EE" w:rsidR="0023462A" w:rsidRDefault="00A550FA">
            <w:pPr>
              <w:pStyle w:val="P68B1DB1-Normal32"/>
              <w:spacing w:after="120" w:line="240" w:lineRule="auto"/>
              <w:rPr>
                <w:noProof/>
              </w:rPr>
            </w:pPr>
            <w:r>
              <w:rPr>
                <w:noProof/>
              </w:rPr>
              <w:t>C8.R9 Réduction de la part des procédures de marchés publics à offre unique</w:t>
            </w:r>
          </w:p>
        </w:tc>
        <w:tc>
          <w:tcPr>
            <w:tcW w:w="709" w:type="dxa"/>
            <w:tcBorders>
              <w:top w:val="nil"/>
              <w:left w:val="nil"/>
              <w:bottom w:val="single" w:sz="4" w:space="0" w:color="auto"/>
              <w:right w:val="single" w:sz="4" w:space="0" w:color="auto"/>
            </w:tcBorders>
            <w:shd w:val="clear" w:color="auto" w:fill="C6EFCE"/>
            <w:noWrap/>
            <w:vAlign w:val="center"/>
          </w:tcPr>
          <w:p w14:paraId="6EAF0BF6" w14:textId="3E641DF7" w:rsidR="0023462A" w:rsidRDefault="00A550FA">
            <w:pPr>
              <w:pStyle w:val="P68B1DB1-Normal32"/>
              <w:spacing w:after="120" w:line="240" w:lineRule="auto"/>
              <w:rPr>
                <w:rFonts w:eastAsiaTheme="minorHAnsi"/>
                <w:noProof/>
              </w:rPr>
            </w:pPr>
            <w:r>
              <w:rPr>
                <w:noProof/>
              </w:rPr>
              <w:t>Étape</w:t>
            </w:r>
          </w:p>
        </w:tc>
        <w:tc>
          <w:tcPr>
            <w:tcW w:w="1417" w:type="dxa"/>
            <w:tcBorders>
              <w:top w:val="nil"/>
              <w:left w:val="nil"/>
              <w:bottom w:val="single" w:sz="4" w:space="0" w:color="auto"/>
              <w:right w:val="single" w:sz="4" w:space="0" w:color="auto"/>
            </w:tcBorders>
            <w:shd w:val="clear" w:color="auto" w:fill="C6EFCE"/>
            <w:noWrap/>
            <w:vAlign w:val="center"/>
          </w:tcPr>
          <w:p w14:paraId="4C6AC172" w14:textId="21DE5C4E" w:rsidR="0023462A" w:rsidRDefault="00A550FA">
            <w:pPr>
              <w:pStyle w:val="P68B1DB1-Normal32"/>
              <w:spacing w:after="120" w:line="240" w:lineRule="auto"/>
              <w:rPr>
                <w:rFonts w:eastAsiaTheme="minorHAnsi"/>
                <w:noProof/>
              </w:rPr>
            </w:pPr>
            <w:r>
              <w:rPr>
                <w:noProof/>
              </w:rPr>
              <w:t xml:space="preserve">Mise en place d’un outil de suivi et de compte rendu («outil de compte rendu à offre unique») </w:t>
            </w:r>
          </w:p>
        </w:tc>
        <w:tc>
          <w:tcPr>
            <w:tcW w:w="1701" w:type="dxa"/>
            <w:tcBorders>
              <w:top w:val="nil"/>
              <w:left w:val="nil"/>
              <w:bottom w:val="single" w:sz="4" w:space="0" w:color="auto"/>
              <w:right w:val="single" w:sz="4" w:space="0" w:color="auto"/>
            </w:tcBorders>
            <w:shd w:val="clear" w:color="auto" w:fill="C6EFCE"/>
            <w:noWrap/>
            <w:vAlign w:val="center"/>
          </w:tcPr>
          <w:p w14:paraId="368C0D9A" w14:textId="6A87F26D" w:rsidR="0023462A" w:rsidRDefault="00A550FA">
            <w:pPr>
              <w:pStyle w:val="P68B1DB1-Normal32"/>
              <w:spacing w:after="120" w:line="240" w:lineRule="auto"/>
              <w:rPr>
                <w:rFonts w:eastAsiaTheme="minorHAnsi"/>
                <w:noProof/>
              </w:rPr>
            </w:pPr>
            <w:r>
              <w:rPr>
                <w:noProof/>
              </w:rPr>
              <w:t xml:space="preserve">L’outil de suivi et d’établissement de rapports est fonctionnel </w:t>
            </w:r>
          </w:p>
        </w:tc>
        <w:tc>
          <w:tcPr>
            <w:tcW w:w="1418" w:type="dxa"/>
            <w:tcBorders>
              <w:top w:val="nil"/>
              <w:left w:val="nil"/>
              <w:bottom w:val="single" w:sz="4" w:space="0" w:color="auto"/>
              <w:right w:val="single" w:sz="4" w:space="0" w:color="auto"/>
            </w:tcBorders>
            <w:shd w:val="clear" w:color="auto" w:fill="C6EFCE"/>
            <w:noWrap/>
            <w:vAlign w:val="center"/>
          </w:tcPr>
          <w:p w14:paraId="35F2A8F5" w14:textId="77777777" w:rsidR="0023462A" w:rsidRDefault="0023462A">
            <w:pPr>
              <w:spacing w:after="120" w:line="240" w:lineRule="auto"/>
              <w:rPr>
                <w:rFonts w:ascii="Times New Roman" w:eastAsia="Calibri" w:hAnsi="Times New Roman" w:cs="Times New Roman"/>
                <w:noProof/>
                <w:sz w:val="18"/>
                <w:szCs w:val="18"/>
              </w:rPr>
            </w:pPr>
          </w:p>
        </w:tc>
        <w:tc>
          <w:tcPr>
            <w:tcW w:w="1417" w:type="dxa"/>
            <w:tcBorders>
              <w:top w:val="nil"/>
              <w:left w:val="nil"/>
              <w:bottom w:val="single" w:sz="4" w:space="0" w:color="auto"/>
              <w:right w:val="single" w:sz="4" w:space="0" w:color="auto"/>
            </w:tcBorders>
            <w:shd w:val="clear" w:color="auto" w:fill="C6EFCE"/>
            <w:noWrap/>
            <w:vAlign w:val="center"/>
          </w:tcPr>
          <w:p w14:paraId="39489AF1" w14:textId="77777777" w:rsidR="0023462A" w:rsidRDefault="0023462A">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vAlign w:val="center"/>
          </w:tcPr>
          <w:p w14:paraId="316CE485" w14:textId="77777777" w:rsidR="0023462A" w:rsidRDefault="0023462A">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39879B68" w14:textId="7CE1BC17" w:rsidR="0023462A" w:rsidRDefault="00A550FA">
            <w:pPr>
              <w:pStyle w:val="P68B1DB1-Normal32"/>
              <w:spacing w:after="120" w:line="240" w:lineRule="auto"/>
              <w:rPr>
                <w:rFonts w:eastAsiaTheme="minorHAnsi"/>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2261BD80" w14:textId="56980DBB" w:rsidR="0023462A" w:rsidRDefault="00A550FA">
            <w:pPr>
              <w:pStyle w:val="P68B1DB1-Normal32"/>
              <w:spacing w:after="120" w:line="240" w:lineRule="auto"/>
              <w:rPr>
                <w:rFonts w:eastAsiaTheme="minorHAnsi"/>
                <w:noProof/>
              </w:rPr>
            </w:pPr>
            <w:r>
              <w:rPr>
                <w:noProof/>
              </w:rPr>
              <w:t>2026</w:t>
            </w:r>
          </w:p>
        </w:tc>
        <w:tc>
          <w:tcPr>
            <w:tcW w:w="3713" w:type="dxa"/>
            <w:tcBorders>
              <w:top w:val="nil"/>
              <w:left w:val="nil"/>
              <w:bottom w:val="single" w:sz="4" w:space="0" w:color="auto"/>
              <w:right w:val="single" w:sz="4" w:space="0" w:color="auto"/>
            </w:tcBorders>
            <w:shd w:val="clear" w:color="auto" w:fill="C6EFCE"/>
            <w:noWrap/>
          </w:tcPr>
          <w:p w14:paraId="0157886B" w14:textId="77777777" w:rsidR="0023462A" w:rsidRDefault="00A550FA">
            <w:pPr>
              <w:pStyle w:val="P68B1DB1-Normal32"/>
              <w:spacing w:after="120" w:line="240" w:lineRule="auto"/>
              <w:ind w:left="52"/>
              <w:textAlignment w:val="baseline"/>
              <w:rPr>
                <w:rFonts w:eastAsia="Times New Roman"/>
                <w:noProof/>
              </w:rPr>
            </w:pPr>
            <w:r>
              <w:rPr>
                <w:noProof/>
              </w:rPr>
              <w:t>Un outil est mis au point pour suivre et rendre compte des procédures de passation de marchés publics clôturées par des offres uniques.</w:t>
            </w:r>
          </w:p>
          <w:p w14:paraId="161933DC" w14:textId="757B2EF7" w:rsidR="0023462A" w:rsidRDefault="00A550FA">
            <w:pPr>
              <w:pStyle w:val="P68B1DB1-Normal32"/>
              <w:spacing w:after="120" w:line="240" w:lineRule="auto"/>
              <w:ind w:left="52"/>
              <w:textAlignment w:val="baseline"/>
              <w:rPr>
                <w:noProof/>
              </w:rPr>
            </w:pPr>
            <w:r>
              <w:rPr>
                <w:noProof/>
              </w:rPr>
              <w:t>Un rapport d’audit assorti d’un avis d’audit sans réserve de l’autorité d’audit (EUTAF) confirme que l’outil de suivi et de communication d’informations est fonctionnel, que ses fonctionnalités sont conformes à la méthodologie du tableau d’affichage du marché unique et que les données (à l’exception des indications géographiques) dans le système utilisé aux fins du suivi et de la communication d’informations sont exactes et complètes, y compris pour les valeurs de référence.</w:t>
            </w:r>
          </w:p>
          <w:p w14:paraId="1AAF8D60" w14:textId="5FE7413C" w:rsidR="0023462A" w:rsidRDefault="00A550FA">
            <w:pPr>
              <w:pStyle w:val="P68B1DB1-Normal32"/>
              <w:spacing w:after="120" w:line="240" w:lineRule="auto"/>
              <w:ind w:left="52"/>
              <w:textAlignment w:val="baseline"/>
              <w:rPr>
                <w:rFonts w:eastAsiaTheme="minorHAnsi"/>
                <w:noProof/>
              </w:rPr>
            </w:pPr>
            <w:r>
              <w:rPr>
                <w:noProof/>
              </w:rPr>
              <w:t>Il convient de veiller à ce que des rapports écrits fondés sur les informations provenant de l’outil de notification des offres uniques soient élaborés et mis à la disposition du public sur le site web du système électronique de passation des marchés publics (SPE).</w:t>
            </w:r>
          </w:p>
        </w:tc>
      </w:tr>
      <w:tr w:rsidR="0023462A" w14:paraId="4BC2DE73" w14:textId="77777777" w:rsidTr="009C289F">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vAlign w:val="center"/>
          </w:tcPr>
          <w:p w14:paraId="3D68B61A" w14:textId="638EF625" w:rsidR="0023462A" w:rsidRDefault="00A550FA">
            <w:pPr>
              <w:pStyle w:val="P68B1DB1-Normal32"/>
              <w:spacing w:after="120" w:line="240" w:lineRule="auto"/>
              <w:ind w:left="52"/>
              <w:textAlignment w:val="baseline"/>
              <w:rPr>
                <w:noProof/>
              </w:rPr>
            </w:pPr>
            <w:r>
              <w:rPr>
                <w:noProof/>
              </w:rPr>
              <w:t>67</w:t>
            </w:r>
          </w:p>
          <w:p w14:paraId="751EC647" w14:textId="77777777" w:rsidR="0023462A" w:rsidRDefault="0023462A">
            <w:pPr>
              <w:spacing w:after="120" w:line="240" w:lineRule="auto"/>
              <w:rPr>
                <w:rFonts w:ascii="Times New Roman" w:eastAsiaTheme="minorHAnsi" w:hAnsi="Times New Roman" w:cs="Times New Roman"/>
                <w:noProof/>
                <w:sz w:val="18"/>
                <w:szCs w:val="18"/>
              </w:rPr>
            </w:pPr>
          </w:p>
        </w:tc>
        <w:tc>
          <w:tcPr>
            <w:tcW w:w="1559" w:type="dxa"/>
            <w:tcBorders>
              <w:top w:val="nil"/>
              <w:left w:val="nil"/>
              <w:bottom w:val="single" w:sz="4" w:space="0" w:color="auto"/>
              <w:right w:val="single" w:sz="4" w:space="0" w:color="auto"/>
            </w:tcBorders>
            <w:shd w:val="clear" w:color="auto" w:fill="C6EFCE"/>
            <w:noWrap/>
            <w:vAlign w:val="center"/>
          </w:tcPr>
          <w:p w14:paraId="38A992E5" w14:textId="77777777" w:rsidR="0023462A" w:rsidRDefault="00A550FA">
            <w:pPr>
              <w:pStyle w:val="P68B1DB1-Normal32"/>
              <w:spacing w:after="120" w:line="240" w:lineRule="auto"/>
              <w:rPr>
                <w:noProof/>
              </w:rPr>
            </w:pPr>
            <w:r>
              <w:rPr>
                <w:noProof/>
              </w:rPr>
              <w:t xml:space="preserve">C8.R10 Renforcer l'intégrité, la transparence et la compétitivité des marchés publics </w:t>
            </w:r>
          </w:p>
        </w:tc>
        <w:tc>
          <w:tcPr>
            <w:tcW w:w="709" w:type="dxa"/>
            <w:tcBorders>
              <w:top w:val="nil"/>
              <w:left w:val="nil"/>
              <w:bottom w:val="single" w:sz="4" w:space="0" w:color="auto"/>
              <w:right w:val="single" w:sz="4" w:space="0" w:color="auto"/>
            </w:tcBorders>
            <w:shd w:val="clear" w:color="auto" w:fill="C6EFCE"/>
            <w:noWrap/>
            <w:vAlign w:val="center"/>
          </w:tcPr>
          <w:p w14:paraId="5C7533D5" w14:textId="77777777" w:rsidR="0023462A" w:rsidRDefault="00A550FA">
            <w:pPr>
              <w:pStyle w:val="P68B1DB1-Normal32"/>
              <w:spacing w:after="120" w:line="240" w:lineRule="auto"/>
              <w:rPr>
                <w:rFonts w:eastAsiaTheme="minorHAnsi"/>
                <w:noProof/>
              </w:rPr>
            </w:pPr>
            <w:r>
              <w:rPr>
                <w:noProof/>
              </w:rPr>
              <w:t>Étape</w:t>
            </w:r>
          </w:p>
        </w:tc>
        <w:tc>
          <w:tcPr>
            <w:tcW w:w="1417" w:type="dxa"/>
            <w:tcBorders>
              <w:top w:val="nil"/>
              <w:left w:val="nil"/>
              <w:bottom w:val="single" w:sz="4" w:space="0" w:color="auto"/>
              <w:right w:val="single" w:sz="4" w:space="0" w:color="auto"/>
            </w:tcBorders>
            <w:shd w:val="clear" w:color="auto" w:fill="C6EFCE"/>
            <w:noWrap/>
            <w:vAlign w:val="center"/>
          </w:tcPr>
          <w:p w14:paraId="175247A6" w14:textId="77777777" w:rsidR="0023462A" w:rsidRDefault="00A550FA">
            <w:pPr>
              <w:pStyle w:val="P68B1DB1-Normal32"/>
              <w:spacing w:after="120" w:line="240" w:lineRule="auto"/>
              <w:rPr>
                <w:rFonts w:eastAsiaTheme="minorHAnsi"/>
                <w:noProof/>
              </w:rPr>
            </w:pPr>
            <w:r>
              <w:rPr>
                <w:noProof/>
              </w:rPr>
              <w:t xml:space="preserve">Acte(s) juridique(s) sur les marchés publics visant à renforcer la transparence des procédures de passation des marchés publics et à introduire des règles de prévention de la corruption </w:t>
            </w:r>
          </w:p>
        </w:tc>
        <w:tc>
          <w:tcPr>
            <w:tcW w:w="1701" w:type="dxa"/>
            <w:tcBorders>
              <w:top w:val="nil"/>
              <w:left w:val="nil"/>
              <w:bottom w:val="single" w:sz="4" w:space="0" w:color="auto"/>
              <w:right w:val="single" w:sz="4" w:space="0" w:color="auto"/>
            </w:tcBorders>
            <w:shd w:val="clear" w:color="auto" w:fill="C6EFCE"/>
            <w:noWrap/>
            <w:vAlign w:val="center"/>
          </w:tcPr>
          <w:p w14:paraId="4A9379E7" w14:textId="77777777" w:rsidR="0023462A" w:rsidRDefault="00A550FA">
            <w:pPr>
              <w:pStyle w:val="P68B1DB1-Normal27"/>
              <w:spacing w:after="120" w:line="240" w:lineRule="auto"/>
              <w:rPr>
                <w:rFonts w:eastAsiaTheme="minorHAnsi"/>
                <w:noProof/>
              </w:rPr>
            </w:pPr>
            <w:r>
              <w:rPr>
                <w:noProof/>
              </w:rPr>
              <w:t>Disposition du ou des actes juridiques indiquant l’entrée en vigueur</w:t>
            </w:r>
          </w:p>
        </w:tc>
        <w:tc>
          <w:tcPr>
            <w:tcW w:w="1418" w:type="dxa"/>
            <w:tcBorders>
              <w:top w:val="nil"/>
              <w:left w:val="nil"/>
              <w:bottom w:val="single" w:sz="4" w:space="0" w:color="auto"/>
              <w:right w:val="single" w:sz="4" w:space="0" w:color="auto"/>
            </w:tcBorders>
            <w:shd w:val="clear" w:color="auto" w:fill="C6EFCE"/>
            <w:noWrap/>
            <w:vAlign w:val="center"/>
          </w:tcPr>
          <w:p w14:paraId="16B88184" w14:textId="77777777" w:rsidR="0023462A" w:rsidRDefault="0023462A">
            <w:pPr>
              <w:spacing w:after="120" w:line="240" w:lineRule="auto"/>
              <w:rPr>
                <w:rFonts w:ascii="Times New Roman" w:eastAsia="Calibri" w:hAnsi="Times New Roman" w:cs="Times New Roman"/>
                <w:noProof/>
                <w:sz w:val="18"/>
                <w:szCs w:val="18"/>
              </w:rPr>
            </w:pPr>
          </w:p>
        </w:tc>
        <w:tc>
          <w:tcPr>
            <w:tcW w:w="1417" w:type="dxa"/>
            <w:tcBorders>
              <w:top w:val="nil"/>
              <w:left w:val="nil"/>
              <w:bottom w:val="single" w:sz="4" w:space="0" w:color="auto"/>
              <w:right w:val="single" w:sz="4" w:space="0" w:color="auto"/>
            </w:tcBorders>
            <w:shd w:val="clear" w:color="auto" w:fill="C6EFCE"/>
            <w:noWrap/>
            <w:vAlign w:val="center"/>
          </w:tcPr>
          <w:p w14:paraId="3F4D5C53" w14:textId="77777777" w:rsidR="0023462A" w:rsidRDefault="0023462A">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vAlign w:val="center"/>
          </w:tcPr>
          <w:p w14:paraId="15DBBEE9" w14:textId="77777777" w:rsidR="0023462A" w:rsidRDefault="0023462A">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2A37B38F" w14:textId="77777777" w:rsidR="0023462A" w:rsidRDefault="00A550FA">
            <w:pPr>
              <w:pStyle w:val="P68B1DB1-Normal32"/>
              <w:spacing w:after="120" w:line="240" w:lineRule="auto"/>
              <w:rPr>
                <w:rFonts w:eastAsiaTheme="minorHAnsi"/>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35F0304B" w14:textId="77777777" w:rsidR="0023462A" w:rsidRDefault="00A550FA">
            <w:pPr>
              <w:pStyle w:val="P68B1DB1-Normal32"/>
              <w:spacing w:after="120" w:line="240" w:lineRule="auto"/>
              <w:rPr>
                <w:rFonts w:eastAsiaTheme="minorHAnsi"/>
                <w:noProof/>
              </w:rPr>
            </w:pPr>
            <w:r>
              <w:rPr>
                <w:noProof/>
              </w:rPr>
              <w:t>2026</w:t>
            </w:r>
          </w:p>
        </w:tc>
        <w:tc>
          <w:tcPr>
            <w:tcW w:w="3713" w:type="dxa"/>
            <w:tcBorders>
              <w:top w:val="nil"/>
              <w:left w:val="nil"/>
              <w:bottom w:val="single" w:sz="4" w:space="0" w:color="auto"/>
              <w:right w:val="single" w:sz="4" w:space="0" w:color="auto"/>
            </w:tcBorders>
            <w:shd w:val="clear" w:color="auto" w:fill="C6EFCE"/>
            <w:noWrap/>
            <w:vAlign w:val="center"/>
          </w:tcPr>
          <w:p w14:paraId="5A7981B0" w14:textId="77777777" w:rsidR="0023462A" w:rsidRDefault="00A550FA">
            <w:pPr>
              <w:pStyle w:val="P68B1DB1-Normal32"/>
              <w:spacing w:after="120" w:line="240" w:lineRule="auto"/>
              <w:ind w:left="52"/>
              <w:textAlignment w:val="baseline"/>
              <w:rPr>
                <w:noProof/>
              </w:rPr>
            </w:pPr>
            <w:r>
              <w:rPr>
                <w:noProof/>
              </w:rPr>
              <w:t>Entrée en vigueur du ou des actes juridiques relatifs aux marchés publics</w:t>
            </w:r>
          </w:p>
          <w:p w14:paraId="027131FB" w14:textId="77777777" w:rsidR="0023462A" w:rsidRDefault="00A550FA">
            <w:pPr>
              <w:pStyle w:val="P68B1DB1-ListParagraph43"/>
              <w:numPr>
                <w:ilvl w:val="0"/>
                <w:numId w:val="155"/>
              </w:numPr>
              <w:spacing w:after="120" w:line="240" w:lineRule="auto"/>
              <w:contextualSpacing w:val="0"/>
              <w:textAlignment w:val="baseline"/>
              <w:rPr>
                <w:noProof/>
              </w:rPr>
            </w:pPr>
            <w:r>
              <w:rPr>
                <w:noProof/>
              </w:rPr>
              <w:t>introduire la définition d’«opérateur économique transparent»;</w:t>
            </w:r>
          </w:p>
          <w:p w14:paraId="4B971305" w14:textId="77777777" w:rsidR="0023462A" w:rsidRDefault="00A550FA">
            <w:pPr>
              <w:pStyle w:val="P68B1DB1-ListParagraph43"/>
              <w:numPr>
                <w:ilvl w:val="0"/>
                <w:numId w:val="155"/>
              </w:numPr>
              <w:spacing w:after="120" w:line="240" w:lineRule="auto"/>
              <w:contextualSpacing w:val="0"/>
              <w:textAlignment w:val="baseline"/>
              <w:rPr>
                <w:noProof/>
              </w:rPr>
            </w:pPr>
            <w:r>
              <w:rPr>
                <w:noProof/>
              </w:rPr>
              <w:t>exclure les opérateurs économiques des procédures de passation de marchés publics qui ne sont pas considérés comme des «opérateurs économiques transparents»;</w:t>
            </w:r>
          </w:p>
          <w:p w14:paraId="7DC1806E" w14:textId="77777777" w:rsidR="0023462A" w:rsidRDefault="00A550FA">
            <w:pPr>
              <w:pStyle w:val="P68B1DB1-ListParagraph43"/>
              <w:numPr>
                <w:ilvl w:val="0"/>
                <w:numId w:val="155"/>
              </w:numPr>
              <w:spacing w:after="120" w:line="240" w:lineRule="auto"/>
              <w:contextualSpacing w:val="0"/>
              <w:textAlignment w:val="baseline"/>
              <w:rPr>
                <w:noProof/>
              </w:rPr>
            </w:pPr>
            <w:r>
              <w:rPr>
                <w:noProof/>
              </w:rPr>
              <w:t>définir des dispositions relatives aux conflits d’intérêts concernant les bénéficiaires effectifs des soumissionnaires et leurs proches;</w:t>
            </w:r>
          </w:p>
          <w:p w14:paraId="0368F619" w14:textId="77777777" w:rsidR="0023462A" w:rsidRDefault="00A550FA">
            <w:pPr>
              <w:pStyle w:val="P68B1DB1-ListParagraph43"/>
              <w:numPr>
                <w:ilvl w:val="0"/>
                <w:numId w:val="155"/>
              </w:numPr>
              <w:spacing w:after="120" w:line="240" w:lineRule="auto"/>
              <w:contextualSpacing w:val="0"/>
              <w:textAlignment w:val="baseline"/>
              <w:rPr>
                <w:noProof/>
              </w:rPr>
            </w:pPr>
            <w:r>
              <w:rPr>
                <w:noProof/>
              </w:rPr>
              <w:t>introduire une obligation pour les pouvoirs adjudicateurs de mettre les documents de marché public (à l’exclusion des formulaires électroniques) directement et sans restriction à disposition, gratuitement sur l’interface publique du SPE;</w:t>
            </w:r>
          </w:p>
          <w:p w14:paraId="6CB5D38D" w14:textId="77777777" w:rsidR="0023462A" w:rsidRDefault="00A550FA">
            <w:pPr>
              <w:pStyle w:val="P68B1DB1-ListParagraph43"/>
              <w:numPr>
                <w:ilvl w:val="0"/>
                <w:numId w:val="155"/>
              </w:numPr>
              <w:spacing w:after="120" w:line="240" w:lineRule="auto"/>
              <w:contextualSpacing w:val="0"/>
              <w:textAlignment w:val="baseline"/>
              <w:rPr>
                <w:noProof/>
              </w:rPr>
            </w:pPr>
            <w:r>
              <w:rPr>
                <w:noProof/>
              </w:rPr>
              <w:t>introduire l'obligation pour les pouvoirs adjudicateurs de publier chaque année des données sur l'exécution des marchés;</w:t>
            </w:r>
          </w:p>
          <w:p w14:paraId="1681CA73" w14:textId="77777777" w:rsidR="0023462A" w:rsidRDefault="00A550FA">
            <w:pPr>
              <w:pStyle w:val="P68B1DB1-ListParagraph43"/>
              <w:numPr>
                <w:ilvl w:val="0"/>
                <w:numId w:val="155"/>
              </w:numPr>
              <w:spacing w:after="120" w:line="240" w:lineRule="auto"/>
              <w:contextualSpacing w:val="0"/>
              <w:textAlignment w:val="baseline"/>
              <w:rPr>
                <w:noProof/>
              </w:rPr>
            </w:pPr>
            <w:r>
              <w:rPr>
                <w:noProof/>
              </w:rPr>
              <w:t>introduire une obligation, en cas de concessions, d’enregistrer par écrit et de publier dans les documents de marché, dès le début de la procédure, les résultats de l’étude de marché préliminaire, les calculs du retour sur investissement du concessionnaire et les mesures prises pour garantir la concurrence;</w:t>
            </w:r>
          </w:p>
          <w:p w14:paraId="0C406BEE" w14:textId="7AF1273E" w:rsidR="0023462A" w:rsidRDefault="00A550FA">
            <w:pPr>
              <w:pStyle w:val="P68B1DB1-ListParagraph43"/>
              <w:numPr>
                <w:ilvl w:val="0"/>
                <w:numId w:val="155"/>
              </w:numPr>
              <w:spacing w:after="120" w:line="240" w:lineRule="auto"/>
              <w:contextualSpacing w:val="0"/>
              <w:textAlignment w:val="baseline"/>
              <w:rPr>
                <w:noProof/>
              </w:rPr>
            </w:pPr>
            <w:r>
              <w:rPr>
                <w:noProof/>
              </w:rPr>
              <w:t>estime qu'une procédure d'attribution de concessions est infructueuse si une seule offre a été soumise, à moins que le pouvoir adjudicateur ne démontre que l'absence de concurrence est une conséquence de la structure réelle du marché;</w:t>
            </w:r>
          </w:p>
          <w:p w14:paraId="1E794E3F" w14:textId="77777777" w:rsidR="0023462A" w:rsidRDefault="00A550FA">
            <w:pPr>
              <w:pStyle w:val="P68B1DB1-ListParagraph43"/>
              <w:numPr>
                <w:ilvl w:val="0"/>
                <w:numId w:val="155"/>
              </w:numPr>
              <w:spacing w:after="120" w:line="240" w:lineRule="auto"/>
              <w:contextualSpacing w:val="0"/>
              <w:textAlignment w:val="baseline"/>
              <w:rPr>
                <w:noProof/>
              </w:rPr>
            </w:pPr>
            <w:r>
              <w:rPr>
                <w:noProof/>
              </w:rPr>
              <w:t>prévoir la possibilité explicite pour les pouvoirs adjudicateurs d’inclure des conditions de lutte contre la corruption relatives à l’exécution d’un marché afin de renforcer la transparence, la responsabilité et l’intégrité;</w:t>
            </w:r>
          </w:p>
          <w:p w14:paraId="2EBB96FD" w14:textId="77777777" w:rsidR="0023462A" w:rsidRDefault="00A550FA">
            <w:pPr>
              <w:pStyle w:val="P68B1DB1-ListParagraph43"/>
              <w:numPr>
                <w:ilvl w:val="0"/>
                <w:numId w:val="155"/>
              </w:numPr>
              <w:spacing w:after="120" w:line="240" w:lineRule="auto"/>
              <w:contextualSpacing w:val="0"/>
              <w:textAlignment w:val="baseline"/>
              <w:rPr>
                <w:noProof/>
              </w:rPr>
            </w:pPr>
            <w:r>
              <w:rPr>
                <w:noProof/>
              </w:rPr>
              <w:t>introduire l’obligation pour les pouvoirs adjudicateurs de prévoir, comme condition contractuelle, que l’attributaire coopère afin de réduire les risques d’infractions de corruption;</w:t>
            </w:r>
          </w:p>
          <w:p w14:paraId="6D9C220D" w14:textId="77777777" w:rsidR="0023462A" w:rsidRDefault="00A550FA">
            <w:pPr>
              <w:pStyle w:val="P68B1DB1-ListParagraph43"/>
              <w:numPr>
                <w:ilvl w:val="0"/>
                <w:numId w:val="155"/>
              </w:numPr>
              <w:spacing w:after="120" w:line="240" w:lineRule="auto"/>
              <w:contextualSpacing w:val="0"/>
              <w:textAlignment w:val="baseline"/>
              <w:rPr>
                <w:noProof/>
              </w:rPr>
            </w:pPr>
            <w:r>
              <w:rPr>
                <w:noProof/>
              </w:rPr>
              <w:t>prévoir que la commission d'arbitrage des marchés publics est tenue d'émettre un avis énonçant les principes de l'imposition d'amendes;</w:t>
            </w:r>
          </w:p>
          <w:p w14:paraId="19D34B21" w14:textId="77777777" w:rsidR="0023462A" w:rsidRDefault="00A550FA">
            <w:pPr>
              <w:pStyle w:val="P68B1DB1-ListParagraph43"/>
              <w:numPr>
                <w:ilvl w:val="0"/>
                <w:numId w:val="155"/>
              </w:numPr>
              <w:spacing w:after="120" w:line="240" w:lineRule="auto"/>
              <w:contextualSpacing w:val="0"/>
              <w:textAlignment w:val="baseline"/>
              <w:rPr>
                <w:noProof/>
              </w:rPr>
            </w:pPr>
            <w:r>
              <w:rPr>
                <w:noProof/>
              </w:rPr>
              <w:t>étendre la possibilité pour l’autorité chargée de l’intégrité d’engager une procédure de réexamen d’office devant la commission d’arbitrage des marchés publics au-delà des procédures de passation de marchés publics portant sur des fonds de l’UE;</w:t>
            </w:r>
          </w:p>
          <w:p w14:paraId="59F5F4F2" w14:textId="77777777" w:rsidR="0023462A" w:rsidRDefault="00A550FA">
            <w:pPr>
              <w:pStyle w:val="P68B1DB1-ListParagraph43"/>
              <w:numPr>
                <w:ilvl w:val="0"/>
                <w:numId w:val="155"/>
              </w:numPr>
              <w:spacing w:after="120" w:line="240" w:lineRule="auto"/>
              <w:contextualSpacing w:val="0"/>
              <w:textAlignment w:val="baseline"/>
              <w:rPr>
                <w:rFonts w:eastAsiaTheme="minorHAnsi"/>
                <w:noProof/>
              </w:rPr>
            </w:pPr>
            <w:r>
              <w:rPr>
                <w:noProof/>
              </w:rPr>
              <w:t>prévoir que le président de l’Autorité pour l’intégrité agit également en tant que membre d’office du conseil des marchés publics.</w:t>
            </w:r>
          </w:p>
        </w:tc>
      </w:tr>
      <w:tr w:rsidR="0023462A" w14:paraId="6F4DEAAF" w14:textId="77777777" w:rsidTr="009C289F">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vAlign w:val="center"/>
          </w:tcPr>
          <w:p w14:paraId="516EB5D8" w14:textId="7F3D9163" w:rsidR="0023462A" w:rsidRDefault="00A550FA">
            <w:pPr>
              <w:pStyle w:val="P68B1DB1-Normal32"/>
              <w:spacing w:after="120" w:line="240" w:lineRule="auto"/>
              <w:rPr>
                <w:rFonts w:eastAsiaTheme="minorHAnsi"/>
                <w:noProof/>
              </w:rPr>
            </w:pPr>
            <w:r>
              <w:rPr>
                <w:noProof/>
              </w:rPr>
              <w:t>68</w:t>
            </w:r>
          </w:p>
        </w:tc>
        <w:tc>
          <w:tcPr>
            <w:tcW w:w="1559" w:type="dxa"/>
            <w:tcBorders>
              <w:top w:val="nil"/>
              <w:left w:val="nil"/>
              <w:bottom w:val="single" w:sz="4" w:space="0" w:color="auto"/>
              <w:right w:val="single" w:sz="4" w:space="0" w:color="auto"/>
            </w:tcBorders>
            <w:shd w:val="clear" w:color="auto" w:fill="C6EFCE"/>
            <w:noWrap/>
            <w:vAlign w:val="center"/>
          </w:tcPr>
          <w:p w14:paraId="36D98F6C" w14:textId="0928D233" w:rsidR="0023462A" w:rsidRDefault="00A550FA">
            <w:pPr>
              <w:pStyle w:val="P68B1DB1-Normal32"/>
              <w:spacing w:after="120" w:line="240" w:lineRule="auto"/>
              <w:ind w:left="52"/>
              <w:rPr>
                <w:noProof/>
              </w:rPr>
            </w:pPr>
            <w:r>
              <w:rPr>
                <w:noProof/>
              </w:rPr>
              <w:t xml:space="preserve">C8.R11 Développement du système électronique de passation des marchés publics (EPS) pour accroître la transparence </w:t>
            </w:r>
          </w:p>
          <w:p w14:paraId="1F42FEC8" w14:textId="77777777" w:rsidR="0023462A" w:rsidRDefault="0023462A">
            <w:pPr>
              <w:spacing w:after="120" w:line="240" w:lineRule="auto"/>
              <w:rPr>
                <w:rFonts w:ascii="Times New Roman" w:eastAsiaTheme="minorHAnsi" w:hAnsi="Times New Roman" w:cs="Times New Roman"/>
                <w:noProof/>
                <w:sz w:val="18"/>
                <w:szCs w:val="18"/>
              </w:rPr>
            </w:pPr>
          </w:p>
        </w:tc>
        <w:tc>
          <w:tcPr>
            <w:tcW w:w="709" w:type="dxa"/>
            <w:tcBorders>
              <w:top w:val="nil"/>
              <w:left w:val="nil"/>
              <w:bottom w:val="single" w:sz="4" w:space="0" w:color="auto"/>
              <w:right w:val="single" w:sz="4" w:space="0" w:color="auto"/>
            </w:tcBorders>
            <w:shd w:val="clear" w:color="auto" w:fill="C6EFCE"/>
            <w:noWrap/>
            <w:vAlign w:val="center"/>
          </w:tcPr>
          <w:p w14:paraId="6834F3EE" w14:textId="535FFE05" w:rsidR="0023462A" w:rsidRDefault="00A550FA">
            <w:pPr>
              <w:pStyle w:val="P68B1DB1-Normal32"/>
              <w:spacing w:after="120" w:line="240" w:lineRule="auto"/>
              <w:rPr>
                <w:rFonts w:eastAsiaTheme="minorHAnsi"/>
                <w:noProof/>
              </w:rPr>
            </w:pPr>
            <w:r>
              <w:rPr>
                <w:noProof/>
              </w:rPr>
              <w:t>Étape</w:t>
            </w:r>
          </w:p>
        </w:tc>
        <w:tc>
          <w:tcPr>
            <w:tcW w:w="1417" w:type="dxa"/>
            <w:tcBorders>
              <w:top w:val="nil"/>
              <w:left w:val="nil"/>
              <w:bottom w:val="single" w:sz="4" w:space="0" w:color="auto"/>
              <w:right w:val="single" w:sz="4" w:space="0" w:color="auto"/>
            </w:tcBorders>
            <w:shd w:val="clear" w:color="auto" w:fill="C6EFCE"/>
            <w:noWrap/>
            <w:vAlign w:val="center"/>
          </w:tcPr>
          <w:p w14:paraId="527ED0EB" w14:textId="24A0F337" w:rsidR="0023462A" w:rsidRDefault="00A550FA">
            <w:pPr>
              <w:pStyle w:val="P68B1DB1-Normal32"/>
              <w:spacing w:after="120" w:line="240" w:lineRule="auto"/>
              <w:rPr>
                <w:rFonts w:eastAsiaTheme="minorHAnsi"/>
                <w:noProof/>
              </w:rPr>
            </w:pPr>
            <w:r>
              <w:rPr>
                <w:noProof/>
              </w:rPr>
              <w:t xml:space="preserve">Le SPE mis à niveau avec les nouvelles fonctionnalités est accessible au public </w:t>
            </w:r>
          </w:p>
        </w:tc>
        <w:tc>
          <w:tcPr>
            <w:tcW w:w="1701" w:type="dxa"/>
            <w:tcBorders>
              <w:top w:val="nil"/>
              <w:left w:val="nil"/>
              <w:bottom w:val="single" w:sz="4" w:space="0" w:color="auto"/>
              <w:right w:val="single" w:sz="4" w:space="0" w:color="auto"/>
            </w:tcBorders>
            <w:shd w:val="clear" w:color="auto" w:fill="C6EFCE"/>
            <w:noWrap/>
            <w:vAlign w:val="center"/>
          </w:tcPr>
          <w:p w14:paraId="6621B0F1" w14:textId="4D9F3FF3" w:rsidR="0023462A" w:rsidRDefault="00A550FA">
            <w:pPr>
              <w:pStyle w:val="P68B1DB1-Normal32"/>
              <w:spacing w:after="120" w:line="240" w:lineRule="auto"/>
              <w:rPr>
                <w:rFonts w:eastAsiaTheme="minorHAnsi"/>
                <w:noProof/>
              </w:rPr>
            </w:pPr>
            <w:r>
              <w:rPr>
                <w:noProof/>
              </w:rPr>
              <w:t xml:space="preserve">Rapport d’audit confirmant le fonctionnement des nouvelles fonctionnalités du SPE. </w:t>
            </w:r>
          </w:p>
        </w:tc>
        <w:tc>
          <w:tcPr>
            <w:tcW w:w="1418" w:type="dxa"/>
            <w:tcBorders>
              <w:top w:val="nil"/>
              <w:left w:val="nil"/>
              <w:bottom w:val="single" w:sz="4" w:space="0" w:color="auto"/>
              <w:right w:val="single" w:sz="4" w:space="0" w:color="auto"/>
            </w:tcBorders>
            <w:shd w:val="clear" w:color="auto" w:fill="C6EFCE"/>
            <w:noWrap/>
            <w:vAlign w:val="center"/>
          </w:tcPr>
          <w:p w14:paraId="358E0B22" w14:textId="7165253E" w:rsidR="0023462A" w:rsidRDefault="00A550FA">
            <w:pPr>
              <w:pStyle w:val="P68B1DB1-Normal32"/>
              <w:spacing w:after="120" w:line="240" w:lineRule="auto"/>
              <w:rPr>
                <w:rFonts w:eastAsia="Calibri"/>
                <w:noProof/>
              </w:rPr>
            </w:pPr>
            <w:r>
              <w:rPr>
                <w:noProof/>
              </w:rPr>
              <w:t xml:space="preserve"> </w:t>
            </w:r>
          </w:p>
        </w:tc>
        <w:tc>
          <w:tcPr>
            <w:tcW w:w="1417" w:type="dxa"/>
            <w:tcBorders>
              <w:top w:val="nil"/>
              <w:left w:val="nil"/>
              <w:bottom w:val="single" w:sz="4" w:space="0" w:color="auto"/>
              <w:right w:val="single" w:sz="4" w:space="0" w:color="auto"/>
            </w:tcBorders>
            <w:shd w:val="clear" w:color="auto" w:fill="C6EFCE"/>
            <w:noWrap/>
            <w:vAlign w:val="center"/>
          </w:tcPr>
          <w:p w14:paraId="254DDB50" w14:textId="77777777" w:rsidR="0023462A" w:rsidRDefault="0023462A">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vAlign w:val="center"/>
          </w:tcPr>
          <w:p w14:paraId="36E35C3D" w14:textId="77777777" w:rsidR="0023462A" w:rsidRDefault="0023462A">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4B565146" w14:textId="1FD3A052" w:rsidR="0023462A" w:rsidRDefault="00A550FA">
            <w:pPr>
              <w:pStyle w:val="P68B1DB1-Normal32"/>
              <w:spacing w:after="120" w:line="240" w:lineRule="auto"/>
              <w:rPr>
                <w:rFonts w:eastAsiaTheme="minorHAnsi"/>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4978BE59" w14:textId="43A843E0" w:rsidR="0023462A" w:rsidRDefault="00A550FA">
            <w:pPr>
              <w:pStyle w:val="P68B1DB1-Normal32"/>
              <w:spacing w:after="120" w:line="240" w:lineRule="auto"/>
              <w:rPr>
                <w:rFonts w:eastAsiaTheme="minorHAnsi"/>
                <w:noProof/>
              </w:rPr>
            </w:pPr>
            <w:r>
              <w:rPr>
                <w:noProof/>
              </w:rPr>
              <w:t>2026</w:t>
            </w:r>
          </w:p>
        </w:tc>
        <w:tc>
          <w:tcPr>
            <w:tcW w:w="3713" w:type="dxa"/>
            <w:tcBorders>
              <w:top w:val="nil"/>
              <w:left w:val="nil"/>
              <w:bottom w:val="single" w:sz="4" w:space="0" w:color="auto"/>
              <w:right w:val="single" w:sz="4" w:space="0" w:color="auto"/>
            </w:tcBorders>
            <w:shd w:val="clear" w:color="auto" w:fill="C6EFCE"/>
            <w:noWrap/>
            <w:vAlign w:val="center"/>
          </w:tcPr>
          <w:p w14:paraId="66FF79FC" w14:textId="77777777" w:rsidR="0023462A" w:rsidRDefault="00A550FA">
            <w:pPr>
              <w:pStyle w:val="P68B1DB1-Normal32"/>
              <w:spacing w:after="120" w:line="240" w:lineRule="auto"/>
              <w:ind w:left="52"/>
              <w:textAlignment w:val="baseline"/>
              <w:rPr>
                <w:noProof/>
              </w:rPr>
            </w:pPr>
            <w:r>
              <w:rPr>
                <w:noProof/>
              </w:rPr>
              <w:t>Un rapport d'audit assorti d'une opinion sans réserve émise par un auditeur indépendant confirme que:</w:t>
            </w:r>
          </w:p>
          <w:p w14:paraId="71F7B1DA" w14:textId="76B80AAB" w:rsidR="0023462A" w:rsidRDefault="00A550FA">
            <w:pPr>
              <w:pStyle w:val="P68B1DB1-ListParagraph43"/>
              <w:numPr>
                <w:ilvl w:val="0"/>
                <w:numId w:val="155"/>
              </w:numPr>
              <w:spacing w:after="120" w:line="240" w:lineRule="auto"/>
              <w:contextualSpacing w:val="0"/>
              <w:textAlignment w:val="baseline"/>
              <w:rPr>
                <w:rFonts w:eastAsia="Times New Roman"/>
                <w:noProof/>
              </w:rPr>
            </w:pPr>
            <w:r>
              <w:rPr>
                <w:noProof/>
              </w:rPr>
              <w:t>les fonctions du système électronique de passation des marchés publics (SPE) permettent la recherche structurée dans les données de l’avis d’attribution de marché et l’exportation en masse de toutes les données de l’avis d’attribution de marché publiées dans le SPE dans un format lisible par machine (y compris les noms de chaque membre individuel d’un consortium, les noms des sous-traitants et les numéros d’identification de l’entreprise lorsque cela a été fourni dans les champs spécifiques de l’avis d’attribution de marché) sont fonctionnelles.</w:t>
            </w:r>
          </w:p>
          <w:p w14:paraId="466EFB52" w14:textId="77777777" w:rsidR="0023462A" w:rsidRDefault="00A550FA">
            <w:pPr>
              <w:pStyle w:val="P68B1DB1-ListParagraph43"/>
              <w:numPr>
                <w:ilvl w:val="0"/>
                <w:numId w:val="155"/>
              </w:numPr>
              <w:spacing w:after="120" w:line="240" w:lineRule="auto"/>
              <w:contextualSpacing w:val="0"/>
              <w:textAlignment w:val="baseline"/>
              <w:rPr>
                <w:rFonts w:eastAsia="Times New Roman"/>
                <w:noProof/>
              </w:rPr>
            </w:pPr>
            <w:r>
              <w:rPr>
                <w:noProof/>
              </w:rPr>
              <w:t>ces fonctions permettent la collecte, le filtrage et la comparaison de données entre les avis d’attribution de marché et liées à différents sujets de marchés publics couvrant des informations provenant de différents types d’avis d’attribution de marché.</w:t>
            </w:r>
          </w:p>
          <w:p w14:paraId="2AAC4DD6" w14:textId="77777777" w:rsidR="0023462A" w:rsidRDefault="00A550FA">
            <w:pPr>
              <w:pStyle w:val="P68B1DB1-ListParagraph43"/>
              <w:numPr>
                <w:ilvl w:val="0"/>
                <w:numId w:val="155"/>
              </w:numPr>
              <w:spacing w:after="120" w:line="240" w:lineRule="auto"/>
              <w:contextualSpacing w:val="0"/>
              <w:textAlignment w:val="baseline"/>
              <w:rPr>
                <w:rFonts w:eastAsia="Times New Roman"/>
                <w:noProof/>
              </w:rPr>
            </w:pPr>
            <w:r>
              <w:rPr>
                <w:noProof/>
              </w:rPr>
              <w:t xml:space="preserve">une base de données est publiée dans le SPE, contenant des informations sur les avis d’attribution de marchés publics publiés dans le SPE sous une forme structurée, qui est apte à être traitée par des moyens automatiques. </w:t>
            </w:r>
          </w:p>
          <w:p w14:paraId="2F32C470" w14:textId="45C59547" w:rsidR="0023462A" w:rsidRDefault="00A550FA">
            <w:pPr>
              <w:pStyle w:val="P68B1DB1-ListParagraph43"/>
              <w:numPr>
                <w:ilvl w:val="0"/>
                <w:numId w:val="155"/>
              </w:numPr>
              <w:spacing w:after="120" w:line="240" w:lineRule="auto"/>
              <w:contextualSpacing w:val="0"/>
              <w:textAlignment w:val="baseline"/>
              <w:rPr>
                <w:rFonts w:eastAsia="Times New Roman"/>
                <w:noProof/>
              </w:rPr>
            </w:pPr>
            <w:r>
              <w:rPr>
                <w:noProof/>
              </w:rPr>
              <w:t xml:space="preserve">les opérateurs économiques figurant dans la base de données, y compris les membres de consortiums, sont identifiables par un identifiant unique (numéro d’identification fiscale lorsque celui-ci a été fourni dans les champs spécifiques de l’avis d’attribution de marché). </w:t>
            </w:r>
          </w:p>
          <w:p w14:paraId="382B46F5" w14:textId="757E16EF" w:rsidR="0023462A" w:rsidRDefault="00A550FA">
            <w:pPr>
              <w:pStyle w:val="P68B1DB1-ListParagraph43"/>
              <w:numPr>
                <w:ilvl w:val="0"/>
                <w:numId w:val="155"/>
              </w:numPr>
              <w:spacing w:after="120" w:line="240" w:lineRule="auto"/>
              <w:contextualSpacing w:val="0"/>
              <w:textAlignment w:val="baseline"/>
              <w:rPr>
                <w:rFonts w:eastAsiaTheme="minorHAnsi"/>
                <w:noProof/>
              </w:rPr>
            </w:pPr>
            <w:r>
              <w:rPr>
                <w:noProof/>
              </w:rPr>
              <w:t>la base de données est mise à jour régulièrement et est librement accessible et téléchargeable par toute personne sur le site web du SPE sans inscription.</w:t>
            </w:r>
          </w:p>
        </w:tc>
      </w:tr>
      <w:tr w:rsidR="0023462A" w14:paraId="67CFCEC2" w14:textId="77777777" w:rsidTr="009C289F">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vAlign w:val="center"/>
          </w:tcPr>
          <w:p w14:paraId="6ADC8626" w14:textId="330319B1" w:rsidR="0023462A" w:rsidRDefault="00A550FA">
            <w:pPr>
              <w:pStyle w:val="P68B1DB1-Normal32"/>
              <w:spacing w:after="120" w:line="240" w:lineRule="auto"/>
              <w:rPr>
                <w:rFonts w:eastAsiaTheme="minorHAnsi"/>
                <w:noProof/>
              </w:rPr>
            </w:pPr>
            <w:r>
              <w:rPr>
                <w:noProof/>
              </w:rPr>
              <w:t>69</w:t>
            </w:r>
          </w:p>
        </w:tc>
        <w:tc>
          <w:tcPr>
            <w:tcW w:w="1559" w:type="dxa"/>
            <w:tcBorders>
              <w:top w:val="nil"/>
              <w:left w:val="nil"/>
              <w:bottom w:val="single" w:sz="4" w:space="0" w:color="auto"/>
              <w:right w:val="single" w:sz="4" w:space="0" w:color="auto"/>
            </w:tcBorders>
            <w:shd w:val="clear" w:color="auto" w:fill="C6EFCE"/>
            <w:noWrap/>
            <w:vAlign w:val="center"/>
          </w:tcPr>
          <w:p w14:paraId="29134A34" w14:textId="6B4FA91B" w:rsidR="0023462A" w:rsidRDefault="00A550FA">
            <w:pPr>
              <w:pStyle w:val="P68B1DB1-Normal32"/>
              <w:spacing w:after="120" w:line="240" w:lineRule="auto"/>
              <w:rPr>
                <w:noProof/>
              </w:rPr>
            </w:pPr>
            <w:r>
              <w:rPr>
                <w:noProof/>
              </w:rPr>
              <w:t>C8.R12 Cadre de mesure de la performance pour les marchés publics</w:t>
            </w:r>
          </w:p>
        </w:tc>
        <w:tc>
          <w:tcPr>
            <w:tcW w:w="709" w:type="dxa"/>
            <w:tcBorders>
              <w:top w:val="nil"/>
              <w:left w:val="nil"/>
              <w:bottom w:val="single" w:sz="4" w:space="0" w:color="auto"/>
              <w:right w:val="single" w:sz="4" w:space="0" w:color="auto"/>
            </w:tcBorders>
            <w:shd w:val="clear" w:color="auto" w:fill="C6EFCE"/>
            <w:noWrap/>
            <w:vAlign w:val="center"/>
          </w:tcPr>
          <w:p w14:paraId="64128408" w14:textId="5C6FF60B" w:rsidR="0023462A" w:rsidRDefault="00A550FA">
            <w:pPr>
              <w:pStyle w:val="P68B1DB1-Normal32"/>
              <w:spacing w:after="120" w:line="240" w:lineRule="auto"/>
              <w:rPr>
                <w:rFonts w:eastAsiaTheme="minorHAnsi"/>
                <w:noProof/>
              </w:rPr>
            </w:pPr>
            <w:r>
              <w:rPr>
                <w:noProof/>
              </w:rPr>
              <w:t>Étape</w:t>
            </w:r>
          </w:p>
        </w:tc>
        <w:tc>
          <w:tcPr>
            <w:tcW w:w="1417" w:type="dxa"/>
            <w:tcBorders>
              <w:top w:val="nil"/>
              <w:left w:val="nil"/>
              <w:bottom w:val="single" w:sz="4" w:space="0" w:color="auto"/>
              <w:right w:val="single" w:sz="4" w:space="0" w:color="auto"/>
            </w:tcBorders>
            <w:shd w:val="clear" w:color="auto" w:fill="C6EFCE"/>
            <w:noWrap/>
            <w:vAlign w:val="center"/>
          </w:tcPr>
          <w:p w14:paraId="4E3EE015" w14:textId="77777777" w:rsidR="0023462A" w:rsidRDefault="00A550FA">
            <w:pPr>
              <w:pStyle w:val="P68B1DB1-Normal32"/>
              <w:spacing w:after="120" w:line="240" w:lineRule="auto"/>
              <w:ind w:left="52"/>
              <w:textAlignment w:val="baseline"/>
              <w:rPr>
                <w:rFonts w:eastAsia="Times New Roman"/>
                <w:noProof/>
              </w:rPr>
            </w:pPr>
            <w:r>
              <w:rPr>
                <w:noProof/>
              </w:rPr>
              <w:t>Mise en place d'un cadre de mesure de la performance des marchés publics</w:t>
            </w:r>
          </w:p>
          <w:p w14:paraId="35600A43" w14:textId="77777777" w:rsidR="0023462A" w:rsidRDefault="0023462A">
            <w:pPr>
              <w:spacing w:after="120" w:line="240" w:lineRule="auto"/>
              <w:rPr>
                <w:rFonts w:ascii="Times New Roman" w:eastAsiaTheme="minorHAnsi" w:hAnsi="Times New Roman" w:cs="Times New Roman"/>
                <w:noProof/>
                <w:sz w:val="18"/>
                <w:szCs w:val="18"/>
              </w:rPr>
            </w:pPr>
          </w:p>
        </w:tc>
        <w:tc>
          <w:tcPr>
            <w:tcW w:w="1701" w:type="dxa"/>
            <w:tcBorders>
              <w:top w:val="nil"/>
              <w:left w:val="nil"/>
              <w:bottom w:val="single" w:sz="4" w:space="0" w:color="auto"/>
              <w:right w:val="single" w:sz="4" w:space="0" w:color="auto"/>
            </w:tcBorders>
            <w:shd w:val="clear" w:color="auto" w:fill="C6EFCE"/>
            <w:noWrap/>
            <w:vAlign w:val="center"/>
          </w:tcPr>
          <w:p w14:paraId="407680A2" w14:textId="668119EA" w:rsidR="0023462A" w:rsidRDefault="00A550FA">
            <w:pPr>
              <w:pStyle w:val="P68B1DB1-Normal32"/>
              <w:spacing w:after="120" w:line="240" w:lineRule="auto"/>
              <w:rPr>
                <w:rFonts w:eastAsiaTheme="minorHAnsi"/>
                <w:noProof/>
              </w:rPr>
            </w:pPr>
            <w:r>
              <w:rPr>
                <w:noProof/>
              </w:rPr>
              <w:t xml:space="preserve">Publication sur le site web du SPE d’un cadre de mesure de la performance </w:t>
            </w:r>
          </w:p>
        </w:tc>
        <w:tc>
          <w:tcPr>
            <w:tcW w:w="1418" w:type="dxa"/>
            <w:tcBorders>
              <w:top w:val="nil"/>
              <w:left w:val="nil"/>
              <w:bottom w:val="single" w:sz="4" w:space="0" w:color="auto"/>
              <w:right w:val="single" w:sz="4" w:space="0" w:color="auto"/>
            </w:tcBorders>
            <w:shd w:val="clear" w:color="auto" w:fill="C6EFCE"/>
            <w:noWrap/>
            <w:vAlign w:val="center"/>
          </w:tcPr>
          <w:p w14:paraId="1D31ADF5" w14:textId="77777777" w:rsidR="0023462A" w:rsidRDefault="0023462A">
            <w:pPr>
              <w:spacing w:after="120" w:line="240" w:lineRule="auto"/>
              <w:rPr>
                <w:rFonts w:ascii="Times New Roman" w:eastAsia="Calibri" w:hAnsi="Times New Roman" w:cs="Times New Roman"/>
                <w:noProof/>
                <w:sz w:val="18"/>
                <w:szCs w:val="18"/>
              </w:rPr>
            </w:pPr>
          </w:p>
        </w:tc>
        <w:tc>
          <w:tcPr>
            <w:tcW w:w="1417" w:type="dxa"/>
            <w:tcBorders>
              <w:top w:val="nil"/>
              <w:left w:val="nil"/>
              <w:bottom w:val="single" w:sz="4" w:space="0" w:color="auto"/>
              <w:right w:val="single" w:sz="4" w:space="0" w:color="auto"/>
            </w:tcBorders>
            <w:shd w:val="clear" w:color="auto" w:fill="C6EFCE"/>
            <w:noWrap/>
            <w:vAlign w:val="center"/>
          </w:tcPr>
          <w:p w14:paraId="15EB4116" w14:textId="77777777" w:rsidR="0023462A" w:rsidRDefault="0023462A">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vAlign w:val="center"/>
          </w:tcPr>
          <w:p w14:paraId="7D2C9B7E" w14:textId="77777777" w:rsidR="0023462A" w:rsidRDefault="0023462A">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33561AF3" w14:textId="4A8A2588" w:rsidR="0023462A" w:rsidRDefault="00A550FA">
            <w:pPr>
              <w:pStyle w:val="P68B1DB1-Normal32"/>
              <w:spacing w:after="120" w:line="240" w:lineRule="auto"/>
              <w:rPr>
                <w:rFonts w:eastAsiaTheme="minorHAnsi"/>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09549E98" w14:textId="03C9BD87" w:rsidR="0023462A" w:rsidRDefault="00A550FA">
            <w:pPr>
              <w:pStyle w:val="P68B1DB1-Normal32"/>
              <w:spacing w:after="120" w:line="240" w:lineRule="auto"/>
              <w:rPr>
                <w:rFonts w:eastAsiaTheme="minorHAnsi"/>
                <w:noProof/>
              </w:rPr>
            </w:pPr>
            <w:r>
              <w:rPr>
                <w:noProof/>
              </w:rPr>
              <w:t>2026</w:t>
            </w:r>
          </w:p>
        </w:tc>
        <w:tc>
          <w:tcPr>
            <w:tcW w:w="3713" w:type="dxa"/>
            <w:tcBorders>
              <w:top w:val="nil"/>
              <w:left w:val="nil"/>
              <w:bottom w:val="single" w:sz="4" w:space="0" w:color="auto"/>
              <w:right w:val="single" w:sz="4" w:space="0" w:color="auto"/>
            </w:tcBorders>
            <w:shd w:val="clear" w:color="auto" w:fill="C6EFCE"/>
            <w:noWrap/>
          </w:tcPr>
          <w:p w14:paraId="4981C17A" w14:textId="77777777" w:rsidR="0023462A" w:rsidRDefault="00A550FA">
            <w:pPr>
              <w:pStyle w:val="P68B1DB1-Normal32"/>
              <w:spacing w:after="120" w:line="240" w:lineRule="auto"/>
              <w:ind w:left="52"/>
              <w:textAlignment w:val="baseline"/>
              <w:rPr>
                <w:rFonts w:eastAsia="Times New Roman"/>
                <w:noProof/>
              </w:rPr>
            </w:pPr>
            <w:r>
              <w:rPr>
                <w:noProof/>
              </w:rPr>
              <w:t>Publication sur le site web du SPE du cadre de mesure de la performance afin d’évaluer i) l’efficacité et le rapport coût-efficacité des marchés publics et ii) les raisons et les effets possibles d’une concurrence limitée dans les procédures de passation de marchés publics, ainsi que les secteurs les plus touchés par les procédures de passation de marchés publics donnant lieu à des offres uniques.</w:t>
            </w:r>
          </w:p>
          <w:p w14:paraId="11E85351" w14:textId="77777777" w:rsidR="0023462A" w:rsidRDefault="00A550FA">
            <w:pPr>
              <w:pStyle w:val="P68B1DB1-Normal32"/>
              <w:spacing w:after="120" w:line="240" w:lineRule="auto"/>
              <w:ind w:left="51"/>
              <w:textAlignment w:val="baseline"/>
              <w:rPr>
                <w:noProof/>
              </w:rPr>
            </w:pPr>
            <w:r>
              <w:rPr>
                <w:noProof/>
              </w:rPr>
              <w:t>Le cadre de mesure des performances permet l'analyse annuelle:</w:t>
            </w:r>
          </w:p>
          <w:p w14:paraId="18D116C8" w14:textId="77777777" w:rsidR="0023462A" w:rsidRDefault="00A550FA">
            <w:pPr>
              <w:pStyle w:val="P68B1DB1-Normal32"/>
              <w:spacing w:after="120" w:line="240" w:lineRule="auto"/>
              <w:ind w:left="51"/>
              <w:textAlignment w:val="baseline"/>
              <w:rPr>
                <w:noProof/>
              </w:rPr>
            </w:pPr>
            <w:r>
              <w:rPr>
                <w:noProof/>
              </w:rPr>
              <w:t xml:space="preserve">i) le niveau des procédures de passation de marchés publics infructueuses et leurs raisons, </w:t>
            </w:r>
          </w:p>
          <w:p w14:paraId="2863ADA8" w14:textId="77777777" w:rsidR="0023462A" w:rsidRDefault="00A550FA">
            <w:pPr>
              <w:pStyle w:val="P68B1DB1-Normal32"/>
              <w:spacing w:after="120" w:line="240" w:lineRule="auto"/>
              <w:ind w:left="51"/>
              <w:textAlignment w:val="baseline"/>
              <w:rPr>
                <w:noProof/>
              </w:rPr>
            </w:pPr>
            <w:r>
              <w:rPr>
                <w:noProof/>
              </w:rPr>
              <w:t xml:space="preserve">ii) la part (mesurée par référence à la fois au nombre et à la valeur) des contrats qui sont entièrement annulés au cours de l’exécution du contrat, </w:t>
            </w:r>
          </w:p>
          <w:p w14:paraId="1309C5F3" w14:textId="77777777" w:rsidR="0023462A" w:rsidRDefault="00A550FA">
            <w:pPr>
              <w:pStyle w:val="P68B1DB1-Normal32"/>
              <w:spacing w:after="120" w:line="240" w:lineRule="auto"/>
              <w:ind w:left="51"/>
              <w:textAlignment w:val="baseline"/>
              <w:rPr>
                <w:noProof/>
              </w:rPr>
            </w:pPr>
            <w:r>
              <w:rPr>
                <w:noProof/>
              </w:rPr>
              <w:t xml:space="preserve">iii) la part des retards dans l'exécution du contrat, </w:t>
            </w:r>
          </w:p>
          <w:p w14:paraId="78FBAC6D" w14:textId="77777777" w:rsidR="0023462A" w:rsidRDefault="00A550FA">
            <w:pPr>
              <w:pStyle w:val="P68B1DB1-Normal32"/>
              <w:spacing w:after="120" w:line="240" w:lineRule="auto"/>
              <w:ind w:left="51"/>
              <w:textAlignment w:val="baseline"/>
              <w:rPr>
                <w:noProof/>
              </w:rPr>
            </w:pPr>
            <w:r>
              <w:rPr>
                <w:noProof/>
              </w:rPr>
              <w:t xml:space="preserve">iv) la part des dépassements de coûts (y compris leur proportion et leur volume), </w:t>
            </w:r>
          </w:p>
          <w:p w14:paraId="6A12D7CB" w14:textId="77777777" w:rsidR="0023462A" w:rsidRDefault="00A550FA">
            <w:pPr>
              <w:pStyle w:val="P68B1DB1-Normal32"/>
              <w:spacing w:after="120" w:line="240" w:lineRule="auto"/>
              <w:ind w:left="51"/>
              <w:textAlignment w:val="baseline"/>
              <w:rPr>
                <w:noProof/>
              </w:rPr>
            </w:pPr>
            <w:r>
              <w:rPr>
                <w:noProof/>
              </w:rPr>
              <w:t xml:space="preserve">v) la part des marchés attribués dans lesquels l’ensemble du cycle de vie ou du coût du cycle de vie est explicitement pris en considération, </w:t>
            </w:r>
          </w:p>
          <w:p w14:paraId="6FED6CDF" w14:textId="77777777" w:rsidR="0023462A" w:rsidRDefault="00A550FA">
            <w:pPr>
              <w:pStyle w:val="P68B1DB1-Normal32"/>
              <w:spacing w:after="120" w:line="240" w:lineRule="auto"/>
              <w:ind w:left="51"/>
              <w:textAlignment w:val="baseline"/>
              <w:rPr>
                <w:noProof/>
              </w:rPr>
            </w:pPr>
            <w:r>
              <w:rPr>
                <w:noProof/>
              </w:rPr>
              <w:t xml:space="preserve">vi) la part de la participation réussie des microentreprises et des petites entreprises aux marchés publics, prise en compte dans tous les secteurs et par secteur concerné (sur la base des divisions et groupes CPV), </w:t>
            </w:r>
          </w:p>
          <w:p w14:paraId="0E54D72F" w14:textId="027696F5" w:rsidR="0023462A" w:rsidRDefault="00A550FA">
            <w:pPr>
              <w:pStyle w:val="P68B1DB1-Normal32"/>
              <w:spacing w:after="120" w:line="240" w:lineRule="auto"/>
              <w:ind w:left="51"/>
              <w:textAlignment w:val="baseline"/>
              <w:rPr>
                <w:rFonts w:eastAsiaTheme="minorHAnsi"/>
                <w:noProof/>
              </w:rPr>
            </w:pPr>
            <w:r>
              <w:rPr>
                <w:noProof/>
              </w:rPr>
              <w:t>vii) la proportion en valeur des procédures de passation de marchés publics avec offre unique et la proportion en valeur des procédures de passation de marchés publics avec offre unique financées séparément par des ressources nationales et par le soutien de l’Union.</w:t>
            </w:r>
          </w:p>
        </w:tc>
      </w:tr>
      <w:tr w:rsidR="0023462A" w14:paraId="116FAC48" w14:textId="77777777" w:rsidTr="009C289F">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vAlign w:val="center"/>
          </w:tcPr>
          <w:p w14:paraId="1A89F6DE" w14:textId="2833C695" w:rsidR="0023462A" w:rsidRDefault="00A550FA">
            <w:pPr>
              <w:pStyle w:val="P68B1DB1-Normal32"/>
              <w:spacing w:after="120" w:line="240" w:lineRule="auto"/>
              <w:ind w:left="52"/>
              <w:textAlignment w:val="baseline"/>
              <w:rPr>
                <w:noProof/>
              </w:rPr>
            </w:pPr>
            <w:r>
              <w:rPr>
                <w:noProof/>
              </w:rPr>
              <w:t>70</w:t>
            </w:r>
          </w:p>
          <w:p w14:paraId="7DA368B5" w14:textId="77777777" w:rsidR="0023462A" w:rsidRDefault="0023462A">
            <w:pPr>
              <w:spacing w:after="120" w:line="240" w:lineRule="auto"/>
              <w:rPr>
                <w:rFonts w:ascii="Times New Roman" w:eastAsiaTheme="minorHAnsi" w:hAnsi="Times New Roman" w:cs="Times New Roman"/>
                <w:noProof/>
                <w:sz w:val="18"/>
                <w:szCs w:val="18"/>
              </w:rPr>
            </w:pPr>
          </w:p>
        </w:tc>
        <w:tc>
          <w:tcPr>
            <w:tcW w:w="1559" w:type="dxa"/>
            <w:tcBorders>
              <w:top w:val="nil"/>
              <w:left w:val="nil"/>
              <w:bottom w:val="single" w:sz="4" w:space="0" w:color="auto"/>
              <w:right w:val="single" w:sz="4" w:space="0" w:color="auto"/>
            </w:tcBorders>
            <w:shd w:val="clear" w:color="auto" w:fill="C6EFCE"/>
            <w:noWrap/>
            <w:vAlign w:val="center"/>
          </w:tcPr>
          <w:p w14:paraId="00F4F0CD" w14:textId="02421332" w:rsidR="0023462A" w:rsidRDefault="00A550FA">
            <w:pPr>
              <w:pStyle w:val="P68B1DB1-Normal32"/>
              <w:spacing w:after="120" w:line="240" w:lineRule="auto"/>
              <w:rPr>
                <w:noProof/>
              </w:rPr>
            </w:pPr>
            <w:r>
              <w:rPr>
                <w:noProof/>
              </w:rPr>
              <w:t>C8.R13 Plan</w:t>
            </w:r>
            <w:r>
              <w:rPr>
                <w:b/>
                <w:noProof/>
              </w:rPr>
              <w:t xml:space="preserve"> </w:t>
            </w:r>
            <w:r>
              <w:rPr>
                <w:noProof/>
              </w:rPr>
              <w:t>d'action pour accroître le niveau de concurrence dans les marchés publics</w:t>
            </w:r>
          </w:p>
        </w:tc>
        <w:tc>
          <w:tcPr>
            <w:tcW w:w="709" w:type="dxa"/>
            <w:tcBorders>
              <w:top w:val="nil"/>
              <w:left w:val="nil"/>
              <w:bottom w:val="single" w:sz="4" w:space="0" w:color="auto"/>
              <w:right w:val="single" w:sz="4" w:space="0" w:color="auto"/>
            </w:tcBorders>
            <w:shd w:val="clear" w:color="auto" w:fill="C6EFCE"/>
            <w:noWrap/>
            <w:vAlign w:val="center"/>
          </w:tcPr>
          <w:p w14:paraId="4FC6A47D" w14:textId="0C536676" w:rsidR="0023462A" w:rsidRDefault="00A550FA">
            <w:pPr>
              <w:pStyle w:val="P68B1DB1-Normal32"/>
              <w:spacing w:after="120" w:line="240" w:lineRule="auto"/>
              <w:rPr>
                <w:rFonts w:eastAsiaTheme="minorHAnsi"/>
                <w:noProof/>
              </w:rPr>
            </w:pPr>
            <w:r>
              <w:rPr>
                <w:noProof/>
              </w:rPr>
              <w:t xml:space="preserve">Étape </w:t>
            </w:r>
          </w:p>
        </w:tc>
        <w:tc>
          <w:tcPr>
            <w:tcW w:w="1417" w:type="dxa"/>
            <w:tcBorders>
              <w:top w:val="nil"/>
              <w:left w:val="nil"/>
              <w:bottom w:val="single" w:sz="4" w:space="0" w:color="auto"/>
              <w:right w:val="single" w:sz="4" w:space="0" w:color="auto"/>
            </w:tcBorders>
            <w:shd w:val="clear" w:color="auto" w:fill="C6EFCE"/>
            <w:noWrap/>
            <w:vAlign w:val="center"/>
          </w:tcPr>
          <w:p w14:paraId="768E7D3A" w14:textId="77777777" w:rsidR="0023462A" w:rsidRDefault="00A550FA">
            <w:pPr>
              <w:pStyle w:val="P68B1DB1-Normal32"/>
              <w:spacing w:after="120" w:line="240" w:lineRule="auto"/>
              <w:ind w:left="52"/>
              <w:textAlignment w:val="baseline"/>
              <w:rPr>
                <w:noProof/>
              </w:rPr>
            </w:pPr>
            <w:r>
              <w:rPr>
                <w:noProof/>
              </w:rPr>
              <w:t xml:space="preserve">Adoption d'un plan d'action visant à accroître le niveau de concurrence dans les marchés publics </w:t>
            </w:r>
          </w:p>
          <w:p w14:paraId="12A13C36" w14:textId="77777777" w:rsidR="0023462A" w:rsidRDefault="0023462A">
            <w:pPr>
              <w:spacing w:after="120" w:line="240" w:lineRule="auto"/>
              <w:rPr>
                <w:rFonts w:ascii="Times New Roman" w:eastAsiaTheme="minorHAnsi" w:hAnsi="Times New Roman" w:cs="Times New Roman"/>
                <w:noProof/>
                <w:sz w:val="18"/>
                <w:szCs w:val="18"/>
              </w:rPr>
            </w:pPr>
          </w:p>
        </w:tc>
        <w:tc>
          <w:tcPr>
            <w:tcW w:w="1701" w:type="dxa"/>
            <w:tcBorders>
              <w:top w:val="nil"/>
              <w:left w:val="nil"/>
              <w:bottom w:val="single" w:sz="4" w:space="0" w:color="auto"/>
              <w:right w:val="single" w:sz="4" w:space="0" w:color="auto"/>
            </w:tcBorders>
            <w:shd w:val="clear" w:color="auto" w:fill="C6EFCE"/>
            <w:noWrap/>
            <w:vAlign w:val="center"/>
          </w:tcPr>
          <w:p w14:paraId="53671B65" w14:textId="77777777" w:rsidR="0023462A" w:rsidRDefault="00A550FA">
            <w:pPr>
              <w:pStyle w:val="P68B1DB1-Normal32"/>
              <w:spacing w:after="120" w:line="240" w:lineRule="auto"/>
              <w:ind w:left="52"/>
              <w:textAlignment w:val="baseline"/>
              <w:rPr>
                <w:noProof/>
              </w:rPr>
            </w:pPr>
            <w:r>
              <w:rPr>
                <w:noProof/>
              </w:rPr>
              <w:t>Publication du plan d'action adopté par le gouvernement</w:t>
            </w:r>
          </w:p>
          <w:p w14:paraId="4E8F98AA" w14:textId="77777777" w:rsidR="0023462A" w:rsidRDefault="0023462A">
            <w:pPr>
              <w:spacing w:after="120" w:line="240" w:lineRule="auto"/>
              <w:rPr>
                <w:rFonts w:ascii="Times New Roman" w:eastAsiaTheme="minorHAnsi" w:hAnsi="Times New Roman" w:cs="Times New Roman"/>
                <w:noProof/>
                <w:sz w:val="18"/>
                <w:szCs w:val="18"/>
              </w:rPr>
            </w:pPr>
          </w:p>
        </w:tc>
        <w:tc>
          <w:tcPr>
            <w:tcW w:w="1418" w:type="dxa"/>
            <w:tcBorders>
              <w:top w:val="nil"/>
              <w:left w:val="nil"/>
              <w:bottom w:val="single" w:sz="4" w:space="0" w:color="auto"/>
              <w:right w:val="single" w:sz="4" w:space="0" w:color="auto"/>
            </w:tcBorders>
            <w:shd w:val="clear" w:color="auto" w:fill="C6EFCE"/>
            <w:noWrap/>
            <w:vAlign w:val="center"/>
          </w:tcPr>
          <w:p w14:paraId="75E0A2AC" w14:textId="77777777" w:rsidR="0023462A" w:rsidRDefault="0023462A">
            <w:pPr>
              <w:spacing w:after="120" w:line="240" w:lineRule="auto"/>
              <w:rPr>
                <w:rFonts w:ascii="Times New Roman" w:eastAsia="Calibri" w:hAnsi="Times New Roman" w:cs="Times New Roman"/>
                <w:noProof/>
                <w:sz w:val="18"/>
                <w:szCs w:val="18"/>
              </w:rPr>
            </w:pPr>
          </w:p>
        </w:tc>
        <w:tc>
          <w:tcPr>
            <w:tcW w:w="1417" w:type="dxa"/>
            <w:tcBorders>
              <w:top w:val="nil"/>
              <w:left w:val="nil"/>
              <w:bottom w:val="single" w:sz="4" w:space="0" w:color="auto"/>
              <w:right w:val="single" w:sz="4" w:space="0" w:color="auto"/>
            </w:tcBorders>
            <w:shd w:val="clear" w:color="auto" w:fill="C6EFCE"/>
            <w:noWrap/>
            <w:vAlign w:val="center"/>
          </w:tcPr>
          <w:p w14:paraId="45CD966C" w14:textId="77777777" w:rsidR="0023462A" w:rsidRDefault="0023462A">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vAlign w:val="center"/>
          </w:tcPr>
          <w:p w14:paraId="7B108379" w14:textId="77777777" w:rsidR="0023462A" w:rsidRDefault="0023462A">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4390BBC8" w14:textId="310926F6" w:rsidR="0023462A" w:rsidRDefault="00A550FA">
            <w:pPr>
              <w:pStyle w:val="P68B1DB1-Normal32"/>
              <w:spacing w:after="120" w:line="240" w:lineRule="auto"/>
              <w:rPr>
                <w:rFonts w:eastAsiaTheme="minorHAnsi"/>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2280C731" w14:textId="75213B3D" w:rsidR="0023462A" w:rsidRDefault="00A550FA">
            <w:pPr>
              <w:pStyle w:val="P68B1DB1-Normal32"/>
              <w:spacing w:after="120" w:line="240" w:lineRule="auto"/>
              <w:rPr>
                <w:rFonts w:eastAsiaTheme="minorHAnsi"/>
                <w:noProof/>
              </w:rPr>
            </w:pPr>
            <w:r>
              <w:rPr>
                <w:noProof/>
              </w:rPr>
              <w:t>2026</w:t>
            </w:r>
          </w:p>
        </w:tc>
        <w:tc>
          <w:tcPr>
            <w:tcW w:w="3713" w:type="dxa"/>
            <w:tcBorders>
              <w:top w:val="nil"/>
              <w:left w:val="nil"/>
              <w:bottom w:val="single" w:sz="4" w:space="0" w:color="auto"/>
              <w:right w:val="single" w:sz="4" w:space="0" w:color="auto"/>
            </w:tcBorders>
            <w:shd w:val="clear" w:color="auto" w:fill="C6EFCE"/>
            <w:noWrap/>
            <w:vAlign w:val="center"/>
          </w:tcPr>
          <w:p w14:paraId="016EF5CB" w14:textId="2BAC4131" w:rsidR="0023462A" w:rsidRDefault="00A550FA">
            <w:pPr>
              <w:pStyle w:val="P68B1DB1-Normal32"/>
              <w:spacing w:after="120" w:line="240" w:lineRule="auto"/>
              <w:ind w:left="52"/>
              <w:textAlignment w:val="baseline"/>
              <w:rPr>
                <w:rFonts w:eastAsia="Times New Roman"/>
                <w:noProof/>
              </w:rPr>
            </w:pPr>
            <w:r>
              <w:rPr>
                <w:noProof/>
              </w:rPr>
              <w:t>Le gouvernement adopte, publie et réexamine chaque année un plan d'action visant à accroître le niveau de concurrence dans les marchés publics.</w:t>
            </w:r>
          </w:p>
          <w:p w14:paraId="41666CFB" w14:textId="18D82ACA" w:rsidR="0023462A" w:rsidRDefault="00A550FA">
            <w:pPr>
              <w:pStyle w:val="P68B1DB1-Normal32"/>
              <w:spacing w:after="120" w:line="240" w:lineRule="auto"/>
              <w:ind w:left="52"/>
              <w:textAlignment w:val="baseline"/>
              <w:rPr>
                <w:rFonts w:eastAsiaTheme="minorHAnsi"/>
                <w:noProof/>
              </w:rPr>
            </w:pPr>
            <w:r>
              <w:rPr>
                <w:noProof/>
              </w:rPr>
              <w:t>Le plan d'action: i) fixer les objectifs à atteindre; ii) définir des mesures pour atteindre les objectifs; iii) fixer des délais précis pour la mise en œuvre des mesures; iv) identifier le ou les organismes chargés de la mise en œuvre des mesures; v) Mettre en place un mécanisme de suivi pour évaluer les progrès accomplis.</w:t>
            </w:r>
          </w:p>
        </w:tc>
      </w:tr>
      <w:tr w:rsidR="0023462A" w14:paraId="08CC3BAC" w14:textId="77777777" w:rsidTr="009C289F">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tcPr>
          <w:p w14:paraId="50C39B43" w14:textId="2CE1F4A7" w:rsidR="0023462A" w:rsidRDefault="00A550FA">
            <w:pPr>
              <w:pStyle w:val="P68B1DB1-Normal32"/>
              <w:spacing w:after="120" w:line="240" w:lineRule="auto"/>
              <w:rPr>
                <w:rFonts w:eastAsiaTheme="minorHAnsi"/>
                <w:noProof/>
              </w:rPr>
            </w:pPr>
            <w:r>
              <w:rPr>
                <w:noProof/>
              </w:rPr>
              <w:t>71</w:t>
            </w:r>
          </w:p>
        </w:tc>
        <w:tc>
          <w:tcPr>
            <w:tcW w:w="1559" w:type="dxa"/>
            <w:tcBorders>
              <w:top w:val="nil"/>
              <w:left w:val="nil"/>
              <w:bottom w:val="single" w:sz="4" w:space="0" w:color="auto"/>
              <w:right w:val="single" w:sz="4" w:space="0" w:color="auto"/>
            </w:tcBorders>
            <w:shd w:val="clear" w:color="auto" w:fill="C6EFCE"/>
            <w:noWrap/>
          </w:tcPr>
          <w:p w14:paraId="7B283533" w14:textId="414D3F4D" w:rsidR="0023462A" w:rsidRDefault="00A550FA">
            <w:pPr>
              <w:pStyle w:val="P68B1DB1-Normal32"/>
              <w:spacing w:after="120" w:line="240" w:lineRule="auto"/>
              <w:rPr>
                <w:noProof/>
              </w:rPr>
            </w:pPr>
            <w:r>
              <w:rPr>
                <w:noProof/>
              </w:rPr>
              <w:t>C8.R14 Renforcement du rôle et des pouvoirs du Conseil national de la magistrature visant à contrebalancer les pouvoirs du président de l’Office national de la magistrature </w:t>
            </w:r>
          </w:p>
        </w:tc>
        <w:tc>
          <w:tcPr>
            <w:tcW w:w="709" w:type="dxa"/>
            <w:tcBorders>
              <w:top w:val="nil"/>
              <w:left w:val="nil"/>
              <w:bottom w:val="single" w:sz="4" w:space="0" w:color="auto"/>
              <w:right w:val="single" w:sz="4" w:space="0" w:color="auto"/>
            </w:tcBorders>
            <w:shd w:val="clear" w:color="auto" w:fill="C6EFCE"/>
            <w:noWrap/>
          </w:tcPr>
          <w:p w14:paraId="508DD9E4" w14:textId="394ECD6A" w:rsidR="0023462A" w:rsidRDefault="00A550FA">
            <w:pPr>
              <w:pStyle w:val="P68B1DB1-Normal32"/>
              <w:spacing w:after="120" w:line="240" w:lineRule="auto"/>
              <w:rPr>
                <w:rFonts w:eastAsiaTheme="minorHAnsi"/>
                <w:noProof/>
              </w:rPr>
            </w:pPr>
            <w:r>
              <w:rPr>
                <w:noProof/>
              </w:rPr>
              <w:t>Étape</w:t>
            </w:r>
          </w:p>
        </w:tc>
        <w:tc>
          <w:tcPr>
            <w:tcW w:w="1417" w:type="dxa"/>
            <w:tcBorders>
              <w:top w:val="nil"/>
              <w:left w:val="nil"/>
              <w:bottom w:val="single" w:sz="4" w:space="0" w:color="auto"/>
              <w:right w:val="single" w:sz="4" w:space="0" w:color="auto"/>
            </w:tcBorders>
            <w:shd w:val="clear" w:color="auto" w:fill="C6EFCE"/>
            <w:noWrap/>
          </w:tcPr>
          <w:p w14:paraId="6CECDD1D" w14:textId="5DC7038C" w:rsidR="0023462A" w:rsidRDefault="00A550FA">
            <w:pPr>
              <w:pStyle w:val="P68B1DB1-Normal32"/>
              <w:spacing w:after="120" w:line="240" w:lineRule="auto"/>
              <w:rPr>
                <w:rFonts w:eastAsiaTheme="minorHAnsi"/>
                <w:noProof/>
              </w:rPr>
            </w:pPr>
            <w:r>
              <w:rPr>
                <w:noProof/>
              </w:rPr>
              <w:t xml:space="preserve">Entrée en vigueur des modifications législatives visant à renforcer le rôle du Conseil national de la magistrature </w:t>
            </w:r>
          </w:p>
        </w:tc>
        <w:tc>
          <w:tcPr>
            <w:tcW w:w="1701" w:type="dxa"/>
            <w:tcBorders>
              <w:top w:val="nil"/>
              <w:left w:val="nil"/>
              <w:bottom w:val="single" w:sz="4" w:space="0" w:color="auto"/>
              <w:right w:val="single" w:sz="4" w:space="0" w:color="auto"/>
            </w:tcBorders>
            <w:shd w:val="clear" w:color="auto" w:fill="C6EFCE"/>
            <w:noWrap/>
          </w:tcPr>
          <w:p w14:paraId="55EB80D8" w14:textId="584B61C3" w:rsidR="0023462A" w:rsidRDefault="00A550FA">
            <w:pPr>
              <w:pStyle w:val="P68B1DB1-Normal32"/>
              <w:spacing w:after="120" w:line="240" w:lineRule="auto"/>
              <w:rPr>
                <w:rFonts w:eastAsiaTheme="minorHAnsi"/>
                <w:noProof/>
              </w:rPr>
            </w:pPr>
            <w:r>
              <w:rPr>
                <w:noProof/>
              </w:rPr>
              <w:t>Disposition des modifications législatives indiquant leur entrée en vigueur</w:t>
            </w:r>
          </w:p>
        </w:tc>
        <w:tc>
          <w:tcPr>
            <w:tcW w:w="1418" w:type="dxa"/>
            <w:tcBorders>
              <w:top w:val="nil"/>
              <w:left w:val="nil"/>
              <w:bottom w:val="single" w:sz="4" w:space="0" w:color="auto"/>
              <w:right w:val="single" w:sz="4" w:space="0" w:color="auto"/>
            </w:tcBorders>
            <w:shd w:val="clear" w:color="auto" w:fill="C6EFCE"/>
            <w:noWrap/>
          </w:tcPr>
          <w:p w14:paraId="46BABA1B" w14:textId="77777777" w:rsidR="0023462A" w:rsidRDefault="0023462A">
            <w:pPr>
              <w:spacing w:after="120" w:line="240" w:lineRule="auto"/>
              <w:rPr>
                <w:rFonts w:ascii="Times New Roman" w:eastAsia="Calibri" w:hAnsi="Times New Roman" w:cs="Times New Roman"/>
                <w:noProof/>
                <w:sz w:val="18"/>
                <w:szCs w:val="18"/>
              </w:rPr>
            </w:pPr>
          </w:p>
        </w:tc>
        <w:tc>
          <w:tcPr>
            <w:tcW w:w="1417" w:type="dxa"/>
            <w:tcBorders>
              <w:top w:val="nil"/>
              <w:left w:val="nil"/>
              <w:bottom w:val="single" w:sz="4" w:space="0" w:color="auto"/>
              <w:right w:val="single" w:sz="4" w:space="0" w:color="auto"/>
            </w:tcBorders>
            <w:shd w:val="clear" w:color="auto" w:fill="C6EFCE"/>
            <w:noWrap/>
          </w:tcPr>
          <w:p w14:paraId="04827D45" w14:textId="77777777" w:rsidR="0023462A" w:rsidRDefault="0023462A">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tcPr>
          <w:p w14:paraId="1D0C8348" w14:textId="77777777" w:rsidR="0023462A" w:rsidRDefault="0023462A">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tcPr>
          <w:p w14:paraId="04151203" w14:textId="2CA49AF8" w:rsidR="0023462A" w:rsidRDefault="00A550FA">
            <w:pPr>
              <w:pStyle w:val="P68B1DB1-Normal32"/>
              <w:spacing w:after="120" w:line="240" w:lineRule="auto"/>
              <w:rPr>
                <w:rFonts w:eastAsiaTheme="minorHAnsi"/>
                <w:noProof/>
              </w:rPr>
            </w:pPr>
            <w:r>
              <w:rPr>
                <w:noProof/>
              </w:rPr>
              <w:t>T2</w:t>
            </w:r>
          </w:p>
        </w:tc>
        <w:tc>
          <w:tcPr>
            <w:tcW w:w="708" w:type="dxa"/>
            <w:tcBorders>
              <w:top w:val="nil"/>
              <w:left w:val="nil"/>
              <w:bottom w:val="single" w:sz="4" w:space="0" w:color="auto"/>
              <w:right w:val="single" w:sz="4" w:space="0" w:color="auto"/>
            </w:tcBorders>
            <w:shd w:val="clear" w:color="auto" w:fill="C6EFCE"/>
            <w:noWrap/>
          </w:tcPr>
          <w:p w14:paraId="3760C10D" w14:textId="5D4496F7" w:rsidR="0023462A" w:rsidRDefault="00A550FA">
            <w:pPr>
              <w:pStyle w:val="P68B1DB1-Normal32"/>
              <w:spacing w:after="120" w:line="240" w:lineRule="auto"/>
              <w:rPr>
                <w:rFonts w:eastAsiaTheme="minorHAnsi"/>
                <w:noProof/>
              </w:rPr>
            </w:pPr>
            <w:r>
              <w:rPr>
                <w:noProof/>
              </w:rPr>
              <w:t>2026</w:t>
            </w:r>
          </w:p>
        </w:tc>
        <w:tc>
          <w:tcPr>
            <w:tcW w:w="3713" w:type="dxa"/>
            <w:tcBorders>
              <w:top w:val="nil"/>
              <w:left w:val="nil"/>
              <w:bottom w:val="single" w:sz="4" w:space="0" w:color="auto"/>
              <w:right w:val="single" w:sz="4" w:space="0" w:color="auto"/>
            </w:tcBorders>
            <w:shd w:val="clear" w:color="auto" w:fill="C6EFCE"/>
            <w:noWrap/>
          </w:tcPr>
          <w:p w14:paraId="17E0C806" w14:textId="77777777" w:rsidR="0023462A" w:rsidRDefault="00A550FA">
            <w:pPr>
              <w:pStyle w:val="P68B1DB1-Normal32"/>
              <w:spacing w:after="120" w:line="240" w:lineRule="auto"/>
              <w:ind w:left="52"/>
              <w:textAlignment w:val="baseline"/>
              <w:rPr>
                <w:noProof/>
              </w:rPr>
            </w:pPr>
            <w:r>
              <w:rPr>
                <w:noProof/>
              </w:rPr>
              <w:t xml:space="preserve">Les modifications législatives visant à renforcer le rôle du Conseil national de la magistrature (CNM) </w:t>
            </w:r>
          </w:p>
          <w:p w14:paraId="622A9696" w14:textId="076F473A" w:rsidR="0023462A" w:rsidRDefault="00A550FA">
            <w:pPr>
              <w:pStyle w:val="paragraph"/>
              <w:numPr>
                <w:ilvl w:val="0"/>
                <w:numId w:val="20"/>
              </w:numPr>
              <w:spacing w:before="0" w:beforeAutospacing="0" w:after="120" w:afterAutospacing="0"/>
              <w:ind w:left="777" w:hanging="720"/>
              <w:rPr>
                <w:rStyle w:val="normaltextrun"/>
                <w:rFonts w:ascii="Times New Roman" w:hAnsi="Times New Roman" w:cs="Times New Roman"/>
                <w:noProof/>
                <w:sz w:val="18"/>
                <w:szCs w:val="18"/>
              </w:rPr>
            </w:pPr>
            <w:r>
              <w:rPr>
                <w:rStyle w:val="normaltextrun"/>
                <w:rFonts w:ascii="Times New Roman" w:hAnsi="Times New Roman" w:cs="Times New Roman"/>
                <w:noProof/>
                <w:sz w:val="18"/>
                <w:szCs w:val="18"/>
              </w:rPr>
              <w:t xml:space="preserve">de renforcer les pouvoirs du CNM en adoptant les dispositions suivantes: </w:t>
            </w:r>
          </w:p>
          <w:p w14:paraId="16DFD867" w14:textId="251097CE" w:rsidR="0023462A" w:rsidRDefault="00A550FA">
            <w:pPr>
              <w:pStyle w:val="paragraph"/>
              <w:spacing w:before="0" w:beforeAutospacing="0" w:after="120" w:afterAutospacing="0"/>
              <w:ind w:left="360"/>
              <w:textAlignment w:val="baseline"/>
              <w:rPr>
                <w:rFonts w:ascii="Times New Roman" w:hAnsi="Times New Roman" w:cs="Times New Roman"/>
                <w:noProof/>
                <w:sz w:val="18"/>
                <w:szCs w:val="18"/>
              </w:rPr>
            </w:pPr>
            <w:r>
              <w:rPr>
                <w:rStyle w:val="normaltextrun"/>
                <w:rFonts w:ascii="Times New Roman" w:hAnsi="Times New Roman" w:cs="Times New Roman"/>
                <w:noProof/>
                <w:sz w:val="18"/>
                <w:szCs w:val="18"/>
              </w:rPr>
              <w:t xml:space="preserve">En ce qui concerne les décisions individuelles, les modifications législatives prévoient la fourniture d’un avis contraignant motivé par le CNM sur les questions suivantes: </w:t>
            </w:r>
          </w:p>
          <w:p w14:paraId="247DAE14" w14:textId="77777777" w:rsidR="0023462A" w:rsidRDefault="00A550FA">
            <w:pPr>
              <w:pStyle w:val="paragraph"/>
              <w:numPr>
                <w:ilvl w:val="0"/>
                <w:numId w:val="21"/>
              </w:numPr>
              <w:spacing w:before="0" w:beforeAutospacing="0" w:after="120" w:afterAutospacing="0"/>
              <w:textAlignment w:val="baseline"/>
              <w:rPr>
                <w:rFonts w:ascii="Times New Roman" w:hAnsi="Times New Roman" w:cs="Times New Roman"/>
                <w:noProof/>
                <w:sz w:val="18"/>
                <w:szCs w:val="18"/>
              </w:rPr>
            </w:pPr>
            <w:r>
              <w:rPr>
                <w:rStyle w:val="normaltextrun"/>
                <w:rFonts w:ascii="Times New Roman" w:hAnsi="Times New Roman" w:cs="Times New Roman"/>
                <w:noProof/>
                <w:sz w:val="18"/>
                <w:szCs w:val="18"/>
              </w:rPr>
              <w:t xml:space="preserve">l’annulation, par le président de l’Office national de la magistrature (ONJ), des procédures de nomination aux postes d’exécutif judiciaire et judiciaire lorsqu’il y a au moins un candidat éligible soutenu par les juges de la juridiction concernée; </w:t>
            </w:r>
          </w:p>
          <w:p w14:paraId="048BF3C3" w14:textId="77777777" w:rsidR="0023462A" w:rsidRDefault="00A550FA">
            <w:pPr>
              <w:pStyle w:val="paragraph"/>
              <w:numPr>
                <w:ilvl w:val="0"/>
                <w:numId w:val="21"/>
              </w:numPr>
              <w:spacing w:before="0" w:beforeAutospacing="0" w:after="120" w:afterAutospacing="0"/>
              <w:textAlignment w:val="baseline"/>
              <w:rPr>
                <w:rFonts w:ascii="Times New Roman" w:hAnsi="Times New Roman" w:cs="Times New Roman"/>
                <w:noProof/>
                <w:sz w:val="18"/>
                <w:szCs w:val="18"/>
              </w:rPr>
            </w:pPr>
            <w:r>
              <w:rPr>
                <w:rStyle w:val="normaltextrun"/>
                <w:rFonts w:ascii="Times New Roman" w:hAnsi="Times New Roman" w:cs="Times New Roman"/>
                <w:noProof/>
                <w:sz w:val="18"/>
                <w:szCs w:val="18"/>
              </w:rPr>
              <w:t xml:space="preserve">le transfert de juges, y compris les détachements, vers une autre juridiction par le président de la NOJ visé aux articles 27, 27/A, 31 et 32 de la loi CLXII de 2011, à l’exception des détachements auprès de la NOJ; </w:t>
            </w:r>
          </w:p>
          <w:p w14:paraId="08131FB0" w14:textId="77777777" w:rsidR="0023462A" w:rsidRDefault="00A550FA">
            <w:pPr>
              <w:pStyle w:val="paragraph"/>
              <w:numPr>
                <w:ilvl w:val="0"/>
                <w:numId w:val="21"/>
              </w:numPr>
              <w:spacing w:before="0" w:beforeAutospacing="0" w:after="120" w:afterAutospacing="0"/>
              <w:textAlignment w:val="baseline"/>
              <w:rPr>
                <w:rFonts w:ascii="Times New Roman" w:hAnsi="Times New Roman" w:cs="Times New Roman"/>
                <w:noProof/>
                <w:sz w:val="18"/>
                <w:szCs w:val="18"/>
              </w:rPr>
            </w:pPr>
            <w:r>
              <w:rPr>
                <w:rStyle w:val="normaltextrun"/>
                <w:rFonts w:ascii="Times New Roman" w:hAnsi="Times New Roman" w:cs="Times New Roman"/>
                <w:noProof/>
                <w:sz w:val="18"/>
                <w:szCs w:val="18"/>
              </w:rPr>
              <w:t xml:space="preserve">la destitution, par le président de la NOJ, des juges sans leur consentement du groupe de juges qui examinent des affaires spéciales, y compris des affaires administratives; </w:t>
            </w:r>
          </w:p>
          <w:p w14:paraId="5C29451E" w14:textId="5B3E2AC4" w:rsidR="0023462A" w:rsidRDefault="00A550FA">
            <w:pPr>
              <w:pStyle w:val="paragraph"/>
              <w:numPr>
                <w:ilvl w:val="0"/>
                <w:numId w:val="21"/>
              </w:numPr>
              <w:spacing w:before="0" w:beforeAutospacing="0" w:after="120" w:afterAutospacing="0"/>
              <w:textAlignment w:val="baseline"/>
              <w:rPr>
                <w:rFonts w:ascii="Times New Roman" w:hAnsi="Times New Roman" w:cs="Times New Roman"/>
                <w:noProof/>
                <w:sz w:val="18"/>
                <w:szCs w:val="18"/>
              </w:rPr>
            </w:pPr>
            <w:r>
              <w:rPr>
                <w:rStyle w:val="normaltextrun"/>
                <w:rFonts w:ascii="Times New Roman" w:hAnsi="Times New Roman" w:cs="Times New Roman"/>
                <w:noProof/>
                <w:sz w:val="18"/>
                <w:szCs w:val="18"/>
              </w:rPr>
              <w:t>l’adéquation des candidats aux postes de président et de vice-président de la NOJ, qui peuvent être proposés respectivement par le président de la République ou le président de la NOJ; les critères d’aptitude, y compris l’indépendance, l’impartialité, la probité et l’intégrité, sont déterminés par la loi. Les modifications législatives garantiront que les candidats jugés inadaptés par le CNM auront accès à un contrôle juridictionnel accéléré devant le tribunal compétent.</w:t>
            </w:r>
          </w:p>
          <w:p w14:paraId="364D6F0F" w14:textId="77777777" w:rsidR="0023462A" w:rsidRDefault="00A550FA">
            <w:pPr>
              <w:pStyle w:val="P68B1DB1-paragraph65"/>
              <w:spacing w:before="0" w:beforeAutospacing="0" w:after="120" w:afterAutospacing="0"/>
              <w:ind w:left="360"/>
              <w:textAlignment w:val="baseline"/>
              <w:rPr>
                <w:noProof/>
              </w:rPr>
            </w:pPr>
            <w:r>
              <w:rPr>
                <w:noProof/>
              </w:rPr>
              <w:t>En ce qui concerne les règlements, les modifications législatives garantissent que le CNM émet un avis contraignant motivé sur les questions suivantes:</w:t>
            </w:r>
          </w:p>
          <w:p w14:paraId="53AA6026" w14:textId="77777777" w:rsidR="0023462A" w:rsidRDefault="00A550FA">
            <w:pPr>
              <w:pStyle w:val="P68B1DB1-paragraph65"/>
              <w:numPr>
                <w:ilvl w:val="0"/>
                <w:numId w:val="27"/>
              </w:numPr>
              <w:spacing w:before="0" w:beforeAutospacing="0" w:after="120" w:afterAutospacing="0"/>
              <w:textAlignment w:val="baseline"/>
              <w:rPr>
                <w:noProof/>
              </w:rPr>
            </w:pPr>
            <w:r>
              <w:rPr>
                <w:noProof/>
              </w:rPr>
              <w:t xml:space="preserve">le système de points pour l’évaluation des candidatures à des postes judiciaires dans le cadre législatif; </w:t>
            </w:r>
          </w:p>
          <w:p w14:paraId="4A377981" w14:textId="77777777" w:rsidR="0023462A" w:rsidRDefault="00A550FA">
            <w:pPr>
              <w:pStyle w:val="P68B1DB1-paragraph65"/>
              <w:numPr>
                <w:ilvl w:val="0"/>
                <w:numId w:val="27"/>
              </w:numPr>
              <w:spacing w:before="0" w:beforeAutospacing="0" w:after="120" w:afterAutospacing="0"/>
              <w:textAlignment w:val="baseline"/>
              <w:rPr>
                <w:noProof/>
              </w:rPr>
            </w:pPr>
            <w:r>
              <w:rPr>
                <w:noProof/>
              </w:rPr>
              <w:t xml:space="preserve">les conditions détaillées d'octroi des primes et autres avantages aux juges et aux cadres des tribunaux; </w:t>
            </w:r>
          </w:p>
          <w:p w14:paraId="4D3D32B0" w14:textId="77777777" w:rsidR="0023462A" w:rsidRDefault="00A550FA">
            <w:pPr>
              <w:pStyle w:val="P68B1DB1-paragraph65"/>
              <w:numPr>
                <w:ilvl w:val="0"/>
                <w:numId w:val="27"/>
              </w:numPr>
              <w:spacing w:before="0" w:beforeAutospacing="0" w:after="120" w:afterAutospacing="0"/>
              <w:textAlignment w:val="baseline"/>
              <w:rPr>
                <w:noProof/>
              </w:rPr>
            </w:pPr>
            <w:r>
              <w:rPr>
                <w:noProof/>
              </w:rPr>
              <w:t xml:space="preserve">les règles relatives au système de formation des juges; </w:t>
            </w:r>
          </w:p>
          <w:p w14:paraId="3FCE6833" w14:textId="77777777" w:rsidR="0023462A" w:rsidRDefault="00A550FA">
            <w:pPr>
              <w:pStyle w:val="P68B1DB1-paragraph65"/>
              <w:numPr>
                <w:ilvl w:val="0"/>
                <w:numId w:val="27"/>
              </w:numPr>
              <w:spacing w:before="0" w:beforeAutospacing="0" w:after="120" w:afterAutospacing="0"/>
              <w:textAlignment w:val="baseline"/>
              <w:rPr>
                <w:noProof/>
              </w:rPr>
            </w:pPr>
            <w:r>
              <w:rPr>
                <w:noProof/>
              </w:rPr>
              <w:t xml:space="preserve">la fiche technique et les méthodes d’évaluation de la charge de travail des juges, ainsi que la détermination de la «charge de travail nationale pour les procédures contentieuses et non contentieuses ventilée en fonction du niveau judiciaire et des types d’affaires», </w:t>
            </w:r>
          </w:p>
          <w:p w14:paraId="0D3E36AC" w14:textId="238A1501" w:rsidR="0023462A" w:rsidRDefault="00A550FA">
            <w:pPr>
              <w:pStyle w:val="P68B1DB1-paragraph65"/>
              <w:numPr>
                <w:ilvl w:val="0"/>
                <w:numId w:val="27"/>
              </w:numPr>
              <w:spacing w:before="0" w:beforeAutospacing="0" w:after="120" w:afterAutospacing="0"/>
              <w:textAlignment w:val="baseline"/>
              <w:rPr>
                <w:noProof/>
              </w:rPr>
            </w:pPr>
            <w:r>
              <w:rPr>
                <w:noProof/>
              </w:rPr>
              <w:t xml:space="preserve">le nombre de postes judiciaires dans chaque juridiction dans le cadre fixé dans le budget annuel, y compris la Kúria, et leurs services; </w:t>
            </w:r>
          </w:p>
          <w:p w14:paraId="4D6A77EF" w14:textId="797B4EC7" w:rsidR="0023462A" w:rsidRDefault="00A550FA">
            <w:pPr>
              <w:pStyle w:val="P68B1DB1-ListParagraph43"/>
              <w:numPr>
                <w:ilvl w:val="0"/>
                <w:numId w:val="20"/>
              </w:numPr>
              <w:spacing w:after="120" w:line="240" w:lineRule="auto"/>
              <w:contextualSpacing w:val="0"/>
              <w:rPr>
                <w:rFonts w:eastAsia="Times New Roman"/>
                <w:noProof/>
              </w:rPr>
            </w:pPr>
            <w:r>
              <w:rPr>
                <w:noProof/>
              </w:rPr>
              <w:t>établir le droit du CNM d'avoir accès à tous les documents, informations et données liés à l'administration des tribunaux. En outre, les modifications législatives prévoient que le CNM détermine la structure du rapport semestriel du président du CNM;</w:t>
            </w:r>
          </w:p>
          <w:p w14:paraId="6037BFCA" w14:textId="1F32988E" w:rsidR="0023462A" w:rsidRDefault="00A550FA">
            <w:pPr>
              <w:pStyle w:val="P68B1DB1-ListParagraph43"/>
              <w:numPr>
                <w:ilvl w:val="0"/>
                <w:numId w:val="20"/>
              </w:numPr>
              <w:spacing w:after="120" w:line="240" w:lineRule="auto"/>
              <w:contextualSpacing w:val="0"/>
              <w:rPr>
                <w:rFonts w:eastAsia="Times New Roman"/>
                <w:noProof/>
              </w:rPr>
            </w:pPr>
            <w:r>
              <w:rPr>
                <w:noProof/>
              </w:rPr>
              <w:t>dotent le CNM de la capacité juridique et de l'autonomie dans le décaissement de son budget et déclarent que le président du CNM en sa qualité concernant le budget des tribunaux élabore une proposition de budget des tribunaux et un rapport sur son exécution, tels que définis, entre autres, par le CNM en ce qui concerne le CNM, que le gouvernement soumet au Parlement sans amendement. Les modifications législatives prévoient également que, pour s’acquitter de leurs tâches au sein du CNM, les juges-membres ont le droit d’être relevés de leurs fonctions juridictionnelles dans la mesure où les présidents des tribunaux régionaux (törvényszék) sont relevés de leurs fonctions juridictionnelles. Les modifications législatives prévoient que les juges-membres du CNM ne peuvent être réélus que pour le prochain mandat, que les juges-membres du CNM élisent parmi eux le président du CNM, et que les présidents et vice-présidents des tribunaux en tant que membres du CNM ne participent pas aux délibérations et aux votes sur les questions relatives à leurs activités administratives;</w:t>
            </w:r>
          </w:p>
          <w:p w14:paraId="199F62A7" w14:textId="79F462C4" w:rsidR="0023462A" w:rsidRDefault="00A550FA">
            <w:pPr>
              <w:pStyle w:val="P68B1DB1-ListParagraph43"/>
              <w:numPr>
                <w:ilvl w:val="0"/>
                <w:numId w:val="20"/>
              </w:numPr>
              <w:spacing w:after="120" w:line="240" w:lineRule="auto"/>
              <w:contextualSpacing w:val="0"/>
              <w:rPr>
                <w:rFonts w:eastAsia="Times New Roman"/>
                <w:noProof/>
              </w:rPr>
            </w:pPr>
            <w:r>
              <w:rPr>
                <w:noProof/>
              </w:rPr>
              <w:t>établir le droit du CNM de saisir la juridiction compétente et la Cour constitutionnelle pour défendre ses prérogatives et faire respecter ses droits;</w:t>
            </w:r>
          </w:p>
          <w:p w14:paraId="78FD9FD1" w14:textId="56CBD4C3" w:rsidR="0023462A" w:rsidRDefault="00A550FA">
            <w:pPr>
              <w:pStyle w:val="P68B1DB1-ListParagraph43"/>
              <w:numPr>
                <w:ilvl w:val="0"/>
                <w:numId w:val="20"/>
              </w:numPr>
              <w:spacing w:after="120" w:line="240" w:lineRule="auto"/>
              <w:contextualSpacing w:val="0"/>
              <w:rPr>
                <w:noProof/>
              </w:rPr>
            </w:pPr>
            <w:r>
              <w:rPr>
                <w:noProof/>
              </w:rPr>
              <w:t>établir l'obligation de consulter le CNM sur les propositions législatives ayant une incidence sur le système judiciaire et le droit de proposer au gouvernement d'adopter une nouvelle législation sur les mêmes questions;</w:t>
            </w:r>
          </w:p>
          <w:p w14:paraId="658D2948" w14:textId="77777777" w:rsidR="0023462A" w:rsidRDefault="00A550FA">
            <w:pPr>
              <w:pStyle w:val="P68B1DB1-ListParagraph43"/>
              <w:numPr>
                <w:ilvl w:val="0"/>
                <w:numId w:val="20"/>
              </w:numPr>
              <w:spacing w:after="120" w:line="240" w:lineRule="auto"/>
              <w:contextualSpacing w:val="0"/>
              <w:rPr>
                <w:noProof/>
              </w:rPr>
            </w:pPr>
            <w:r>
              <w:rPr>
                <w:noProof/>
              </w:rPr>
              <w:t>établir des règles non discrétionnaires sur la désignation des présidents de juridiction par intérim au moyen d’un ordre préétabli de postes au sein d’une juridiction, comme suit: i) en l’absence d’un président de juridiction, les compétences du président sont exercées par le vice-président; ii) en l’absence de vice-président, les compétences du président sont exercées par le chef d’un département de juges ayant la plus longue durée de mandat en tant que juge; iii) en l’absence d’un chef de département, les compétences du président sont exercées par le juge président ayant le plus long mandat en tant que juge;</w:t>
            </w:r>
          </w:p>
          <w:p w14:paraId="15DADFE6" w14:textId="37983745" w:rsidR="0023462A" w:rsidRDefault="00A550FA">
            <w:pPr>
              <w:pStyle w:val="P68B1DB1-ListParagraph43"/>
              <w:numPr>
                <w:ilvl w:val="0"/>
                <w:numId w:val="20"/>
              </w:numPr>
              <w:spacing w:after="120" w:line="240" w:lineRule="auto"/>
              <w:contextualSpacing w:val="0"/>
              <w:rPr>
                <w:noProof/>
              </w:rPr>
            </w:pPr>
            <w:r>
              <w:rPr>
                <w:noProof/>
              </w:rPr>
              <w:t>interdire la réintégration, par le président de la NOJ, des juges, à la suite de leur détachement, dans une instance judiciaire supérieure à celle devant laquelle ils se sont prononcés avant leur détachement.</w:t>
            </w:r>
          </w:p>
        </w:tc>
      </w:tr>
      <w:tr w:rsidR="0023462A" w14:paraId="0AFEA100" w14:textId="77777777" w:rsidTr="009C289F">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tcPr>
          <w:p w14:paraId="465DCC39" w14:textId="0FD7439F" w:rsidR="0023462A" w:rsidRDefault="00A550FA">
            <w:pPr>
              <w:pStyle w:val="P68B1DB1-Normal32"/>
              <w:spacing w:after="120" w:line="240" w:lineRule="auto"/>
              <w:rPr>
                <w:rFonts w:eastAsiaTheme="minorHAnsi"/>
                <w:noProof/>
              </w:rPr>
            </w:pPr>
            <w:r>
              <w:rPr>
                <w:noProof/>
              </w:rPr>
              <w:t>72</w:t>
            </w:r>
          </w:p>
        </w:tc>
        <w:tc>
          <w:tcPr>
            <w:tcW w:w="1559" w:type="dxa"/>
            <w:tcBorders>
              <w:top w:val="nil"/>
              <w:left w:val="nil"/>
              <w:bottom w:val="single" w:sz="4" w:space="0" w:color="auto"/>
              <w:right w:val="single" w:sz="4" w:space="0" w:color="auto"/>
            </w:tcBorders>
            <w:shd w:val="clear" w:color="auto" w:fill="C6EFCE"/>
            <w:noWrap/>
          </w:tcPr>
          <w:p w14:paraId="1770898A" w14:textId="4870378B" w:rsidR="0023462A" w:rsidRDefault="00A550FA">
            <w:pPr>
              <w:pStyle w:val="P68B1DB1-Normal32"/>
              <w:spacing w:after="120" w:line="240" w:lineRule="auto"/>
              <w:rPr>
                <w:noProof/>
              </w:rPr>
            </w:pPr>
            <w:r>
              <w:rPr>
                <w:noProof/>
              </w:rPr>
              <w:t>C8.R15 Indépendance judiciaire de la Cour suprême (Kúria)</w:t>
            </w:r>
          </w:p>
        </w:tc>
        <w:tc>
          <w:tcPr>
            <w:tcW w:w="709" w:type="dxa"/>
            <w:tcBorders>
              <w:top w:val="nil"/>
              <w:left w:val="nil"/>
              <w:bottom w:val="single" w:sz="4" w:space="0" w:color="auto"/>
              <w:right w:val="single" w:sz="4" w:space="0" w:color="auto"/>
            </w:tcBorders>
            <w:shd w:val="clear" w:color="auto" w:fill="C6EFCE"/>
            <w:noWrap/>
          </w:tcPr>
          <w:p w14:paraId="53593D03" w14:textId="33B0EBD3" w:rsidR="0023462A" w:rsidRDefault="00A550FA">
            <w:pPr>
              <w:pStyle w:val="P68B1DB1-Normal32"/>
              <w:spacing w:after="120" w:line="240" w:lineRule="auto"/>
              <w:rPr>
                <w:rFonts w:eastAsiaTheme="minorHAnsi"/>
                <w:noProof/>
              </w:rPr>
            </w:pPr>
            <w:r>
              <w:rPr>
                <w:noProof/>
              </w:rPr>
              <w:t>Étape</w:t>
            </w:r>
          </w:p>
        </w:tc>
        <w:tc>
          <w:tcPr>
            <w:tcW w:w="1417" w:type="dxa"/>
            <w:tcBorders>
              <w:top w:val="nil"/>
              <w:left w:val="nil"/>
              <w:bottom w:val="single" w:sz="4" w:space="0" w:color="auto"/>
              <w:right w:val="single" w:sz="4" w:space="0" w:color="auto"/>
            </w:tcBorders>
            <w:shd w:val="clear" w:color="auto" w:fill="C6EFCE"/>
            <w:noWrap/>
          </w:tcPr>
          <w:p w14:paraId="218679AD" w14:textId="6CBEE289" w:rsidR="0023462A" w:rsidRDefault="00A550FA">
            <w:pPr>
              <w:pStyle w:val="P68B1DB1-Normal32"/>
              <w:spacing w:after="120" w:line="240" w:lineRule="auto"/>
              <w:rPr>
                <w:noProof/>
              </w:rPr>
            </w:pPr>
            <w:r>
              <w:rPr>
                <w:noProof/>
              </w:rPr>
              <w:t>Entrée en vigueur des amendements sur l'indépendance judiciaire de la Cour suprême</w:t>
            </w:r>
          </w:p>
        </w:tc>
        <w:tc>
          <w:tcPr>
            <w:tcW w:w="1701" w:type="dxa"/>
            <w:tcBorders>
              <w:top w:val="nil"/>
              <w:left w:val="nil"/>
              <w:bottom w:val="single" w:sz="4" w:space="0" w:color="auto"/>
              <w:right w:val="single" w:sz="4" w:space="0" w:color="auto"/>
            </w:tcBorders>
            <w:shd w:val="clear" w:color="auto" w:fill="C6EFCE"/>
            <w:noWrap/>
          </w:tcPr>
          <w:p w14:paraId="3EF6B6AB" w14:textId="40D00B3F" w:rsidR="0023462A" w:rsidRDefault="00A550FA">
            <w:pPr>
              <w:pStyle w:val="P68B1DB1-Normal32"/>
              <w:spacing w:after="120" w:line="240" w:lineRule="auto"/>
              <w:rPr>
                <w:rFonts w:eastAsiaTheme="minorHAnsi"/>
                <w:noProof/>
              </w:rPr>
            </w:pPr>
            <w:r>
              <w:rPr>
                <w:noProof/>
              </w:rPr>
              <w:t>Disposition des modifications législatives indiquant leur entrée en vigueur</w:t>
            </w:r>
          </w:p>
        </w:tc>
        <w:tc>
          <w:tcPr>
            <w:tcW w:w="1418" w:type="dxa"/>
            <w:tcBorders>
              <w:top w:val="nil"/>
              <w:left w:val="nil"/>
              <w:bottom w:val="single" w:sz="4" w:space="0" w:color="auto"/>
              <w:right w:val="single" w:sz="4" w:space="0" w:color="auto"/>
            </w:tcBorders>
            <w:shd w:val="clear" w:color="auto" w:fill="C6EFCE"/>
            <w:noWrap/>
          </w:tcPr>
          <w:p w14:paraId="19CA8947" w14:textId="77777777" w:rsidR="0023462A" w:rsidRDefault="0023462A">
            <w:pPr>
              <w:spacing w:after="120" w:line="240" w:lineRule="auto"/>
              <w:rPr>
                <w:rFonts w:ascii="Times New Roman" w:eastAsia="Calibri" w:hAnsi="Times New Roman" w:cs="Times New Roman"/>
                <w:noProof/>
                <w:sz w:val="18"/>
                <w:szCs w:val="18"/>
              </w:rPr>
            </w:pPr>
          </w:p>
        </w:tc>
        <w:tc>
          <w:tcPr>
            <w:tcW w:w="1417" w:type="dxa"/>
            <w:tcBorders>
              <w:top w:val="nil"/>
              <w:left w:val="nil"/>
              <w:bottom w:val="single" w:sz="4" w:space="0" w:color="auto"/>
              <w:right w:val="single" w:sz="4" w:space="0" w:color="auto"/>
            </w:tcBorders>
            <w:shd w:val="clear" w:color="auto" w:fill="C6EFCE"/>
            <w:noWrap/>
          </w:tcPr>
          <w:p w14:paraId="0A012364" w14:textId="77777777" w:rsidR="0023462A" w:rsidRDefault="0023462A">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tcPr>
          <w:p w14:paraId="68B76873" w14:textId="77777777" w:rsidR="0023462A" w:rsidRDefault="0023462A">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tcPr>
          <w:p w14:paraId="5F2EFBA9" w14:textId="6B933F9E" w:rsidR="0023462A" w:rsidRDefault="00A550FA">
            <w:pPr>
              <w:pStyle w:val="P68B1DB1-Normal32"/>
              <w:spacing w:after="120" w:line="240" w:lineRule="auto"/>
              <w:rPr>
                <w:rFonts w:eastAsiaTheme="minorHAnsi"/>
                <w:noProof/>
              </w:rPr>
            </w:pPr>
            <w:r>
              <w:rPr>
                <w:noProof/>
              </w:rPr>
              <w:t>T2</w:t>
            </w:r>
          </w:p>
        </w:tc>
        <w:tc>
          <w:tcPr>
            <w:tcW w:w="708" w:type="dxa"/>
            <w:tcBorders>
              <w:top w:val="nil"/>
              <w:left w:val="nil"/>
              <w:bottom w:val="single" w:sz="4" w:space="0" w:color="auto"/>
              <w:right w:val="single" w:sz="4" w:space="0" w:color="auto"/>
            </w:tcBorders>
            <w:shd w:val="clear" w:color="auto" w:fill="C6EFCE"/>
            <w:noWrap/>
          </w:tcPr>
          <w:p w14:paraId="28797436" w14:textId="15E27A18" w:rsidR="0023462A" w:rsidRDefault="00A550FA">
            <w:pPr>
              <w:pStyle w:val="P68B1DB1-Normal32"/>
              <w:spacing w:after="120" w:line="240" w:lineRule="auto"/>
              <w:rPr>
                <w:rFonts w:eastAsiaTheme="minorHAnsi"/>
                <w:noProof/>
              </w:rPr>
            </w:pPr>
            <w:r>
              <w:rPr>
                <w:noProof/>
              </w:rPr>
              <w:t>2026</w:t>
            </w:r>
          </w:p>
        </w:tc>
        <w:tc>
          <w:tcPr>
            <w:tcW w:w="3713" w:type="dxa"/>
            <w:tcBorders>
              <w:top w:val="nil"/>
              <w:left w:val="nil"/>
              <w:bottom w:val="single" w:sz="4" w:space="0" w:color="auto"/>
              <w:right w:val="single" w:sz="4" w:space="0" w:color="auto"/>
            </w:tcBorders>
            <w:shd w:val="clear" w:color="auto" w:fill="C6EFCE"/>
            <w:noWrap/>
          </w:tcPr>
          <w:p w14:paraId="19346EC4" w14:textId="776D4173" w:rsidR="0023462A" w:rsidRDefault="00A550FA">
            <w:pPr>
              <w:pStyle w:val="P68B1DB1-ListParagraph43"/>
              <w:numPr>
                <w:ilvl w:val="0"/>
                <w:numId w:val="22"/>
              </w:numPr>
              <w:spacing w:after="120" w:line="240" w:lineRule="auto"/>
              <w:contextualSpacing w:val="0"/>
              <w:rPr>
                <w:rFonts w:eastAsia="Times New Roman"/>
                <w:noProof/>
              </w:rPr>
            </w:pPr>
            <w:r>
              <w:rPr>
                <w:noProof/>
              </w:rPr>
              <w:t>Les amendements législatifs entreront en vigueur et modifieront les règles relatives à l’élection du président de la Kúria afin de prévoir ce qui suit: i) les candidats ont au moins cinq ans d’expérience en tant que juge; ii) le président de la Kúria ne peut être réélu; iii) le CNM émet un avis contraignant motivé sur l’adéquation des candidats au poste de président de la Kúria qui peut être proposé par le président de la République. Les critères d'aptitude, y compris l'indépendance, l'impartialité, la probité et l'intégrité, sont déterminés par la loi. Les modifications législatives prévoient que les candidats jugés inaptes par le CNM ont accès à un contrôle judiciaire accéléré devant le tribunal compétent;</w:t>
            </w:r>
          </w:p>
          <w:p w14:paraId="4A33C49B" w14:textId="45033464" w:rsidR="0023462A" w:rsidRDefault="00A550FA">
            <w:pPr>
              <w:pStyle w:val="P68B1DB1-ListParagraph43"/>
              <w:numPr>
                <w:ilvl w:val="0"/>
                <w:numId w:val="22"/>
              </w:numPr>
              <w:spacing w:after="120" w:line="240" w:lineRule="auto"/>
              <w:contextualSpacing w:val="0"/>
              <w:rPr>
                <w:rFonts w:eastAsia="Times New Roman"/>
                <w:noProof/>
              </w:rPr>
            </w:pPr>
            <w:r>
              <w:rPr>
                <w:noProof/>
              </w:rPr>
              <w:t>les modifications législatives et autres modifications apportées aux règles relatives au système de répartition des affaires de la Kúria entrent en vigueur, prévoyant ce qui suit: i) Les dossiers déposés par voie électronique reçoivent un numéro de dossier sans intervention humaine; ii) les affaires soient attribuées aux chambres selon des critères objectifs préétablis; iii) la formation de jugement de l'affaire soit composée selon un algorithme prescrit à l'avance; iv) les parties à la procédure soient en mesure de vérifier, sur la base du dossier, si les règles relatives à la répartition des affaires ont été dûment appliquées; v) le conseil judiciaire de la Kúria et les services des juges («kollégium») concernés émettent un avis contraignant sur le système d’attribution des affaires;</w:t>
            </w:r>
          </w:p>
          <w:p w14:paraId="3F0A4C7E" w14:textId="77777777" w:rsidR="0023462A" w:rsidRDefault="00A550FA">
            <w:pPr>
              <w:pStyle w:val="P68B1DB1-ListParagraph43"/>
              <w:numPr>
                <w:ilvl w:val="0"/>
                <w:numId w:val="22"/>
              </w:numPr>
              <w:spacing w:after="120" w:line="240" w:lineRule="auto"/>
              <w:contextualSpacing w:val="0"/>
              <w:rPr>
                <w:rFonts w:eastAsia="Times New Roman"/>
                <w:noProof/>
              </w:rPr>
            </w:pPr>
            <w:r>
              <w:rPr>
                <w:noProof/>
              </w:rPr>
              <w:t xml:space="preserve">les modifications législatives qui modifient les règles de fonctionnement de la Kúria entreront en vigueur au plus tard le </w:t>
            </w:r>
          </w:p>
          <w:p w14:paraId="092563FB" w14:textId="77777777" w:rsidR="0023462A" w:rsidRDefault="00A550FA">
            <w:pPr>
              <w:pStyle w:val="P68B1DB1-ListParagraph43"/>
              <w:numPr>
                <w:ilvl w:val="0"/>
                <w:numId w:val="23"/>
              </w:numPr>
              <w:spacing w:after="120" w:line="240" w:lineRule="auto"/>
              <w:contextualSpacing w:val="0"/>
              <w:rPr>
                <w:rFonts w:eastAsia="Times New Roman"/>
                <w:noProof/>
              </w:rPr>
            </w:pPr>
            <w:r>
              <w:rPr>
                <w:noProof/>
              </w:rPr>
              <w:t xml:space="preserve">en renforçant les compétences du conseil de la magistrature de la Kúria et des services des juges («kollégium») concernés, en veillant notamment à ce qu’ils émettent un avis contraignant sur: </w:t>
            </w:r>
          </w:p>
          <w:p w14:paraId="7A793E5D" w14:textId="77777777" w:rsidR="0023462A" w:rsidRDefault="00A550FA">
            <w:pPr>
              <w:pStyle w:val="P68B1DB1-ListParagraph43"/>
              <w:numPr>
                <w:ilvl w:val="0"/>
                <w:numId w:val="24"/>
              </w:numPr>
              <w:spacing w:after="120" w:line="240" w:lineRule="auto"/>
              <w:contextualSpacing w:val="0"/>
              <w:rPr>
                <w:rFonts w:eastAsia="Times New Roman"/>
                <w:noProof/>
              </w:rPr>
            </w:pPr>
            <w:r>
              <w:rPr>
                <w:noProof/>
              </w:rPr>
              <w:t>les candidats aux postes de président et de vice-président des départements des juges, de président et de secrétaire général de la Kúria;</w:t>
            </w:r>
          </w:p>
          <w:p w14:paraId="185A801B" w14:textId="77777777" w:rsidR="0023462A" w:rsidRDefault="00A550FA">
            <w:pPr>
              <w:pStyle w:val="P68B1DB1-ListParagraph43"/>
              <w:numPr>
                <w:ilvl w:val="0"/>
                <w:numId w:val="24"/>
              </w:numPr>
              <w:spacing w:after="120" w:line="240" w:lineRule="auto"/>
              <w:contextualSpacing w:val="0"/>
              <w:rPr>
                <w:rFonts w:eastAsia="Times New Roman"/>
                <w:noProof/>
              </w:rPr>
            </w:pPr>
            <w:r>
              <w:rPr>
                <w:noProof/>
              </w:rPr>
              <w:t>détachements à la Kúria;</w:t>
            </w:r>
          </w:p>
          <w:p w14:paraId="62F14B45" w14:textId="77777777" w:rsidR="0023462A" w:rsidRDefault="00A550FA">
            <w:pPr>
              <w:pStyle w:val="P68B1DB1-ListParagraph43"/>
              <w:numPr>
                <w:ilvl w:val="0"/>
                <w:numId w:val="23"/>
              </w:numPr>
              <w:spacing w:after="120" w:line="240" w:lineRule="auto"/>
              <w:contextualSpacing w:val="0"/>
              <w:rPr>
                <w:rFonts w:eastAsia="Times New Roman"/>
                <w:noProof/>
              </w:rPr>
            </w:pPr>
            <w:r>
              <w:rPr>
                <w:noProof/>
              </w:rPr>
              <w:t>en supprimant la possibilité pour les membres de la Cour constitutionnelle de devenir juges puis d'être nommés à la Kúria sans suivre la procédure normale de demande,</w:t>
            </w:r>
          </w:p>
          <w:p w14:paraId="599168BF" w14:textId="77777777" w:rsidR="0023462A" w:rsidRDefault="00A550FA">
            <w:pPr>
              <w:pStyle w:val="P68B1DB1-ListParagraph43"/>
              <w:numPr>
                <w:ilvl w:val="0"/>
                <w:numId w:val="23"/>
              </w:numPr>
              <w:spacing w:after="120" w:line="240" w:lineRule="auto"/>
              <w:contextualSpacing w:val="0"/>
              <w:rPr>
                <w:rFonts w:eastAsia="Times New Roman"/>
                <w:noProof/>
              </w:rPr>
            </w:pPr>
            <w:r>
              <w:rPr>
                <w:noProof/>
              </w:rPr>
              <w:t>veiller à ce que le CNM émette un avis contraignant motivé sur l’adéquation des candidats au poste de vice-président de la Kúria, qui puisse être proposé par le président de la Kúria. Les critères d'aptitude, y compris l'indépendance, l'impartialité, la probité et l'intégrité, sont déterminés par la loi. Les modifications législatives garantiront que les candidats jugés inadaptés par le CNM auront accès à un contrôle juridictionnel accéléré devant le tribunal compétent.</w:t>
            </w:r>
          </w:p>
          <w:p w14:paraId="566C1215" w14:textId="645FE39A" w:rsidR="0023462A" w:rsidRDefault="00A550FA">
            <w:pPr>
              <w:pStyle w:val="P68B1DB1-ListParagraph43"/>
              <w:numPr>
                <w:ilvl w:val="0"/>
                <w:numId w:val="23"/>
              </w:numPr>
              <w:spacing w:after="120" w:line="240" w:lineRule="auto"/>
              <w:contextualSpacing w:val="0"/>
              <w:rPr>
                <w:rFonts w:eastAsia="Times New Roman"/>
                <w:noProof/>
              </w:rPr>
            </w:pPr>
            <w:r>
              <w:rPr>
                <w:noProof/>
              </w:rPr>
              <w:t>veiller à ce que les pouvoirs renforcés du CNM visés au jalon 71 s’appliquent également au président de la Kúria lorsqu’il agit en tant qu’autorité investie du pouvoir de nomination (conformément à la loi CLXII de 2011).</w:t>
            </w:r>
          </w:p>
        </w:tc>
      </w:tr>
      <w:tr w:rsidR="0023462A" w14:paraId="2725385D" w14:textId="77777777" w:rsidTr="009C289F">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tcPr>
          <w:p w14:paraId="53FB8C74" w14:textId="4326219B" w:rsidR="0023462A" w:rsidRDefault="00A550FA">
            <w:pPr>
              <w:pStyle w:val="P68B1DB1-Normal32"/>
              <w:spacing w:after="120" w:line="240" w:lineRule="auto"/>
              <w:rPr>
                <w:rFonts w:eastAsiaTheme="minorHAnsi"/>
                <w:noProof/>
              </w:rPr>
            </w:pPr>
            <w:r>
              <w:rPr>
                <w:noProof/>
              </w:rPr>
              <w:t>73</w:t>
            </w:r>
          </w:p>
        </w:tc>
        <w:tc>
          <w:tcPr>
            <w:tcW w:w="1559" w:type="dxa"/>
            <w:tcBorders>
              <w:top w:val="nil"/>
              <w:left w:val="nil"/>
              <w:bottom w:val="single" w:sz="4" w:space="0" w:color="auto"/>
              <w:right w:val="single" w:sz="4" w:space="0" w:color="auto"/>
            </w:tcBorders>
            <w:shd w:val="clear" w:color="auto" w:fill="C6EFCE"/>
            <w:noWrap/>
          </w:tcPr>
          <w:p w14:paraId="01E5F357" w14:textId="3BA104F1" w:rsidR="0023462A" w:rsidRDefault="00A550FA">
            <w:pPr>
              <w:pStyle w:val="P68B1DB1-Normal32"/>
              <w:spacing w:after="120" w:line="240" w:lineRule="auto"/>
              <w:ind w:left="52"/>
              <w:textAlignment w:val="baseline"/>
              <w:rPr>
                <w:rFonts w:eastAsia="Times New Roman"/>
                <w:noProof/>
              </w:rPr>
            </w:pPr>
            <w:r>
              <w:rPr>
                <w:noProof/>
              </w:rPr>
              <w:t>C8.R16: Suppression des obstacles aux renvois préjudiciels devant la Cour de justice de l’Union européenne</w:t>
            </w:r>
          </w:p>
          <w:p w14:paraId="744811E8" w14:textId="77777777" w:rsidR="0023462A" w:rsidRDefault="0023462A">
            <w:pPr>
              <w:spacing w:after="120" w:line="240" w:lineRule="auto"/>
              <w:rPr>
                <w:rFonts w:ascii="Times New Roman" w:eastAsiaTheme="minorHAnsi" w:hAnsi="Times New Roman" w:cs="Times New Roman"/>
                <w:noProof/>
                <w:sz w:val="18"/>
                <w:szCs w:val="18"/>
              </w:rPr>
            </w:pPr>
          </w:p>
        </w:tc>
        <w:tc>
          <w:tcPr>
            <w:tcW w:w="709" w:type="dxa"/>
            <w:tcBorders>
              <w:top w:val="nil"/>
              <w:left w:val="nil"/>
              <w:bottom w:val="single" w:sz="4" w:space="0" w:color="auto"/>
              <w:right w:val="single" w:sz="4" w:space="0" w:color="auto"/>
            </w:tcBorders>
            <w:shd w:val="clear" w:color="auto" w:fill="C6EFCE"/>
            <w:noWrap/>
          </w:tcPr>
          <w:p w14:paraId="0BE3F456" w14:textId="6DB4F89D" w:rsidR="0023462A" w:rsidRDefault="00A550FA">
            <w:pPr>
              <w:pStyle w:val="P68B1DB1-Normal32"/>
              <w:spacing w:after="120" w:line="240" w:lineRule="auto"/>
              <w:rPr>
                <w:rFonts w:eastAsiaTheme="minorHAnsi"/>
                <w:noProof/>
              </w:rPr>
            </w:pPr>
            <w:r>
              <w:rPr>
                <w:noProof/>
              </w:rPr>
              <w:t>Étape</w:t>
            </w:r>
          </w:p>
        </w:tc>
        <w:tc>
          <w:tcPr>
            <w:tcW w:w="1417" w:type="dxa"/>
            <w:tcBorders>
              <w:top w:val="nil"/>
              <w:left w:val="nil"/>
              <w:bottom w:val="single" w:sz="4" w:space="0" w:color="auto"/>
              <w:right w:val="single" w:sz="4" w:space="0" w:color="auto"/>
            </w:tcBorders>
            <w:shd w:val="clear" w:color="auto" w:fill="C6EFCE"/>
            <w:noWrap/>
          </w:tcPr>
          <w:p w14:paraId="43212EE1" w14:textId="52B29F17" w:rsidR="0023462A" w:rsidRDefault="00A550FA">
            <w:pPr>
              <w:pStyle w:val="P68B1DB1-Normal32"/>
              <w:spacing w:after="120" w:line="240" w:lineRule="auto"/>
              <w:rPr>
                <w:rFonts w:eastAsiaTheme="minorHAnsi"/>
                <w:noProof/>
              </w:rPr>
            </w:pPr>
            <w:r>
              <w:rPr>
                <w:noProof/>
              </w:rPr>
              <w:t>Entrée en vigueur de modifications législatives visant à lever les obstacles aux renvois préjudiciels devant la Cour de justice de l’Union européenne</w:t>
            </w:r>
          </w:p>
        </w:tc>
        <w:tc>
          <w:tcPr>
            <w:tcW w:w="1701" w:type="dxa"/>
            <w:tcBorders>
              <w:top w:val="nil"/>
              <w:left w:val="nil"/>
              <w:bottom w:val="single" w:sz="4" w:space="0" w:color="auto"/>
              <w:right w:val="single" w:sz="4" w:space="0" w:color="auto"/>
            </w:tcBorders>
            <w:shd w:val="clear" w:color="auto" w:fill="C6EFCE"/>
            <w:noWrap/>
          </w:tcPr>
          <w:p w14:paraId="6B104AF2" w14:textId="0ED76352" w:rsidR="0023462A" w:rsidRDefault="00A550FA">
            <w:pPr>
              <w:pStyle w:val="P68B1DB1-Normal32"/>
              <w:spacing w:after="120" w:line="240" w:lineRule="auto"/>
              <w:rPr>
                <w:rFonts w:eastAsiaTheme="minorHAnsi"/>
                <w:noProof/>
              </w:rPr>
            </w:pPr>
            <w:r>
              <w:rPr>
                <w:noProof/>
              </w:rPr>
              <w:t xml:space="preserve">Disposition des modifications législatives indiquant leur entrée en vigueur </w:t>
            </w:r>
          </w:p>
        </w:tc>
        <w:tc>
          <w:tcPr>
            <w:tcW w:w="1418" w:type="dxa"/>
            <w:tcBorders>
              <w:top w:val="nil"/>
              <w:left w:val="nil"/>
              <w:bottom w:val="single" w:sz="4" w:space="0" w:color="auto"/>
              <w:right w:val="single" w:sz="4" w:space="0" w:color="auto"/>
            </w:tcBorders>
            <w:shd w:val="clear" w:color="auto" w:fill="C6EFCE"/>
            <w:noWrap/>
          </w:tcPr>
          <w:p w14:paraId="6B18249E" w14:textId="77777777" w:rsidR="0023462A" w:rsidRDefault="0023462A">
            <w:pPr>
              <w:spacing w:after="120" w:line="240" w:lineRule="auto"/>
              <w:rPr>
                <w:rFonts w:ascii="Times New Roman" w:eastAsia="Calibri" w:hAnsi="Times New Roman" w:cs="Times New Roman"/>
                <w:noProof/>
                <w:sz w:val="18"/>
                <w:szCs w:val="18"/>
              </w:rPr>
            </w:pPr>
          </w:p>
        </w:tc>
        <w:tc>
          <w:tcPr>
            <w:tcW w:w="1417" w:type="dxa"/>
            <w:tcBorders>
              <w:top w:val="nil"/>
              <w:left w:val="nil"/>
              <w:bottom w:val="single" w:sz="4" w:space="0" w:color="auto"/>
              <w:right w:val="single" w:sz="4" w:space="0" w:color="auto"/>
            </w:tcBorders>
            <w:shd w:val="clear" w:color="auto" w:fill="C6EFCE"/>
            <w:noWrap/>
          </w:tcPr>
          <w:p w14:paraId="1841A13C" w14:textId="77777777" w:rsidR="0023462A" w:rsidRDefault="0023462A">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tcPr>
          <w:p w14:paraId="28D33A90" w14:textId="77777777" w:rsidR="0023462A" w:rsidRDefault="0023462A">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tcPr>
          <w:p w14:paraId="4A7A6FE4" w14:textId="6B26CD12" w:rsidR="0023462A" w:rsidRDefault="00A550FA">
            <w:pPr>
              <w:pStyle w:val="P68B1DB1-Normal32"/>
              <w:spacing w:after="120" w:line="240" w:lineRule="auto"/>
              <w:rPr>
                <w:rFonts w:eastAsiaTheme="minorHAnsi"/>
                <w:noProof/>
              </w:rPr>
            </w:pPr>
            <w:r>
              <w:rPr>
                <w:noProof/>
              </w:rPr>
              <w:t>T2</w:t>
            </w:r>
          </w:p>
        </w:tc>
        <w:tc>
          <w:tcPr>
            <w:tcW w:w="708" w:type="dxa"/>
            <w:tcBorders>
              <w:top w:val="nil"/>
              <w:left w:val="nil"/>
              <w:bottom w:val="single" w:sz="4" w:space="0" w:color="auto"/>
              <w:right w:val="single" w:sz="4" w:space="0" w:color="auto"/>
            </w:tcBorders>
            <w:shd w:val="clear" w:color="auto" w:fill="C6EFCE"/>
            <w:noWrap/>
          </w:tcPr>
          <w:p w14:paraId="562365E7" w14:textId="7BF6C257" w:rsidR="0023462A" w:rsidRDefault="00A550FA">
            <w:pPr>
              <w:pStyle w:val="P68B1DB1-Normal32"/>
              <w:spacing w:after="120" w:line="240" w:lineRule="auto"/>
              <w:rPr>
                <w:rFonts w:eastAsiaTheme="minorHAnsi"/>
                <w:noProof/>
              </w:rPr>
            </w:pPr>
            <w:r>
              <w:rPr>
                <w:noProof/>
              </w:rPr>
              <w:t>2026</w:t>
            </w:r>
          </w:p>
        </w:tc>
        <w:tc>
          <w:tcPr>
            <w:tcW w:w="3713" w:type="dxa"/>
            <w:tcBorders>
              <w:top w:val="nil"/>
              <w:left w:val="nil"/>
              <w:bottom w:val="single" w:sz="4" w:space="0" w:color="auto"/>
              <w:right w:val="single" w:sz="4" w:space="0" w:color="auto"/>
            </w:tcBorders>
            <w:shd w:val="clear" w:color="auto" w:fill="C6EFCE"/>
            <w:noWrap/>
          </w:tcPr>
          <w:p w14:paraId="279C5A03" w14:textId="77777777" w:rsidR="0023462A" w:rsidRDefault="00A550FA">
            <w:pPr>
              <w:pStyle w:val="P68B1DB1-Normal32"/>
              <w:spacing w:after="120" w:line="240" w:lineRule="auto"/>
              <w:ind w:left="57"/>
              <w:rPr>
                <w:rFonts w:eastAsia="Times New Roman"/>
                <w:noProof/>
              </w:rPr>
            </w:pPr>
            <w:r>
              <w:rPr>
                <w:noProof/>
              </w:rPr>
              <w:t xml:space="preserve">Les modifications législatives entrent en vigueur en veillant à ce que: </w:t>
            </w:r>
          </w:p>
          <w:p w14:paraId="27093439" w14:textId="3435ECF2" w:rsidR="0023462A" w:rsidRDefault="00A550FA">
            <w:pPr>
              <w:pStyle w:val="P68B1DB1-Normal32"/>
              <w:spacing w:after="120" w:line="240" w:lineRule="auto"/>
              <w:ind w:left="52"/>
              <w:textAlignment w:val="baseline"/>
              <w:rPr>
                <w:rFonts w:eastAsiaTheme="minorHAnsi"/>
                <w:noProof/>
              </w:rPr>
            </w:pPr>
            <w:r>
              <w:rPr>
                <w:noProof/>
              </w:rPr>
              <w:t>i) Les articles 666 et suivants du code de procédure pénale sont modifiés afin de supprimer la possibilité pour la Kúria de contrôler la légalité de la décision d’un juge de saisir la Cour de justice de l’Union européenne à titre préjudiciel, et ii) l’article 490 du code de procédure pénale relatif à la suspension de la procédure est modifié afin de supprimer tout obstacle empêchant une juridiction de saisir la Cour à titre préjudiciel conformément à l’article 267 TFUE.</w:t>
            </w:r>
          </w:p>
        </w:tc>
      </w:tr>
      <w:tr w:rsidR="0023462A" w14:paraId="72363AB5" w14:textId="77777777" w:rsidTr="009C289F">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tcPr>
          <w:p w14:paraId="03713DD2" w14:textId="0E8569AE" w:rsidR="0023462A" w:rsidRDefault="00A550FA">
            <w:pPr>
              <w:pStyle w:val="P68B1DB1-Normal32"/>
              <w:spacing w:after="120" w:line="240" w:lineRule="auto"/>
              <w:rPr>
                <w:rFonts w:eastAsiaTheme="minorHAnsi"/>
                <w:noProof/>
              </w:rPr>
            </w:pPr>
            <w:r>
              <w:rPr>
                <w:noProof/>
              </w:rPr>
              <w:t>74</w:t>
            </w:r>
          </w:p>
        </w:tc>
        <w:tc>
          <w:tcPr>
            <w:tcW w:w="1559" w:type="dxa"/>
            <w:tcBorders>
              <w:top w:val="nil"/>
              <w:left w:val="nil"/>
              <w:bottom w:val="single" w:sz="4" w:space="0" w:color="auto"/>
              <w:right w:val="single" w:sz="4" w:space="0" w:color="auto"/>
            </w:tcBorders>
            <w:shd w:val="clear" w:color="auto" w:fill="C6EFCE"/>
            <w:noWrap/>
          </w:tcPr>
          <w:p w14:paraId="2A5D4242" w14:textId="76612B0C" w:rsidR="0023462A" w:rsidRDefault="00A550FA">
            <w:pPr>
              <w:pStyle w:val="P68B1DB1-Normal32"/>
              <w:spacing w:after="120" w:line="240" w:lineRule="auto"/>
              <w:rPr>
                <w:noProof/>
              </w:rPr>
            </w:pPr>
            <w:r>
              <w:rPr>
                <w:noProof/>
              </w:rPr>
              <w:t>C8.R17 Réforme concernant le contrôle des jugements définitifs par la Cour constitutionnelle</w:t>
            </w:r>
          </w:p>
        </w:tc>
        <w:tc>
          <w:tcPr>
            <w:tcW w:w="709" w:type="dxa"/>
            <w:tcBorders>
              <w:top w:val="nil"/>
              <w:left w:val="nil"/>
              <w:bottom w:val="single" w:sz="4" w:space="0" w:color="auto"/>
              <w:right w:val="single" w:sz="4" w:space="0" w:color="auto"/>
            </w:tcBorders>
            <w:shd w:val="clear" w:color="auto" w:fill="C6EFCE"/>
            <w:noWrap/>
          </w:tcPr>
          <w:p w14:paraId="56C3B4D1" w14:textId="3903F596" w:rsidR="0023462A" w:rsidRDefault="00A550FA">
            <w:pPr>
              <w:pStyle w:val="P68B1DB1-Normal32"/>
              <w:spacing w:after="120" w:line="240" w:lineRule="auto"/>
              <w:rPr>
                <w:rFonts w:eastAsiaTheme="minorHAnsi"/>
                <w:noProof/>
              </w:rPr>
            </w:pPr>
            <w:r>
              <w:rPr>
                <w:noProof/>
              </w:rPr>
              <w:t>Étape</w:t>
            </w:r>
          </w:p>
        </w:tc>
        <w:tc>
          <w:tcPr>
            <w:tcW w:w="1417" w:type="dxa"/>
            <w:tcBorders>
              <w:top w:val="nil"/>
              <w:left w:val="nil"/>
              <w:bottom w:val="single" w:sz="4" w:space="0" w:color="auto"/>
              <w:right w:val="single" w:sz="4" w:space="0" w:color="auto"/>
            </w:tcBorders>
            <w:shd w:val="clear" w:color="auto" w:fill="C6EFCE"/>
            <w:noWrap/>
          </w:tcPr>
          <w:p w14:paraId="2CFCA3C6" w14:textId="67F14871" w:rsidR="0023462A" w:rsidRDefault="00A550FA">
            <w:pPr>
              <w:pStyle w:val="P68B1DB1-Normal32"/>
              <w:spacing w:after="120" w:line="240" w:lineRule="auto"/>
              <w:rPr>
                <w:rFonts w:eastAsiaTheme="minorHAnsi"/>
                <w:noProof/>
              </w:rPr>
            </w:pPr>
            <w:r>
              <w:rPr>
                <w:noProof/>
              </w:rPr>
              <w:t>Entrée en vigueur des modifications législatives visant à supprimer la possibilité pour les autorités publiques de contester les décisions définitives devant la Cour constitutionnelle</w:t>
            </w:r>
          </w:p>
        </w:tc>
        <w:tc>
          <w:tcPr>
            <w:tcW w:w="1701" w:type="dxa"/>
            <w:tcBorders>
              <w:top w:val="nil"/>
              <w:left w:val="nil"/>
              <w:bottom w:val="single" w:sz="4" w:space="0" w:color="auto"/>
              <w:right w:val="single" w:sz="4" w:space="0" w:color="auto"/>
            </w:tcBorders>
            <w:shd w:val="clear" w:color="auto" w:fill="C6EFCE"/>
            <w:noWrap/>
          </w:tcPr>
          <w:p w14:paraId="7323A158" w14:textId="30CD1ECD" w:rsidR="0023462A" w:rsidRDefault="00A550FA">
            <w:pPr>
              <w:pStyle w:val="P68B1DB1-Normal32"/>
              <w:spacing w:after="120" w:line="240" w:lineRule="auto"/>
              <w:rPr>
                <w:rFonts w:eastAsiaTheme="minorHAnsi"/>
                <w:noProof/>
              </w:rPr>
            </w:pPr>
            <w:r>
              <w:rPr>
                <w:noProof/>
              </w:rPr>
              <w:t xml:space="preserve">Disposition des modifications législatives indiquant leur entrée en vigueur </w:t>
            </w:r>
          </w:p>
        </w:tc>
        <w:tc>
          <w:tcPr>
            <w:tcW w:w="1418" w:type="dxa"/>
            <w:tcBorders>
              <w:top w:val="nil"/>
              <w:left w:val="nil"/>
              <w:bottom w:val="single" w:sz="4" w:space="0" w:color="auto"/>
              <w:right w:val="single" w:sz="4" w:space="0" w:color="auto"/>
            </w:tcBorders>
            <w:shd w:val="clear" w:color="auto" w:fill="C6EFCE"/>
            <w:noWrap/>
          </w:tcPr>
          <w:p w14:paraId="38F19293" w14:textId="5A6C286B" w:rsidR="0023462A" w:rsidRDefault="00A550FA">
            <w:pPr>
              <w:pStyle w:val="P68B1DB1-Normal32"/>
              <w:spacing w:after="120" w:line="240" w:lineRule="auto"/>
              <w:rPr>
                <w:rFonts w:eastAsia="Calibri"/>
                <w:noProof/>
              </w:rPr>
            </w:pPr>
            <w:r>
              <w:rPr>
                <w:noProof/>
              </w:rPr>
              <w:t xml:space="preserve"> </w:t>
            </w:r>
          </w:p>
        </w:tc>
        <w:tc>
          <w:tcPr>
            <w:tcW w:w="1417" w:type="dxa"/>
            <w:tcBorders>
              <w:top w:val="nil"/>
              <w:left w:val="nil"/>
              <w:bottom w:val="single" w:sz="4" w:space="0" w:color="auto"/>
              <w:right w:val="single" w:sz="4" w:space="0" w:color="auto"/>
            </w:tcBorders>
            <w:shd w:val="clear" w:color="auto" w:fill="C6EFCE"/>
            <w:noWrap/>
          </w:tcPr>
          <w:p w14:paraId="2690D092" w14:textId="02576B63" w:rsidR="0023462A" w:rsidRDefault="00A550FA">
            <w:pPr>
              <w:pStyle w:val="P68B1DB1-Normal32"/>
              <w:spacing w:after="120" w:line="240" w:lineRule="auto"/>
              <w:rPr>
                <w:rFonts w:eastAsia="Calibri"/>
                <w:noProof/>
              </w:rPr>
            </w:pPr>
            <w:r>
              <w:rPr>
                <w:noProof/>
              </w:rPr>
              <w:t xml:space="preserve"> </w:t>
            </w:r>
          </w:p>
        </w:tc>
        <w:tc>
          <w:tcPr>
            <w:tcW w:w="993" w:type="dxa"/>
            <w:tcBorders>
              <w:top w:val="nil"/>
              <w:left w:val="nil"/>
              <w:bottom w:val="single" w:sz="4" w:space="0" w:color="auto"/>
              <w:right w:val="single" w:sz="4" w:space="0" w:color="auto"/>
            </w:tcBorders>
            <w:shd w:val="clear" w:color="auto" w:fill="C6EFCE"/>
            <w:noWrap/>
          </w:tcPr>
          <w:p w14:paraId="1C9E293D" w14:textId="6EBF789F" w:rsidR="0023462A" w:rsidRDefault="00A550FA">
            <w:pPr>
              <w:pStyle w:val="P68B1DB1-Normal32"/>
              <w:spacing w:after="120" w:line="240" w:lineRule="auto"/>
              <w:rPr>
                <w:rFonts w:eastAsia="Calibri"/>
                <w:noProof/>
              </w:rPr>
            </w:pPr>
            <w:r>
              <w:rPr>
                <w:noProof/>
              </w:rPr>
              <w:t xml:space="preserve"> </w:t>
            </w:r>
          </w:p>
        </w:tc>
        <w:tc>
          <w:tcPr>
            <w:tcW w:w="1134" w:type="dxa"/>
            <w:tcBorders>
              <w:top w:val="nil"/>
              <w:left w:val="nil"/>
              <w:bottom w:val="single" w:sz="4" w:space="0" w:color="auto"/>
              <w:right w:val="single" w:sz="4" w:space="0" w:color="auto"/>
            </w:tcBorders>
            <w:shd w:val="clear" w:color="auto" w:fill="C6EFCE"/>
            <w:noWrap/>
          </w:tcPr>
          <w:p w14:paraId="7AA0C579" w14:textId="6233CEC1" w:rsidR="0023462A" w:rsidRDefault="00A550FA">
            <w:pPr>
              <w:pStyle w:val="P68B1DB1-Normal32"/>
              <w:spacing w:after="120" w:line="240" w:lineRule="auto"/>
              <w:rPr>
                <w:rFonts w:eastAsiaTheme="minorHAnsi"/>
                <w:noProof/>
              </w:rPr>
            </w:pPr>
            <w:r>
              <w:rPr>
                <w:noProof/>
              </w:rPr>
              <w:t>T2</w:t>
            </w:r>
          </w:p>
        </w:tc>
        <w:tc>
          <w:tcPr>
            <w:tcW w:w="708" w:type="dxa"/>
            <w:tcBorders>
              <w:top w:val="nil"/>
              <w:left w:val="nil"/>
              <w:bottom w:val="single" w:sz="4" w:space="0" w:color="auto"/>
              <w:right w:val="single" w:sz="4" w:space="0" w:color="auto"/>
            </w:tcBorders>
            <w:shd w:val="clear" w:color="auto" w:fill="C6EFCE"/>
            <w:noWrap/>
          </w:tcPr>
          <w:p w14:paraId="04C4BBA1" w14:textId="3C4FA3EB" w:rsidR="0023462A" w:rsidRDefault="00A550FA">
            <w:pPr>
              <w:pStyle w:val="P68B1DB1-Normal32"/>
              <w:spacing w:after="120" w:line="240" w:lineRule="auto"/>
              <w:rPr>
                <w:rFonts w:eastAsiaTheme="minorHAnsi"/>
                <w:noProof/>
              </w:rPr>
            </w:pPr>
            <w:r>
              <w:rPr>
                <w:noProof/>
              </w:rPr>
              <w:t>2026</w:t>
            </w:r>
          </w:p>
        </w:tc>
        <w:tc>
          <w:tcPr>
            <w:tcW w:w="3713" w:type="dxa"/>
            <w:tcBorders>
              <w:top w:val="nil"/>
              <w:left w:val="nil"/>
              <w:bottom w:val="single" w:sz="4" w:space="0" w:color="auto"/>
              <w:right w:val="single" w:sz="4" w:space="0" w:color="auto"/>
            </w:tcBorders>
            <w:shd w:val="clear" w:color="auto" w:fill="C6EFCE"/>
            <w:noWrap/>
          </w:tcPr>
          <w:p w14:paraId="0A5ECEF5" w14:textId="367E91C6" w:rsidR="0023462A" w:rsidRDefault="00A550FA">
            <w:pPr>
              <w:pStyle w:val="P68B1DB1-Normal32"/>
              <w:spacing w:after="120" w:line="240" w:lineRule="auto"/>
              <w:ind w:left="52"/>
              <w:textAlignment w:val="baseline"/>
              <w:rPr>
                <w:rFonts w:eastAsiaTheme="minorHAnsi"/>
                <w:noProof/>
              </w:rPr>
            </w:pPr>
            <w:r>
              <w:rPr>
                <w:noProof/>
              </w:rPr>
              <w:t>Les modifications législatives entrent en vigueur et prévoient la suppression de la possibilité, introduite en 2019 par la modification de l’article 27 de la loi CLI de 2011, pour les autorités publiques de contester devant la Cour constitutionnelle les décisions judiciaires définitives.</w:t>
            </w:r>
          </w:p>
        </w:tc>
      </w:tr>
      <w:tr w:rsidR="0023462A" w14:paraId="7AFC19C2" w14:textId="77777777" w:rsidTr="009C289F">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vAlign w:val="center"/>
          </w:tcPr>
          <w:p w14:paraId="7292F3AB" w14:textId="6292BE68" w:rsidR="0023462A" w:rsidRDefault="00A550FA">
            <w:pPr>
              <w:pStyle w:val="P68B1DB1-Normal32"/>
              <w:spacing w:after="120" w:line="240" w:lineRule="auto"/>
              <w:rPr>
                <w:rFonts w:eastAsiaTheme="minorHAnsi"/>
                <w:noProof/>
              </w:rPr>
            </w:pPr>
            <w:r>
              <w:rPr>
                <w:noProof/>
              </w:rPr>
              <w:t>75</w:t>
            </w:r>
          </w:p>
        </w:tc>
        <w:tc>
          <w:tcPr>
            <w:tcW w:w="1559" w:type="dxa"/>
            <w:tcBorders>
              <w:top w:val="nil"/>
              <w:left w:val="nil"/>
              <w:bottom w:val="single" w:sz="4" w:space="0" w:color="auto"/>
              <w:right w:val="single" w:sz="4" w:space="0" w:color="auto"/>
            </w:tcBorders>
            <w:shd w:val="clear" w:color="auto" w:fill="C6EFCE"/>
            <w:noWrap/>
            <w:vAlign w:val="center"/>
          </w:tcPr>
          <w:p w14:paraId="0A9ADC2A" w14:textId="084C3EDD" w:rsidR="0023462A" w:rsidRDefault="00A550FA">
            <w:pPr>
              <w:pStyle w:val="P68B1DB1-Normal32"/>
              <w:spacing w:after="120" w:line="240" w:lineRule="auto"/>
              <w:rPr>
                <w:noProof/>
              </w:rPr>
            </w:pPr>
            <w:r>
              <w:rPr>
                <w:noProof/>
              </w:rPr>
              <w:t>C8.R18 Modifications législatives renforçant les mécanismes de gestion, de suivi, d’audit et de contrôle afin de garantir la bonne utilisation du soutien de l’Union</w:t>
            </w:r>
          </w:p>
        </w:tc>
        <w:tc>
          <w:tcPr>
            <w:tcW w:w="709" w:type="dxa"/>
            <w:tcBorders>
              <w:top w:val="nil"/>
              <w:left w:val="nil"/>
              <w:bottom w:val="single" w:sz="4" w:space="0" w:color="auto"/>
              <w:right w:val="single" w:sz="4" w:space="0" w:color="auto"/>
            </w:tcBorders>
            <w:shd w:val="clear" w:color="auto" w:fill="C6EFCE"/>
            <w:noWrap/>
            <w:vAlign w:val="center"/>
          </w:tcPr>
          <w:p w14:paraId="71FCE03E" w14:textId="231A4A4C" w:rsidR="0023462A" w:rsidRDefault="00A550FA">
            <w:pPr>
              <w:pStyle w:val="P68B1DB1-Normal32"/>
              <w:spacing w:after="120" w:line="240" w:lineRule="auto"/>
              <w:rPr>
                <w:rFonts w:eastAsiaTheme="minorHAnsi"/>
                <w:noProof/>
              </w:rPr>
            </w:pPr>
            <w:r>
              <w:rPr>
                <w:noProof/>
              </w:rPr>
              <w:t xml:space="preserve">Étape </w:t>
            </w:r>
          </w:p>
        </w:tc>
        <w:tc>
          <w:tcPr>
            <w:tcW w:w="1417" w:type="dxa"/>
            <w:tcBorders>
              <w:top w:val="nil"/>
              <w:left w:val="nil"/>
              <w:bottom w:val="single" w:sz="4" w:space="0" w:color="auto"/>
              <w:right w:val="single" w:sz="4" w:space="0" w:color="auto"/>
            </w:tcBorders>
            <w:shd w:val="clear" w:color="auto" w:fill="C6EFCE"/>
            <w:noWrap/>
            <w:vAlign w:val="center"/>
          </w:tcPr>
          <w:p w14:paraId="0D339214" w14:textId="42A10440" w:rsidR="0023462A" w:rsidRDefault="00A550FA">
            <w:pPr>
              <w:pStyle w:val="P68B1DB1-Normal32"/>
              <w:spacing w:after="120" w:line="240" w:lineRule="auto"/>
              <w:rPr>
                <w:rFonts w:eastAsiaTheme="minorHAnsi"/>
                <w:noProof/>
              </w:rPr>
            </w:pPr>
            <w:r>
              <w:rPr>
                <w:noProof/>
              </w:rPr>
              <w:t>Acte(s) juridique(s) établissant le mandat juridique pour la gestion, l’audit et le contrôle du plan pour la reprise et la résilience et réglementant la gestion, le suivi, le contrôle et l’audit des fonds au titre du règlement (UE) 2021/1060 en Hongrie</w:t>
            </w:r>
          </w:p>
        </w:tc>
        <w:tc>
          <w:tcPr>
            <w:tcW w:w="1701" w:type="dxa"/>
            <w:tcBorders>
              <w:top w:val="nil"/>
              <w:left w:val="nil"/>
              <w:bottom w:val="single" w:sz="4" w:space="0" w:color="auto"/>
              <w:right w:val="single" w:sz="4" w:space="0" w:color="auto"/>
            </w:tcBorders>
            <w:shd w:val="clear" w:color="auto" w:fill="C6EFCE"/>
            <w:noWrap/>
            <w:vAlign w:val="center"/>
          </w:tcPr>
          <w:p w14:paraId="0E77BDF2" w14:textId="136F6AE0" w:rsidR="0023462A" w:rsidRDefault="00A550FA">
            <w:pPr>
              <w:pStyle w:val="P68B1DB1-Normal32"/>
              <w:spacing w:after="120" w:line="240" w:lineRule="auto"/>
              <w:rPr>
                <w:rFonts w:eastAsiaTheme="minorHAnsi"/>
                <w:noProof/>
              </w:rPr>
            </w:pPr>
            <w:r>
              <w:rPr>
                <w:noProof/>
              </w:rPr>
              <w:t>Disposition du ou des actes juridiques indiquant son entrée en vigueur</w:t>
            </w:r>
          </w:p>
        </w:tc>
        <w:tc>
          <w:tcPr>
            <w:tcW w:w="1418" w:type="dxa"/>
            <w:tcBorders>
              <w:top w:val="nil"/>
              <w:left w:val="nil"/>
              <w:bottom w:val="single" w:sz="4" w:space="0" w:color="auto"/>
              <w:right w:val="single" w:sz="4" w:space="0" w:color="auto"/>
            </w:tcBorders>
            <w:shd w:val="clear" w:color="auto" w:fill="C6EFCE"/>
            <w:noWrap/>
          </w:tcPr>
          <w:p w14:paraId="22BE94A1" w14:textId="77777777" w:rsidR="0023462A" w:rsidRDefault="0023462A">
            <w:pPr>
              <w:spacing w:after="120" w:line="240" w:lineRule="auto"/>
              <w:rPr>
                <w:rFonts w:ascii="Times New Roman" w:eastAsia="Calibri" w:hAnsi="Times New Roman" w:cs="Times New Roman"/>
                <w:noProof/>
                <w:sz w:val="18"/>
                <w:szCs w:val="18"/>
              </w:rPr>
            </w:pPr>
          </w:p>
        </w:tc>
        <w:tc>
          <w:tcPr>
            <w:tcW w:w="1417" w:type="dxa"/>
            <w:tcBorders>
              <w:top w:val="nil"/>
              <w:left w:val="nil"/>
              <w:bottom w:val="single" w:sz="4" w:space="0" w:color="auto"/>
              <w:right w:val="single" w:sz="4" w:space="0" w:color="auto"/>
            </w:tcBorders>
            <w:shd w:val="clear" w:color="auto" w:fill="C6EFCE"/>
            <w:noWrap/>
          </w:tcPr>
          <w:p w14:paraId="0458A24F" w14:textId="77777777" w:rsidR="0023462A" w:rsidRDefault="0023462A">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tcPr>
          <w:p w14:paraId="57575E8E" w14:textId="77777777" w:rsidR="0023462A" w:rsidRDefault="0023462A">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4DD34DB8" w14:textId="4FBC9F56" w:rsidR="0023462A" w:rsidRDefault="00A550FA">
            <w:pPr>
              <w:pStyle w:val="P68B1DB1-Normal32"/>
              <w:spacing w:after="120" w:line="240" w:lineRule="auto"/>
              <w:rPr>
                <w:rFonts w:eastAsiaTheme="minorHAnsi"/>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3E596768" w14:textId="44BF629C" w:rsidR="0023462A" w:rsidRDefault="00A550FA">
            <w:pPr>
              <w:pStyle w:val="P68B1DB1-Normal32"/>
              <w:spacing w:after="120" w:line="240" w:lineRule="auto"/>
              <w:rPr>
                <w:rFonts w:eastAsiaTheme="minorHAnsi"/>
                <w:noProof/>
              </w:rPr>
            </w:pPr>
            <w:r>
              <w:rPr>
                <w:noProof/>
              </w:rPr>
              <w:t>2026</w:t>
            </w:r>
          </w:p>
        </w:tc>
        <w:tc>
          <w:tcPr>
            <w:tcW w:w="3713" w:type="dxa"/>
            <w:tcBorders>
              <w:top w:val="nil"/>
              <w:left w:val="nil"/>
              <w:bottom w:val="single" w:sz="4" w:space="0" w:color="auto"/>
              <w:right w:val="single" w:sz="4" w:space="0" w:color="auto"/>
            </w:tcBorders>
            <w:shd w:val="clear" w:color="auto" w:fill="C6EFCE"/>
            <w:noWrap/>
            <w:vAlign w:val="center"/>
          </w:tcPr>
          <w:p w14:paraId="6354DDB6" w14:textId="4720BA05" w:rsidR="0023462A" w:rsidRDefault="00A550FA">
            <w:pPr>
              <w:pStyle w:val="P68B1DB1-Normal32"/>
              <w:spacing w:after="120" w:line="240" w:lineRule="auto"/>
              <w:ind w:left="52"/>
              <w:textAlignment w:val="baseline"/>
              <w:rPr>
                <w:rFonts w:eastAsia="Times New Roman"/>
                <w:noProof/>
              </w:rPr>
            </w:pPr>
            <w:r>
              <w:rPr>
                <w:noProof/>
              </w:rPr>
              <w:t>Entrée en vigueur d’un ou de plusieurs actes juridiques prévoyant la définition du mandat juridique des organismes participant à la mise en œuvre, à l’audit et au contrôle du plan pour la reprise et la résilience en Hongrie également au-delà de 2026.</w:t>
            </w:r>
          </w:p>
          <w:p w14:paraId="49CA874D" w14:textId="77777777" w:rsidR="0023462A" w:rsidRDefault="00A550FA">
            <w:pPr>
              <w:pStyle w:val="P68B1DB1-Normal32"/>
              <w:spacing w:after="120" w:line="240" w:lineRule="auto"/>
              <w:ind w:left="52"/>
              <w:textAlignment w:val="baseline"/>
              <w:rPr>
                <w:noProof/>
              </w:rPr>
            </w:pPr>
            <w:r>
              <w:rPr>
                <w:noProof/>
              </w:rPr>
              <w:t>Ces exigences législatives définissent les rôles et responsabilités des organismes fournissant:</w:t>
            </w:r>
          </w:p>
          <w:p w14:paraId="79B57C4C" w14:textId="77777777" w:rsidR="0023462A" w:rsidRDefault="00A550FA">
            <w:pPr>
              <w:pStyle w:val="P68B1DB1-Normal32"/>
              <w:spacing w:after="120" w:line="240" w:lineRule="auto"/>
              <w:ind w:left="52"/>
              <w:textAlignment w:val="baseline"/>
              <w:rPr>
                <w:noProof/>
              </w:rPr>
            </w:pPr>
            <w:r>
              <w:rPr>
                <w:noProof/>
              </w:rPr>
              <w:t>a) pour la collecte et la fiabilité des données liées à la réalisation des jalons et cibles et le suivi de cette réalisation;</w:t>
            </w:r>
          </w:p>
          <w:p w14:paraId="426E5BF5" w14:textId="77777777" w:rsidR="0023462A" w:rsidRDefault="00A550FA">
            <w:pPr>
              <w:pStyle w:val="P68B1DB1-Normal32"/>
              <w:spacing w:after="120" w:line="240" w:lineRule="auto"/>
              <w:ind w:left="52"/>
              <w:textAlignment w:val="baseline"/>
              <w:rPr>
                <w:noProof/>
              </w:rPr>
            </w:pPr>
            <w:r>
              <w:rPr>
                <w:noProof/>
              </w:rPr>
              <w:t xml:space="preserve">b) que des procédures sont en place pour l’établissement et la fiabilité des déclarations de gestion, des résumés d’audit et des demandes de paiement; </w:t>
            </w:r>
          </w:p>
          <w:p w14:paraId="1ECA92A8" w14:textId="77777777" w:rsidR="0023462A" w:rsidRDefault="00A550FA">
            <w:pPr>
              <w:pStyle w:val="P68B1DB1-Normal32"/>
              <w:spacing w:after="120" w:line="240" w:lineRule="auto"/>
              <w:ind w:left="52"/>
              <w:textAlignment w:val="baseline"/>
              <w:rPr>
                <w:noProof/>
              </w:rPr>
            </w:pPr>
            <w:r>
              <w:rPr>
                <w:noProof/>
              </w:rPr>
              <w:t xml:space="preserve">c) que des procédures sont en place pour collecter et stocker des données sur les bénéficiaires finaux, les contractants, les sous-traitants et les bénéficiaires effectifs conformément à l’article 22 du règlement (UE) 2021/241 établissant la facilité pour la reprise et la résilience; </w:t>
            </w:r>
          </w:p>
          <w:p w14:paraId="5C6909E7" w14:textId="77777777" w:rsidR="0023462A" w:rsidRDefault="00A550FA">
            <w:pPr>
              <w:pStyle w:val="P68B1DB1-Normal32"/>
              <w:spacing w:after="120" w:line="240" w:lineRule="auto"/>
              <w:ind w:left="52"/>
              <w:textAlignment w:val="baseline"/>
              <w:rPr>
                <w:noProof/>
              </w:rPr>
            </w:pPr>
            <w:r>
              <w:rPr>
                <w:noProof/>
              </w:rPr>
              <w:t xml:space="preserve">d) que des obligations claires en matière de conflits d’intérêts s’appliquent à l’ensemble du personnel participant à la mise en œuvre (y compris les actes préparatoires à celle-ci), au contrôle (y compris aux évaluateurs internes et externes dans les procédures de passation de marchés publics) et à l’audit du plan pour la reprise et la résilience, ainsi qu’aux bénéficiaires finaux, aux pouvoirs adjudicateurs, aux contractants, aux sous-traitants, ainsi qu’aux sociétés de conseil participant à la préparation et à la mise en œuvre des projets; </w:t>
            </w:r>
          </w:p>
          <w:p w14:paraId="44ADB8B6" w14:textId="77777777" w:rsidR="0023462A" w:rsidRDefault="00A550FA">
            <w:pPr>
              <w:pStyle w:val="P68B1DB1-Normal32"/>
              <w:spacing w:after="120" w:line="240" w:lineRule="auto"/>
              <w:ind w:left="52"/>
              <w:textAlignment w:val="baseline"/>
              <w:rPr>
                <w:noProof/>
              </w:rPr>
            </w:pPr>
            <w:r>
              <w:rPr>
                <w:noProof/>
              </w:rPr>
              <w:t xml:space="preserve">e) que les règles en matière de conflits d’intérêts traitent explicitement des situations impliquant une famille, une vie affective, des affinités politiques ou nationales, des intérêts économiques ou tout autre intérêt personnel direct ou indirect pouvant être perçu comme un conflit d’intérêts, conformément à l’article 61 du règlement (UE, Euratom) 2024/2509 et à la communication de la Commission y afférente («Orientations sur la prévention et la gestion des conflits d’intérêts au titre du règlement financier» [C 121/01]); </w:t>
            </w:r>
          </w:p>
          <w:p w14:paraId="5793F722" w14:textId="77777777" w:rsidR="0023462A" w:rsidRDefault="00A550FA">
            <w:pPr>
              <w:pStyle w:val="P68B1DB1-Normal32"/>
              <w:spacing w:after="120" w:line="240" w:lineRule="auto"/>
              <w:ind w:left="52"/>
              <w:textAlignment w:val="baseline"/>
              <w:rPr>
                <w:noProof/>
              </w:rPr>
            </w:pPr>
            <w:r>
              <w:rPr>
                <w:noProof/>
              </w:rPr>
              <w:t xml:space="preserve">f) que le personnel participant à la prise de décision concernant des projets individuels (en particulier les décisions relatives à l’éligibilité, à l’évaluation des risques, à la sélection des projets, aux procédures de contrôle intermédiaire et final, à la gestion des irrégularités et aux décisions liées à l’audit) est tenu de délivrer une déclaration d’absence de conflit d’intérêts au cas par cas, qui est conservée pendant au moins cinq ans; </w:t>
            </w:r>
          </w:p>
          <w:p w14:paraId="627CA519" w14:textId="77777777" w:rsidR="0023462A" w:rsidRDefault="00A550FA">
            <w:pPr>
              <w:pStyle w:val="P68B1DB1-Normal32"/>
              <w:spacing w:after="120" w:line="240" w:lineRule="auto"/>
              <w:ind w:left="52"/>
              <w:textAlignment w:val="baseline"/>
              <w:rPr>
                <w:noProof/>
              </w:rPr>
            </w:pPr>
            <w:r>
              <w:rPr>
                <w:noProof/>
              </w:rPr>
              <w:t>g) que la véracité des déclarations de conflit d’intérêts est régulièrement contrôlée et que les résultats de ces contrôles sont conservés pendant au moins cinq ans;</w:t>
            </w:r>
          </w:p>
          <w:p w14:paraId="62D69070" w14:textId="460E8503" w:rsidR="0023462A" w:rsidRDefault="00A550FA">
            <w:pPr>
              <w:pStyle w:val="P68B1DB1-Normal32"/>
              <w:spacing w:after="120" w:line="240" w:lineRule="auto"/>
              <w:ind w:left="52"/>
              <w:textAlignment w:val="baseline"/>
              <w:rPr>
                <w:noProof/>
              </w:rPr>
            </w:pPr>
            <w:r>
              <w:rPr>
                <w:noProof/>
              </w:rPr>
              <w:t>h) que ces organismes procèdent à des contrôles ex post complets afin de déterminer si toutes les règles applicables ont été respectées, en particulier en ce qui concerne la fraude, la corruption, les conflits d’intérêts et le double financement. Il est exigé que ces contrôles ex post couvrent un niveau suffisamment élevé de la population des conventions de financement signées et des marchés publics attribués pour des mesures du plan pour la reprise et la résilience, lorsque les conventions/contrats spécifiques, y compris les paiements, qui devraient être sélectionnés pour les contrôles ex post devraient être sélectionnés sur la base du risque. Il est en outre exigé que ces contrôles ex post utilisent les données et informations disponibles à la suite de la mise en œuvre des jalons 59, 63, 64 et 78 et examinent si l’approbation/l’attribution de ces accords/contrats respecte les obligations découlant de la législation visée au jalon 62. L’acte juridique prévoit que ces contrôles ex post sont effectués dans le respect de l’acte juridique visé au jalon 73.</w:t>
            </w:r>
          </w:p>
          <w:p w14:paraId="5C700927" w14:textId="77777777" w:rsidR="0023462A" w:rsidRDefault="00A550FA">
            <w:pPr>
              <w:pStyle w:val="P68B1DB1-Normal32"/>
              <w:spacing w:after="120" w:line="240" w:lineRule="auto"/>
              <w:ind w:left="52"/>
              <w:textAlignment w:val="baseline"/>
              <w:rPr>
                <w:noProof/>
              </w:rPr>
            </w:pPr>
            <w:r>
              <w:rPr>
                <w:noProof/>
              </w:rPr>
              <w:t>i) que des procédures de surveillance du personnel occupant des postes sensibles (telles que la gestion des irrégularités, les contrôles et l’évaluation des risques) soient en place;</w:t>
            </w:r>
          </w:p>
          <w:p w14:paraId="511C0FA8" w14:textId="77777777" w:rsidR="0023462A" w:rsidRDefault="00A550FA">
            <w:pPr>
              <w:pStyle w:val="P68B1DB1-Normal32"/>
              <w:spacing w:after="120" w:line="240" w:lineRule="auto"/>
              <w:ind w:left="52"/>
              <w:textAlignment w:val="baseline"/>
              <w:rPr>
                <w:noProof/>
              </w:rPr>
            </w:pPr>
            <w:r>
              <w:rPr>
                <w:noProof/>
              </w:rPr>
              <w:t>j) que les soumissionnaires ne participent pas aux appels d’offres dans le cadre des procédures de passation de marchés publics lorsqu’un conflit d’intérêts les concernant dans le cadre de cette offre spécifique est établi.</w:t>
            </w:r>
          </w:p>
          <w:p w14:paraId="06E0D946" w14:textId="3C918EDA" w:rsidR="0023462A" w:rsidRDefault="00A550FA">
            <w:pPr>
              <w:pStyle w:val="P68B1DB1-Normal32"/>
              <w:spacing w:after="120" w:line="240" w:lineRule="auto"/>
              <w:ind w:left="52"/>
              <w:textAlignment w:val="baseline"/>
              <w:rPr>
                <w:rFonts w:eastAsiaTheme="minorHAnsi"/>
                <w:noProof/>
              </w:rPr>
            </w:pPr>
            <w:r>
              <w:rPr>
                <w:noProof/>
              </w:rPr>
              <w:t>Le ou les actes juridiques relatifs à la gestion, au suivi, au contrôle et à l’audit des fonds au titre du règlement (UE) 2021/1060 en Hongrie prévoient les points d) à g) et i) à j) ci-dessus, où les dispositions du point d) s’appliquent également aux bénéficiaires des opérations.</w:t>
            </w:r>
          </w:p>
        </w:tc>
      </w:tr>
      <w:tr w:rsidR="0023462A" w14:paraId="46ECBD4C" w14:textId="77777777" w:rsidTr="009C289F">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vAlign w:val="center"/>
          </w:tcPr>
          <w:p w14:paraId="4428FE4B" w14:textId="3A5E4474" w:rsidR="0023462A" w:rsidRDefault="00A550FA">
            <w:pPr>
              <w:pStyle w:val="P68B1DB1-Normal32"/>
              <w:spacing w:after="120" w:line="240" w:lineRule="auto"/>
              <w:rPr>
                <w:rFonts w:eastAsiaTheme="minorHAnsi"/>
                <w:noProof/>
              </w:rPr>
            </w:pPr>
            <w:r>
              <w:rPr>
                <w:noProof/>
              </w:rPr>
              <w:t>76</w:t>
            </w:r>
          </w:p>
        </w:tc>
        <w:tc>
          <w:tcPr>
            <w:tcW w:w="1559" w:type="dxa"/>
            <w:tcBorders>
              <w:top w:val="nil"/>
              <w:left w:val="nil"/>
              <w:bottom w:val="single" w:sz="4" w:space="0" w:color="auto"/>
              <w:right w:val="single" w:sz="4" w:space="0" w:color="auto"/>
            </w:tcBorders>
            <w:shd w:val="clear" w:color="auto" w:fill="C6EFCE"/>
            <w:noWrap/>
            <w:vAlign w:val="center"/>
          </w:tcPr>
          <w:p w14:paraId="306BB15A" w14:textId="3611ADD1" w:rsidR="0023462A" w:rsidRDefault="00A550FA">
            <w:pPr>
              <w:pStyle w:val="P68B1DB1-Normal32"/>
              <w:spacing w:after="120" w:line="240" w:lineRule="auto"/>
              <w:ind w:left="52"/>
              <w:textAlignment w:val="baseline"/>
              <w:rPr>
                <w:noProof/>
              </w:rPr>
            </w:pPr>
            <w:r>
              <w:rPr>
                <w:noProof/>
              </w:rPr>
              <w:t>C8.R18 Modifications législatives renforçant les mécanismes de gestion, de suivi, d’audit et de contrôle afin de garantir la bonne utilisation du soutien de l’Union</w:t>
            </w:r>
          </w:p>
          <w:p w14:paraId="73B058A9" w14:textId="77777777" w:rsidR="0023462A" w:rsidRDefault="0023462A">
            <w:pPr>
              <w:spacing w:after="120" w:line="240" w:lineRule="auto"/>
              <w:rPr>
                <w:rFonts w:ascii="Times New Roman" w:eastAsiaTheme="minorHAnsi" w:hAnsi="Times New Roman" w:cs="Times New Roman"/>
                <w:noProof/>
                <w:sz w:val="18"/>
                <w:szCs w:val="18"/>
              </w:rPr>
            </w:pPr>
          </w:p>
        </w:tc>
        <w:tc>
          <w:tcPr>
            <w:tcW w:w="709" w:type="dxa"/>
            <w:tcBorders>
              <w:top w:val="nil"/>
              <w:left w:val="nil"/>
              <w:bottom w:val="single" w:sz="4" w:space="0" w:color="auto"/>
              <w:right w:val="single" w:sz="4" w:space="0" w:color="auto"/>
            </w:tcBorders>
            <w:shd w:val="clear" w:color="auto" w:fill="C6EFCE"/>
            <w:noWrap/>
            <w:vAlign w:val="center"/>
          </w:tcPr>
          <w:p w14:paraId="4F464E4B" w14:textId="2E7F8DBB" w:rsidR="0023462A" w:rsidRDefault="00A550FA">
            <w:pPr>
              <w:pStyle w:val="P68B1DB1-Normal32"/>
              <w:spacing w:after="120" w:line="240" w:lineRule="auto"/>
              <w:rPr>
                <w:rFonts w:eastAsiaTheme="minorHAnsi"/>
                <w:noProof/>
              </w:rPr>
            </w:pPr>
            <w:r>
              <w:rPr>
                <w:noProof/>
              </w:rPr>
              <w:t>Étape</w:t>
            </w:r>
          </w:p>
        </w:tc>
        <w:tc>
          <w:tcPr>
            <w:tcW w:w="1417" w:type="dxa"/>
            <w:tcBorders>
              <w:top w:val="nil"/>
              <w:left w:val="nil"/>
              <w:bottom w:val="single" w:sz="4" w:space="0" w:color="auto"/>
              <w:right w:val="single" w:sz="4" w:space="0" w:color="auto"/>
            </w:tcBorders>
            <w:shd w:val="clear" w:color="auto" w:fill="C6EFCE"/>
            <w:noWrap/>
            <w:vAlign w:val="center"/>
          </w:tcPr>
          <w:p w14:paraId="573679AC" w14:textId="6E6D1613" w:rsidR="0023462A" w:rsidRDefault="00A550FA">
            <w:pPr>
              <w:pStyle w:val="P68B1DB1-Normal32"/>
              <w:spacing w:after="120" w:line="240" w:lineRule="auto"/>
              <w:rPr>
                <w:rFonts w:eastAsiaTheme="minorHAnsi"/>
                <w:noProof/>
              </w:rPr>
            </w:pPr>
            <w:r>
              <w:rPr>
                <w:noProof/>
              </w:rPr>
              <w:t>Règles visant à garantir la prévention, la détection et la correction des conflits d’intérêts pour le personnel de tous les organismes participant à la gestion et au contrôle du soutien de l’Union en Hongrie</w:t>
            </w:r>
          </w:p>
        </w:tc>
        <w:tc>
          <w:tcPr>
            <w:tcW w:w="1701" w:type="dxa"/>
            <w:tcBorders>
              <w:top w:val="nil"/>
              <w:left w:val="nil"/>
              <w:bottom w:val="single" w:sz="4" w:space="0" w:color="auto"/>
              <w:right w:val="single" w:sz="4" w:space="0" w:color="auto"/>
            </w:tcBorders>
            <w:shd w:val="clear" w:color="auto" w:fill="C6EFCE"/>
            <w:noWrap/>
            <w:vAlign w:val="center"/>
          </w:tcPr>
          <w:p w14:paraId="69F4BA41" w14:textId="77777777" w:rsidR="0023462A" w:rsidRDefault="00A550FA">
            <w:pPr>
              <w:pStyle w:val="P68B1DB1-Normal32"/>
              <w:spacing w:after="120" w:line="240" w:lineRule="auto"/>
              <w:ind w:left="52"/>
              <w:textAlignment w:val="baseline"/>
              <w:rPr>
                <w:noProof/>
              </w:rPr>
            </w:pPr>
            <w:r>
              <w:rPr>
                <w:noProof/>
              </w:rPr>
              <w:t xml:space="preserve">Disposition de l'acte ou des actes juridiques indiquant son entrée en vigueur et l'adoption des procédures </w:t>
            </w:r>
          </w:p>
          <w:p w14:paraId="5FE6A0F0" w14:textId="77777777" w:rsidR="0023462A" w:rsidRDefault="0023462A">
            <w:pPr>
              <w:spacing w:after="120" w:line="240" w:lineRule="auto"/>
              <w:rPr>
                <w:rFonts w:ascii="Times New Roman" w:eastAsiaTheme="minorHAnsi" w:hAnsi="Times New Roman" w:cs="Times New Roman"/>
                <w:noProof/>
                <w:sz w:val="18"/>
                <w:szCs w:val="18"/>
              </w:rPr>
            </w:pPr>
          </w:p>
        </w:tc>
        <w:tc>
          <w:tcPr>
            <w:tcW w:w="1418" w:type="dxa"/>
            <w:tcBorders>
              <w:top w:val="nil"/>
              <w:left w:val="nil"/>
              <w:bottom w:val="single" w:sz="4" w:space="0" w:color="auto"/>
              <w:right w:val="single" w:sz="4" w:space="0" w:color="auto"/>
            </w:tcBorders>
            <w:shd w:val="clear" w:color="auto" w:fill="C6EFCE"/>
            <w:noWrap/>
            <w:vAlign w:val="center"/>
          </w:tcPr>
          <w:p w14:paraId="2DB8EEC8" w14:textId="77777777" w:rsidR="0023462A" w:rsidRDefault="0023462A">
            <w:pPr>
              <w:spacing w:after="120" w:line="240" w:lineRule="auto"/>
              <w:rPr>
                <w:rFonts w:ascii="Times New Roman" w:eastAsia="Calibri" w:hAnsi="Times New Roman" w:cs="Times New Roman"/>
                <w:noProof/>
                <w:sz w:val="18"/>
                <w:szCs w:val="18"/>
              </w:rPr>
            </w:pPr>
          </w:p>
        </w:tc>
        <w:tc>
          <w:tcPr>
            <w:tcW w:w="1417" w:type="dxa"/>
            <w:tcBorders>
              <w:top w:val="nil"/>
              <w:left w:val="nil"/>
              <w:bottom w:val="single" w:sz="4" w:space="0" w:color="auto"/>
              <w:right w:val="single" w:sz="4" w:space="0" w:color="auto"/>
            </w:tcBorders>
            <w:shd w:val="clear" w:color="auto" w:fill="C6EFCE"/>
            <w:noWrap/>
            <w:vAlign w:val="center"/>
          </w:tcPr>
          <w:p w14:paraId="2AAD2F19" w14:textId="77777777" w:rsidR="0023462A" w:rsidRDefault="0023462A">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vAlign w:val="center"/>
          </w:tcPr>
          <w:p w14:paraId="50F48DA6" w14:textId="77777777" w:rsidR="0023462A" w:rsidRDefault="0023462A">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50EB02A7" w14:textId="687A3DD3" w:rsidR="0023462A" w:rsidRDefault="00A550FA">
            <w:pPr>
              <w:pStyle w:val="P68B1DB1-Normal32"/>
              <w:spacing w:after="120" w:line="240" w:lineRule="auto"/>
              <w:rPr>
                <w:rFonts w:eastAsiaTheme="minorHAnsi"/>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62D1A957" w14:textId="5F4522FE" w:rsidR="0023462A" w:rsidRDefault="00A550FA">
            <w:pPr>
              <w:pStyle w:val="P68B1DB1-Normal32"/>
              <w:spacing w:after="120" w:line="240" w:lineRule="auto"/>
              <w:rPr>
                <w:rFonts w:eastAsiaTheme="minorHAnsi"/>
                <w:noProof/>
              </w:rPr>
            </w:pPr>
            <w:r>
              <w:rPr>
                <w:noProof/>
              </w:rPr>
              <w:t>2026</w:t>
            </w:r>
          </w:p>
        </w:tc>
        <w:tc>
          <w:tcPr>
            <w:tcW w:w="3713" w:type="dxa"/>
            <w:tcBorders>
              <w:top w:val="nil"/>
              <w:left w:val="nil"/>
              <w:bottom w:val="single" w:sz="4" w:space="0" w:color="auto"/>
              <w:right w:val="single" w:sz="4" w:space="0" w:color="auto"/>
            </w:tcBorders>
            <w:shd w:val="clear" w:color="auto" w:fill="C6EFCE"/>
            <w:noWrap/>
          </w:tcPr>
          <w:p w14:paraId="260BBCFF" w14:textId="77777777" w:rsidR="0023462A" w:rsidRDefault="00A550FA">
            <w:pPr>
              <w:pStyle w:val="P68B1DB1-Normal32"/>
              <w:spacing w:after="120" w:line="240" w:lineRule="auto"/>
              <w:ind w:left="52"/>
              <w:textAlignment w:val="baseline"/>
              <w:rPr>
                <w:noProof/>
              </w:rPr>
            </w:pPr>
            <w:r>
              <w:rPr>
                <w:noProof/>
              </w:rPr>
              <w:t xml:space="preserve">Entrée en vigueur du ou des actes juridiques prévoyant: </w:t>
            </w:r>
          </w:p>
          <w:p w14:paraId="2B5E43E7" w14:textId="77777777" w:rsidR="0023462A" w:rsidRDefault="00A550FA">
            <w:pPr>
              <w:pStyle w:val="P68B1DB1-ListParagraph43"/>
              <w:numPr>
                <w:ilvl w:val="0"/>
                <w:numId w:val="156"/>
              </w:numPr>
              <w:spacing w:after="120" w:line="240" w:lineRule="auto"/>
              <w:contextualSpacing w:val="0"/>
              <w:textAlignment w:val="baseline"/>
              <w:rPr>
                <w:noProof/>
              </w:rPr>
            </w:pPr>
            <w:r>
              <w:rPr>
                <w:noProof/>
              </w:rPr>
              <w:t xml:space="preserve">les dispositions relatives à la prévention, à la détection et à la correction des situations de conflit d’intérêts conformément à l’article 61 du règlement (UE, Euratom) 2024/2509 et à la communication de la Commission y afférente («Orientations sur la prévention et la gestion des conflits d’intérêts au titre du règlement financier» [C 121/01]). </w:t>
            </w:r>
          </w:p>
          <w:p w14:paraId="5A5FB069" w14:textId="77777777" w:rsidR="0023462A" w:rsidRDefault="00A550FA">
            <w:pPr>
              <w:pStyle w:val="P68B1DB1-ListParagraph43"/>
              <w:numPr>
                <w:ilvl w:val="0"/>
                <w:numId w:val="156"/>
              </w:numPr>
              <w:spacing w:after="120" w:line="240" w:lineRule="auto"/>
              <w:contextualSpacing w:val="0"/>
              <w:textAlignment w:val="baseline"/>
              <w:rPr>
                <w:noProof/>
              </w:rPr>
            </w:pPr>
            <w:r>
              <w:rPr>
                <w:noProof/>
              </w:rPr>
              <w:t xml:space="preserve">définissant les tâches et obligations des organismes participant à la gestion et au contrôle du soutien de l’Union en ce qui concerne leur rôle dans la prévention, la détection et la correction des situations de conflit d’intérêts. </w:t>
            </w:r>
          </w:p>
          <w:p w14:paraId="23FF8E87" w14:textId="77777777" w:rsidR="0023462A" w:rsidRDefault="00A550FA">
            <w:pPr>
              <w:pStyle w:val="P68B1DB1-ListParagraph43"/>
              <w:numPr>
                <w:ilvl w:val="0"/>
                <w:numId w:val="156"/>
              </w:numPr>
              <w:spacing w:after="120" w:line="240" w:lineRule="auto"/>
              <w:contextualSpacing w:val="0"/>
              <w:textAlignment w:val="baseline"/>
              <w:rPr>
                <w:noProof/>
              </w:rPr>
            </w:pPr>
            <w:r>
              <w:rPr>
                <w:noProof/>
              </w:rPr>
              <w:t xml:space="preserve">la base juridique et l’obligation pour ces organismes de mettre en place des procédures à cet effet. </w:t>
            </w:r>
          </w:p>
          <w:p w14:paraId="205A654B" w14:textId="1E0B977A" w:rsidR="0023462A" w:rsidRDefault="00A550FA">
            <w:pPr>
              <w:pStyle w:val="P68B1DB1-Normal32"/>
              <w:spacing w:after="120" w:line="240" w:lineRule="auto"/>
              <w:ind w:left="52"/>
              <w:textAlignment w:val="baseline"/>
              <w:rPr>
                <w:rFonts w:eastAsiaTheme="minorHAnsi"/>
                <w:noProof/>
              </w:rPr>
            </w:pPr>
            <w:r>
              <w:rPr>
                <w:noProof/>
              </w:rPr>
              <w:t>Ces procédures ont été adoptées.</w:t>
            </w:r>
          </w:p>
        </w:tc>
      </w:tr>
      <w:tr w:rsidR="0023462A" w14:paraId="10202586" w14:textId="77777777" w:rsidTr="009C289F">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vAlign w:val="center"/>
          </w:tcPr>
          <w:p w14:paraId="06FC35C0" w14:textId="455F6826" w:rsidR="0023462A" w:rsidRDefault="00A550FA">
            <w:pPr>
              <w:pStyle w:val="P68B1DB1-Normal32"/>
              <w:spacing w:after="120" w:line="240" w:lineRule="auto"/>
              <w:rPr>
                <w:rFonts w:eastAsiaTheme="minorHAnsi"/>
                <w:noProof/>
              </w:rPr>
            </w:pPr>
            <w:r>
              <w:rPr>
                <w:noProof/>
              </w:rPr>
              <w:t>77</w:t>
            </w:r>
          </w:p>
        </w:tc>
        <w:tc>
          <w:tcPr>
            <w:tcW w:w="1559" w:type="dxa"/>
            <w:tcBorders>
              <w:top w:val="nil"/>
              <w:left w:val="nil"/>
              <w:bottom w:val="single" w:sz="4" w:space="0" w:color="auto"/>
              <w:right w:val="single" w:sz="4" w:space="0" w:color="auto"/>
            </w:tcBorders>
            <w:shd w:val="clear" w:color="auto" w:fill="C6EFCE"/>
            <w:noWrap/>
            <w:vAlign w:val="center"/>
          </w:tcPr>
          <w:p w14:paraId="14A6ACBE" w14:textId="46814E7C" w:rsidR="0023462A" w:rsidRDefault="00A550FA">
            <w:pPr>
              <w:pStyle w:val="P68B1DB1-Normal32"/>
              <w:spacing w:after="120" w:line="240" w:lineRule="auto"/>
              <w:rPr>
                <w:noProof/>
              </w:rPr>
            </w:pPr>
            <w:r>
              <w:rPr>
                <w:noProof/>
              </w:rPr>
              <w:t>C8.R19 Stratégie de lutte contre la fraude et la corruption pour la mise en œuvre, l’audit et le contrôle du soutien de l’Union</w:t>
            </w:r>
          </w:p>
        </w:tc>
        <w:tc>
          <w:tcPr>
            <w:tcW w:w="709" w:type="dxa"/>
            <w:tcBorders>
              <w:top w:val="nil"/>
              <w:left w:val="nil"/>
              <w:bottom w:val="single" w:sz="4" w:space="0" w:color="auto"/>
              <w:right w:val="single" w:sz="4" w:space="0" w:color="auto"/>
            </w:tcBorders>
            <w:shd w:val="clear" w:color="auto" w:fill="C6EFCE"/>
            <w:noWrap/>
            <w:vAlign w:val="center"/>
          </w:tcPr>
          <w:p w14:paraId="593DAC05" w14:textId="23F8FD80" w:rsidR="0023462A" w:rsidRDefault="00A550FA">
            <w:pPr>
              <w:pStyle w:val="P68B1DB1-Normal32"/>
              <w:spacing w:after="120" w:line="240" w:lineRule="auto"/>
              <w:rPr>
                <w:rFonts w:eastAsiaTheme="minorHAnsi"/>
                <w:noProof/>
              </w:rPr>
            </w:pPr>
            <w:r>
              <w:rPr>
                <w:noProof/>
              </w:rPr>
              <w:t xml:space="preserve">Étape </w:t>
            </w:r>
          </w:p>
        </w:tc>
        <w:tc>
          <w:tcPr>
            <w:tcW w:w="1417" w:type="dxa"/>
            <w:tcBorders>
              <w:top w:val="nil"/>
              <w:left w:val="nil"/>
              <w:bottom w:val="single" w:sz="4" w:space="0" w:color="auto"/>
              <w:right w:val="single" w:sz="4" w:space="0" w:color="auto"/>
            </w:tcBorders>
            <w:shd w:val="clear" w:color="auto" w:fill="C6EFCE"/>
            <w:noWrap/>
            <w:vAlign w:val="center"/>
          </w:tcPr>
          <w:p w14:paraId="2DFD2218" w14:textId="2221DAA3" w:rsidR="0023462A" w:rsidRDefault="00A550FA">
            <w:pPr>
              <w:pStyle w:val="P68B1DB1-Normal32"/>
              <w:spacing w:after="120" w:line="240" w:lineRule="auto"/>
              <w:rPr>
                <w:rFonts w:eastAsiaTheme="minorHAnsi"/>
                <w:noProof/>
              </w:rPr>
            </w:pPr>
            <w:r>
              <w:rPr>
                <w:noProof/>
              </w:rPr>
              <w:t>Adoption d’une stratégie de lutte contre la fraude et la corruption pour le soutien de l’Union et d’un plan d’action connexe</w:t>
            </w:r>
          </w:p>
        </w:tc>
        <w:tc>
          <w:tcPr>
            <w:tcW w:w="1701" w:type="dxa"/>
            <w:tcBorders>
              <w:top w:val="nil"/>
              <w:left w:val="nil"/>
              <w:bottom w:val="single" w:sz="4" w:space="0" w:color="auto"/>
              <w:right w:val="single" w:sz="4" w:space="0" w:color="auto"/>
            </w:tcBorders>
            <w:shd w:val="clear" w:color="auto" w:fill="C6EFCE"/>
            <w:noWrap/>
            <w:vAlign w:val="center"/>
          </w:tcPr>
          <w:p w14:paraId="6311CA3C" w14:textId="07CD6F78" w:rsidR="0023462A" w:rsidRDefault="00A550FA">
            <w:pPr>
              <w:pStyle w:val="P68B1DB1-Normal32"/>
              <w:spacing w:after="120" w:line="240" w:lineRule="auto"/>
              <w:rPr>
                <w:rFonts w:eastAsiaTheme="minorHAnsi"/>
                <w:noProof/>
              </w:rPr>
            </w:pPr>
            <w:r>
              <w:rPr>
                <w:noProof/>
              </w:rPr>
              <w:t>Adoption d’une stratégie de lutte contre la fraude et la corruption pour le soutien de l’Union et du plan d’action correspondant</w:t>
            </w:r>
          </w:p>
        </w:tc>
        <w:tc>
          <w:tcPr>
            <w:tcW w:w="1418" w:type="dxa"/>
            <w:tcBorders>
              <w:top w:val="nil"/>
              <w:left w:val="nil"/>
              <w:bottom w:val="single" w:sz="4" w:space="0" w:color="auto"/>
              <w:right w:val="single" w:sz="4" w:space="0" w:color="auto"/>
            </w:tcBorders>
            <w:shd w:val="clear" w:color="auto" w:fill="C6EFCE"/>
            <w:noWrap/>
          </w:tcPr>
          <w:p w14:paraId="3C883FA1" w14:textId="77777777" w:rsidR="0023462A" w:rsidRDefault="0023462A">
            <w:pPr>
              <w:spacing w:after="120" w:line="240" w:lineRule="auto"/>
              <w:rPr>
                <w:rFonts w:ascii="Times New Roman" w:eastAsia="Calibri" w:hAnsi="Times New Roman" w:cs="Times New Roman"/>
                <w:noProof/>
                <w:sz w:val="18"/>
                <w:szCs w:val="18"/>
              </w:rPr>
            </w:pPr>
          </w:p>
        </w:tc>
        <w:tc>
          <w:tcPr>
            <w:tcW w:w="1417" w:type="dxa"/>
            <w:tcBorders>
              <w:top w:val="nil"/>
              <w:left w:val="nil"/>
              <w:bottom w:val="single" w:sz="4" w:space="0" w:color="auto"/>
              <w:right w:val="single" w:sz="4" w:space="0" w:color="auto"/>
            </w:tcBorders>
            <w:shd w:val="clear" w:color="auto" w:fill="C6EFCE"/>
            <w:noWrap/>
          </w:tcPr>
          <w:p w14:paraId="51FDE98A" w14:textId="77777777" w:rsidR="0023462A" w:rsidRDefault="0023462A">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tcPr>
          <w:p w14:paraId="14F53C1C" w14:textId="77777777" w:rsidR="0023462A" w:rsidRDefault="0023462A">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1F0FC402" w14:textId="2637B10D" w:rsidR="0023462A" w:rsidRDefault="00A550FA">
            <w:pPr>
              <w:pStyle w:val="P68B1DB1-Normal32"/>
              <w:spacing w:after="120" w:line="240" w:lineRule="auto"/>
              <w:rPr>
                <w:rFonts w:eastAsiaTheme="minorHAnsi"/>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3ADF3F4B" w14:textId="4B4C335F" w:rsidR="0023462A" w:rsidRDefault="00A550FA">
            <w:pPr>
              <w:pStyle w:val="P68B1DB1-Normal32"/>
              <w:spacing w:after="120" w:line="240" w:lineRule="auto"/>
              <w:rPr>
                <w:rFonts w:eastAsiaTheme="minorHAnsi"/>
                <w:noProof/>
              </w:rPr>
            </w:pPr>
            <w:r>
              <w:rPr>
                <w:noProof/>
              </w:rPr>
              <w:t>2026</w:t>
            </w:r>
          </w:p>
        </w:tc>
        <w:tc>
          <w:tcPr>
            <w:tcW w:w="3713" w:type="dxa"/>
            <w:tcBorders>
              <w:top w:val="nil"/>
              <w:left w:val="nil"/>
              <w:bottom w:val="single" w:sz="4" w:space="0" w:color="auto"/>
              <w:right w:val="single" w:sz="4" w:space="0" w:color="auto"/>
            </w:tcBorders>
            <w:shd w:val="clear" w:color="auto" w:fill="C6EFCE"/>
            <w:noWrap/>
          </w:tcPr>
          <w:p w14:paraId="4C256EFE" w14:textId="77777777" w:rsidR="0023462A" w:rsidRDefault="00A550FA">
            <w:pPr>
              <w:pStyle w:val="P68B1DB1-Normal32"/>
              <w:spacing w:after="120" w:line="240" w:lineRule="auto"/>
              <w:ind w:left="52"/>
              <w:textAlignment w:val="baseline"/>
              <w:rPr>
                <w:noProof/>
              </w:rPr>
            </w:pPr>
            <w:r>
              <w:rPr>
                <w:noProof/>
              </w:rPr>
              <w:t>Le gouvernement adopte une stratégie de lutte contre la fraude et la corruption pour l’ensemble du soutien de l’Union en fournissant:</w:t>
            </w:r>
          </w:p>
          <w:p w14:paraId="531FF5C4" w14:textId="77777777" w:rsidR="0023462A" w:rsidRDefault="00A550FA">
            <w:pPr>
              <w:pStyle w:val="P68B1DB1-Normal32"/>
              <w:spacing w:after="120" w:line="240" w:lineRule="auto"/>
              <w:ind w:left="52"/>
              <w:textAlignment w:val="baseline"/>
              <w:rPr>
                <w:noProof/>
              </w:rPr>
            </w:pPr>
            <w:r>
              <w:rPr>
                <w:noProof/>
              </w:rPr>
              <w:t xml:space="preserve">(i) les rôles et responsabilités liés à la prévention, à la détection et à la correction de la fraude, des conflits d’intérêts et de la corruption des différentes entités participant à la mise en œuvre du soutien financier de l’Union en Hongrie; </w:t>
            </w:r>
          </w:p>
          <w:p w14:paraId="0C2444D6" w14:textId="77777777" w:rsidR="0023462A" w:rsidRDefault="00A550FA">
            <w:pPr>
              <w:pStyle w:val="P68B1DB1-Normal32"/>
              <w:spacing w:after="120" w:line="240" w:lineRule="auto"/>
              <w:ind w:left="52"/>
              <w:textAlignment w:val="baseline"/>
              <w:rPr>
                <w:noProof/>
              </w:rPr>
            </w:pPr>
            <w:r>
              <w:rPr>
                <w:noProof/>
              </w:rPr>
              <w:t>ii) l’évaluation des principaux risques, facteurs et pratiques de fraude, de conflit d’intérêts et de corruption.</w:t>
            </w:r>
          </w:p>
          <w:p w14:paraId="6671770B" w14:textId="77777777" w:rsidR="0023462A" w:rsidRDefault="00A550FA">
            <w:pPr>
              <w:pStyle w:val="P68B1DB1-Normal32"/>
              <w:spacing w:after="120" w:line="240" w:lineRule="auto"/>
              <w:ind w:left="52"/>
              <w:textAlignment w:val="baseline"/>
              <w:rPr>
                <w:noProof/>
              </w:rPr>
            </w:pPr>
            <w:r>
              <w:rPr>
                <w:noProof/>
              </w:rPr>
              <w:t xml:space="preserve">Un plan d'action lié à la stratégie susmentionnée est adopté par le gouvernement qui: </w:t>
            </w:r>
          </w:p>
          <w:p w14:paraId="218BED6D" w14:textId="29F0CEC5" w:rsidR="0023462A" w:rsidRDefault="00A550FA">
            <w:pPr>
              <w:pStyle w:val="P68B1DB1-Normal32"/>
              <w:spacing w:after="120" w:line="240" w:lineRule="auto"/>
              <w:ind w:left="52"/>
              <w:textAlignment w:val="baseline"/>
              <w:rPr>
                <w:rFonts w:eastAsiaTheme="minorHAnsi"/>
                <w:noProof/>
              </w:rPr>
            </w:pPr>
            <w:r>
              <w:rPr>
                <w:noProof/>
              </w:rPr>
              <w:t>i) définir des actions; ii) fixer des délais pour la réalisation de chacune des actions; iii) identifier, pour chacune des actions, le ou les organismes responsables de sa mise en œuvre; iv) définir des indicateurs permettant de mesurer les progrès accomplis dans la mise en œuvre de chacune des actions; v) définit les modalités du réexamen régulier des actions.</w:t>
            </w:r>
          </w:p>
        </w:tc>
      </w:tr>
      <w:tr w:rsidR="0023462A" w14:paraId="44449C4F" w14:textId="77777777" w:rsidTr="009C289F">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vAlign w:val="center"/>
          </w:tcPr>
          <w:p w14:paraId="2464C142" w14:textId="65ADA301" w:rsidR="0023462A" w:rsidRDefault="00A550FA">
            <w:pPr>
              <w:pStyle w:val="P68B1DB1-Normal32"/>
              <w:spacing w:after="120" w:line="240" w:lineRule="auto"/>
              <w:rPr>
                <w:rFonts w:eastAsiaTheme="minorHAnsi"/>
                <w:noProof/>
              </w:rPr>
            </w:pPr>
            <w:r>
              <w:rPr>
                <w:noProof/>
              </w:rPr>
              <w:t>78</w:t>
            </w:r>
          </w:p>
        </w:tc>
        <w:tc>
          <w:tcPr>
            <w:tcW w:w="1559" w:type="dxa"/>
            <w:tcBorders>
              <w:top w:val="nil"/>
              <w:left w:val="nil"/>
              <w:bottom w:val="single" w:sz="4" w:space="0" w:color="auto"/>
              <w:right w:val="single" w:sz="4" w:space="0" w:color="auto"/>
            </w:tcBorders>
            <w:shd w:val="clear" w:color="auto" w:fill="C6EFCE"/>
            <w:noWrap/>
            <w:vAlign w:val="center"/>
          </w:tcPr>
          <w:p w14:paraId="4856BBB8" w14:textId="75430EAC" w:rsidR="0023462A" w:rsidRDefault="00A550FA">
            <w:pPr>
              <w:pStyle w:val="P68B1DB1-Normal32"/>
              <w:spacing w:after="120" w:line="240" w:lineRule="auto"/>
              <w:rPr>
                <w:rFonts w:eastAsiaTheme="minorHAnsi"/>
                <w:noProof/>
              </w:rPr>
            </w:pPr>
            <w:r>
              <w:rPr>
                <w:noProof/>
              </w:rPr>
              <w:t>C8.R20 Le système Arachne pour le soutien de l'Union</w:t>
            </w:r>
          </w:p>
        </w:tc>
        <w:tc>
          <w:tcPr>
            <w:tcW w:w="709" w:type="dxa"/>
            <w:tcBorders>
              <w:top w:val="nil"/>
              <w:left w:val="nil"/>
              <w:bottom w:val="single" w:sz="4" w:space="0" w:color="auto"/>
              <w:right w:val="single" w:sz="4" w:space="0" w:color="auto"/>
            </w:tcBorders>
            <w:shd w:val="clear" w:color="auto" w:fill="C6EFCE"/>
            <w:noWrap/>
            <w:vAlign w:val="center"/>
          </w:tcPr>
          <w:p w14:paraId="426C6B45" w14:textId="2D8567B8" w:rsidR="0023462A" w:rsidRDefault="00A550FA">
            <w:pPr>
              <w:pStyle w:val="P68B1DB1-Normal32"/>
              <w:spacing w:after="120" w:line="240" w:lineRule="auto"/>
              <w:rPr>
                <w:rFonts w:eastAsiaTheme="minorHAnsi"/>
                <w:noProof/>
              </w:rPr>
            </w:pPr>
            <w:r>
              <w:rPr>
                <w:noProof/>
              </w:rPr>
              <w:t>Étape</w:t>
            </w:r>
          </w:p>
        </w:tc>
        <w:tc>
          <w:tcPr>
            <w:tcW w:w="1417" w:type="dxa"/>
            <w:tcBorders>
              <w:top w:val="nil"/>
              <w:left w:val="nil"/>
              <w:bottom w:val="single" w:sz="4" w:space="0" w:color="auto"/>
              <w:right w:val="single" w:sz="4" w:space="0" w:color="auto"/>
            </w:tcBorders>
            <w:shd w:val="clear" w:color="auto" w:fill="C6EFCE"/>
            <w:noWrap/>
            <w:vAlign w:val="center"/>
          </w:tcPr>
          <w:p w14:paraId="545BFF58" w14:textId="4836237F" w:rsidR="0023462A" w:rsidRDefault="00A550FA">
            <w:pPr>
              <w:pStyle w:val="P68B1DB1-Normal32"/>
              <w:spacing w:after="120" w:line="240" w:lineRule="auto"/>
              <w:rPr>
                <w:rFonts w:eastAsiaTheme="minorHAnsi"/>
                <w:noProof/>
              </w:rPr>
            </w:pPr>
            <w:r>
              <w:rPr>
                <w:noProof/>
              </w:rPr>
              <w:t>L'utilisation systématique de l'outil de notation des risques Arachne</w:t>
            </w:r>
          </w:p>
        </w:tc>
        <w:tc>
          <w:tcPr>
            <w:tcW w:w="1701" w:type="dxa"/>
            <w:tcBorders>
              <w:top w:val="nil"/>
              <w:left w:val="nil"/>
              <w:bottom w:val="single" w:sz="4" w:space="0" w:color="auto"/>
              <w:right w:val="single" w:sz="4" w:space="0" w:color="auto"/>
            </w:tcBorders>
            <w:shd w:val="clear" w:color="auto" w:fill="C6EFCE"/>
            <w:noWrap/>
            <w:vAlign w:val="center"/>
          </w:tcPr>
          <w:p w14:paraId="685FC588" w14:textId="08239A3D" w:rsidR="0023462A" w:rsidRDefault="00A550FA">
            <w:pPr>
              <w:pStyle w:val="P68B1DB1-Normal32"/>
              <w:spacing w:after="120" w:line="240" w:lineRule="auto"/>
              <w:rPr>
                <w:rFonts w:eastAsiaTheme="minorHAnsi"/>
                <w:noProof/>
              </w:rPr>
            </w:pPr>
            <w:r>
              <w:rPr>
                <w:noProof/>
              </w:rPr>
              <w:t xml:space="preserve">Entrée en vigueur de dispositions législatives garantissant l’utilisation systématique de l’outil de notation des risques Arachne </w:t>
            </w:r>
          </w:p>
        </w:tc>
        <w:tc>
          <w:tcPr>
            <w:tcW w:w="1418" w:type="dxa"/>
            <w:tcBorders>
              <w:top w:val="nil"/>
              <w:left w:val="nil"/>
              <w:bottom w:val="single" w:sz="4" w:space="0" w:color="auto"/>
              <w:right w:val="single" w:sz="4" w:space="0" w:color="auto"/>
            </w:tcBorders>
            <w:shd w:val="clear" w:color="auto" w:fill="C6EFCE"/>
            <w:noWrap/>
          </w:tcPr>
          <w:p w14:paraId="3D29E832" w14:textId="77777777" w:rsidR="0023462A" w:rsidRDefault="0023462A">
            <w:pPr>
              <w:spacing w:after="120" w:line="240" w:lineRule="auto"/>
              <w:rPr>
                <w:rFonts w:ascii="Times New Roman" w:eastAsia="Calibri" w:hAnsi="Times New Roman" w:cs="Times New Roman"/>
                <w:noProof/>
                <w:sz w:val="18"/>
                <w:szCs w:val="18"/>
              </w:rPr>
            </w:pPr>
          </w:p>
        </w:tc>
        <w:tc>
          <w:tcPr>
            <w:tcW w:w="1417" w:type="dxa"/>
            <w:tcBorders>
              <w:top w:val="nil"/>
              <w:left w:val="nil"/>
              <w:bottom w:val="single" w:sz="4" w:space="0" w:color="auto"/>
              <w:right w:val="single" w:sz="4" w:space="0" w:color="auto"/>
            </w:tcBorders>
            <w:shd w:val="clear" w:color="auto" w:fill="C6EFCE"/>
            <w:noWrap/>
          </w:tcPr>
          <w:p w14:paraId="0BBD8E53" w14:textId="77777777" w:rsidR="0023462A" w:rsidRDefault="0023462A">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tcPr>
          <w:p w14:paraId="0209B68F" w14:textId="77777777" w:rsidR="0023462A" w:rsidRDefault="0023462A">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49AD4C76" w14:textId="043F6C1D" w:rsidR="0023462A" w:rsidRDefault="00A550FA">
            <w:pPr>
              <w:pStyle w:val="P68B1DB1-Normal32"/>
              <w:spacing w:after="120" w:line="240" w:lineRule="auto"/>
              <w:rPr>
                <w:rFonts w:eastAsiaTheme="minorHAnsi"/>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185B33C6" w14:textId="33F333BF" w:rsidR="0023462A" w:rsidRDefault="00A550FA">
            <w:pPr>
              <w:pStyle w:val="P68B1DB1-Normal32"/>
              <w:spacing w:after="120" w:line="240" w:lineRule="auto"/>
              <w:rPr>
                <w:rFonts w:eastAsiaTheme="minorHAnsi"/>
                <w:noProof/>
              </w:rPr>
            </w:pPr>
            <w:r>
              <w:rPr>
                <w:noProof/>
              </w:rPr>
              <w:t>2026</w:t>
            </w:r>
          </w:p>
        </w:tc>
        <w:tc>
          <w:tcPr>
            <w:tcW w:w="3713" w:type="dxa"/>
            <w:tcBorders>
              <w:top w:val="nil"/>
              <w:left w:val="nil"/>
              <w:bottom w:val="single" w:sz="4" w:space="0" w:color="auto"/>
              <w:right w:val="single" w:sz="4" w:space="0" w:color="auto"/>
            </w:tcBorders>
            <w:shd w:val="clear" w:color="auto" w:fill="C6EFCE"/>
            <w:noWrap/>
            <w:vAlign w:val="center"/>
          </w:tcPr>
          <w:p w14:paraId="1B019B3C" w14:textId="5F45E9B7" w:rsidR="0023462A" w:rsidRDefault="00A550FA">
            <w:pPr>
              <w:pStyle w:val="P68B1DB1-Normal32"/>
              <w:spacing w:after="120" w:line="240" w:lineRule="auto"/>
              <w:ind w:left="52"/>
              <w:textAlignment w:val="baseline"/>
              <w:rPr>
                <w:rFonts w:eastAsia="Times New Roman"/>
                <w:noProof/>
              </w:rPr>
            </w:pPr>
            <w:r>
              <w:rPr>
                <w:noProof/>
              </w:rPr>
              <w:t xml:space="preserve">Entrée en vigueur de dispositions législatives prévoyant l’obligation d’utiliser les fonctionnalités de l’outil de notation des risques Arachne dans la gestion, le contrôle et l’audit du plan pour la reprise et la résilience, ainsi que le soutien de l’Union au titre des fonds du règlement (UE) 2021/1060, à l’exception du soutien au titre de l’objectif «Coopération territoriale européenne» et du règlement (UE) 2021/2115 en Hongrie. </w:t>
            </w:r>
          </w:p>
          <w:p w14:paraId="27AD15A1" w14:textId="77777777" w:rsidR="0023462A" w:rsidRDefault="00A550FA">
            <w:pPr>
              <w:pStyle w:val="P68B1DB1-Normal32"/>
              <w:spacing w:after="120" w:line="240" w:lineRule="auto"/>
              <w:ind w:left="52"/>
              <w:textAlignment w:val="baseline"/>
              <w:rPr>
                <w:rFonts w:eastAsia="Times New Roman"/>
                <w:noProof/>
              </w:rPr>
            </w:pPr>
            <w:r>
              <w:rPr>
                <w:noProof/>
              </w:rPr>
              <w:t>Les dispositions législatives prévoient:</w:t>
            </w:r>
          </w:p>
          <w:p w14:paraId="36238A3F" w14:textId="77777777" w:rsidR="0023462A" w:rsidRDefault="00A550FA">
            <w:pPr>
              <w:pStyle w:val="P68B1DB1-Normal32"/>
              <w:spacing w:after="120" w:line="240" w:lineRule="auto"/>
              <w:ind w:left="52"/>
              <w:textAlignment w:val="baseline"/>
              <w:rPr>
                <w:rFonts w:eastAsia="Times New Roman"/>
                <w:noProof/>
              </w:rPr>
            </w:pPr>
            <w:r>
              <w:rPr>
                <w:noProof/>
              </w:rPr>
              <w:t xml:space="preserve">(i) l’obligation pour les autorités de charger tous les deux mois dans le système Arachne toutes les données relatives aux champs de données définis dans la réglementation de l’UE applicable en temps utile, conformément aux procédures à élaborer; </w:t>
            </w:r>
          </w:p>
          <w:p w14:paraId="0C7B54AD" w14:textId="4F2C9175" w:rsidR="0023462A" w:rsidRDefault="00A550FA">
            <w:pPr>
              <w:pStyle w:val="P68B1DB1-Normal32"/>
              <w:spacing w:after="120" w:line="240" w:lineRule="auto"/>
              <w:ind w:left="52"/>
              <w:textAlignment w:val="baseline"/>
              <w:rPr>
                <w:rFonts w:eastAsia="Times New Roman"/>
                <w:noProof/>
              </w:rPr>
            </w:pPr>
            <w:r>
              <w:rPr>
                <w:noProof/>
              </w:rPr>
              <w:t xml:space="preserve">ii) l’obligation pour les autorités d’effectuer des contrôles supplémentaires dans le cas où l’outil de notation des risques d’Arachne – y compris pour la vérification ex ante des demandeurs – signale un risque, et sont tenues de tenir compte des résultats de notation des risques générés par l’outil de notation des risques d’Arachne dans leurs procédures décisionnelles; </w:t>
            </w:r>
          </w:p>
          <w:p w14:paraId="726C36C1" w14:textId="77777777" w:rsidR="0023462A" w:rsidRDefault="00A550FA">
            <w:pPr>
              <w:pStyle w:val="P68B1DB1-Normal32"/>
              <w:spacing w:after="120" w:line="240" w:lineRule="auto"/>
              <w:ind w:left="52"/>
              <w:textAlignment w:val="baseline"/>
              <w:rPr>
                <w:noProof/>
              </w:rPr>
            </w:pPr>
            <w:r>
              <w:rPr>
                <w:noProof/>
              </w:rPr>
              <w:t>iii) que les organismes d’audit respectifs en Hongrie et dans les services et organismes de contrôle compétents de la Commission aient pleinement accès aux fonctionnalités de l’outil de notation des risques Arachne aux fins de leur évaluation des risques et aux données du système; et</w:t>
            </w:r>
          </w:p>
          <w:p w14:paraId="7DDDE26E" w14:textId="6B3A898B" w:rsidR="0023462A" w:rsidRDefault="00A550FA">
            <w:pPr>
              <w:pStyle w:val="P68B1DB1-Normal32"/>
              <w:spacing w:after="120" w:line="240" w:lineRule="auto"/>
              <w:ind w:left="52"/>
              <w:textAlignment w:val="baseline"/>
              <w:rPr>
                <w:rFonts w:eastAsiaTheme="minorHAnsi"/>
                <w:noProof/>
              </w:rPr>
            </w:pPr>
            <w:r>
              <w:rPr>
                <w:noProof/>
              </w:rPr>
              <w:t>iv) l’obligation pour les autorités d’élaborer des procédures définissant des exigences détaillées pour l’utilisation pratique de l’outil de notation des risques Arachne et le téléchargement en temps utile et complet de données dans celui-ci.</w:t>
            </w:r>
          </w:p>
        </w:tc>
      </w:tr>
      <w:tr w:rsidR="0023462A" w14:paraId="214AE2AC" w14:textId="77777777" w:rsidTr="009C289F">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vAlign w:val="center"/>
          </w:tcPr>
          <w:p w14:paraId="26D25056" w14:textId="265FB6D6" w:rsidR="0023462A" w:rsidRDefault="00A550FA">
            <w:pPr>
              <w:pStyle w:val="P68B1DB1-Normal32"/>
              <w:spacing w:after="120" w:line="240" w:lineRule="auto"/>
              <w:rPr>
                <w:rFonts w:eastAsiaTheme="minorHAnsi"/>
                <w:noProof/>
              </w:rPr>
            </w:pPr>
            <w:r>
              <w:rPr>
                <w:noProof/>
              </w:rPr>
              <w:t>79</w:t>
            </w:r>
          </w:p>
        </w:tc>
        <w:tc>
          <w:tcPr>
            <w:tcW w:w="1559" w:type="dxa"/>
            <w:tcBorders>
              <w:top w:val="nil"/>
              <w:left w:val="nil"/>
              <w:bottom w:val="single" w:sz="4" w:space="0" w:color="auto"/>
              <w:right w:val="single" w:sz="4" w:space="0" w:color="auto"/>
            </w:tcBorders>
            <w:shd w:val="clear" w:color="auto" w:fill="C6EFCE"/>
            <w:noWrap/>
            <w:vAlign w:val="center"/>
          </w:tcPr>
          <w:p w14:paraId="6D60B9D2" w14:textId="5FFC9321" w:rsidR="0023462A" w:rsidRDefault="00A550FA">
            <w:pPr>
              <w:pStyle w:val="P68B1DB1-Normal32"/>
              <w:spacing w:after="120" w:line="240" w:lineRule="auto"/>
              <w:ind w:left="52"/>
              <w:textAlignment w:val="baseline"/>
              <w:rPr>
                <w:rFonts w:eastAsiaTheme="minorHAnsi"/>
                <w:noProof/>
              </w:rPr>
            </w:pPr>
            <w:r>
              <w:rPr>
                <w:noProof/>
              </w:rPr>
              <w:t>C8.R20 Le système Arachne pour le soutien de l'Union</w:t>
            </w:r>
          </w:p>
        </w:tc>
        <w:tc>
          <w:tcPr>
            <w:tcW w:w="709" w:type="dxa"/>
            <w:tcBorders>
              <w:top w:val="nil"/>
              <w:left w:val="nil"/>
              <w:bottom w:val="single" w:sz="4" w:space="0" w:color="auto"/>
              <w:right w:val="single" w:sz="4" w:space="0" w:color="auto"/>
            </w:tcBorders>
            <w:shd w:val="clear" w:color="auto" w:fill="C6EFCE"/>
            <w:noWrap/>
            <w:vAlign w:val="center"/>
          </w:tcPr>
          <w:p w14:paraId="32C5B18A" w14:textId="67AA503B" w:rsidR="0023462A" w:rsidRDefault="00A550FA">
            <w:pPr>
              <w:pStyle w:val="P68B1DB1-Normal32"/>
              <w:spacing w:after="120" w:line="240" w:lineRule="auto"/>
              <w:rPr>
                <w:rFonts w:eastAsiaTheme="minorHAnsi"/>
                <w:noProof/>
              </w:rPr>
            </w:pPr>
            <w:r>
              <w:rPr>
                <w:noProof/>
              </w:rPr>
              <w:t>Étape</w:t>
            </w:r>
          </w:p>
        </w:tc>
        <w:tc>
          <w:tcPr>
            <w:tcW w:w="1417" w:type="dxa"/>
            <w:tcBorders>
              <w:top w:val="nil"/>
              <w:left w:val="nil"/>
              <w:bottom w:val="single" w:sz="4" w:space="0" w:color="auto"/>
              <w:right w:val="single" w:sz="4" w:space="0" w:color="auto"/>
            </w:tcBorders>
            <w:shd w:val="clear" w:color="auto" w:fill="C6EFCE"/>
            <w:noWrap/>
            <w:vAlign w:val="center"/>
          </w:tcPr>
          <w:p w14:paraId="6538C589" w14:textId="0BD4D4D5" w:rsidR="0023462A" w:rsidRDefault="00A550FA">
            <w:pPr>
              <w:pStyle w:val="P68B1DB1-Normal32"/>
              <w:spacing w:after="120" w:line="240" w:lineRule="auto"/>
              <w:rPr>
                <w:rFonts w:eastAsiaTheme="minorHAnsi"/>
                <w:noProof/>
              </w:rPr>
            </w:pPr>
            <w:r>
              <w:rPr>
                <w:noProof/>
              </w:rPr>
              <w:t>L'utilisation systématique de l'outil de notation des risques Arachne</w:t>
            </w:r>
          </w:p>
        </w:tc>
        <w:tc>
          <w:tcPr>
            <w:tcW w:w="1701" w:type="dxa"/>
            <w:tcBorders>
              <w:top w:val="nil"/>
              <w:left w:val="nil"/>
              <w:bottom w:val="single" w:sz="4" w:space="0" w:color="auto"/>
              <w:right w:val="single" w:sz="4" w:space="0" w:color="auto"/>
            </w:tcBorders>
            <w:shd w:val="clear" w:color="auto" w:fill="C6EFCE"/>
            <w:noWrap/>
            <w:vAlign w:val="center"/>
          </w:tcPr>
          <w:p w14:paraId="4DFF00C5" w14:textId="7EF5AA58" w:rsidR="0023462A" w:rsidRDefault="00A550FA">
            <w:pPr>
              <w:pStyle w:val="P68B1DB1-Normal32"/>
              <w:spacing w:after="120" w:line="240" w:lineRule="auto"/>
              <w:rPr>
                <w:rFonts w:eastAsiaTheme="minorHAnsi"/>
                <w:noProof/>
              </w:rPr>
            </w:pPr>
            <w:r>
              <w:rPr>
                <w:noProof/>
              </w:rPr>
              <w:t>Rapport d’audit confirmant l’adéquation des procédures relatives à l’utilisation systématique et efficace de l’outil de notation des risques d’Arachne et l’exhaustivité des données téléchargées sur Arachne</w:t>
            </w:r>
          </w:p>
        </w:tc>
        <w:tc>
          <w:tcPr>
            <w:tcW w:w="1418" w:type="dxa"/>
            <w:tcBorders>
              <w:top w:val="nil"/>
              <w:left w:val="nil"/>
              <w:bottom w:val="single" w:sz="4" w:space="0" w:color="auto"/>
              <w:right w:val="single" w:sz="4" w:space="0" w:color="auto"/>
            </w:tcBorders>
            <w:shd w:val="clear" w:color="auto" w:fill="C6EFCE"/>
            <w:noWrap/>
          </w:tcPr>
          <w:p w14:paraId="4ACD63E7" w14:textId="77777777" w:rsidR="0023462A" w:rsidRDefault="0023462A">
            <w:pPr>
              <w:spacing w:after="120" w:line="240" w:lineRule="auto"/>
              <w:rPr>
                <w:rFonts w:ascii="Times New Roman" w:eastAsia="Calibri" w:hAnsi="Times New Roman" w:cs="Times New Roman"/>
                <w:noProof/>
                <w:sz w:val="18"/>
                <w:szCs w:val="18"/>
              </w:rPr>
            </w:pPr>
          </w:p>
        </w:tc>
        <w:tc>
          <w:tcPr>
            <w:tcW w:w="1417" w:type="dxa"/>
            <w:tcBorders>
              <w:top w:val="nil"/>
              <w:left w:val="nil"/>
              <w:bottom w:val="single" w:sz="4" w:space="0" w:color="auto"/>
              <w:right w:val="single" w:sz="4" w:space="0" w:color="auto"/>
            </w:tcBorders>
            <w:shd w:val="clear" w:color="auto" w:fill="C6EFCE"/>
            <w:noWrap/>
          </w:tcPr>
          <w:p w14:paraId="447E62B2" w14:textId="77777777" w:rsidR="0023462A" w:rsidRDefault="0023462A">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tcPr>
          <w:p w14:paraId="3F9D0EF8" w14:textId="77777777" w:rsidR="0023462A" w:rsidRDefault="0023462A">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075424CD" w14:textId="371E2478" w:rsidR="0023462A" w:rsidRDefault="00A550FA">
            <w:pPr>
              <w:pStyle w:val="P68B1DB1-Normal32"/>
              <w:spacing w:after="120" w:line="240" w:lineRule="auto"/>
              <w:rPr>
                <w:rFonts w:eastAsiaTheme="minorHAnsi"/>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421484BE" w14:textId="6BC59DA6" w:rsidR="0023462A" w:rsidRDefault="00A550FA">
            <w:pPr>
              <w:pStyle w:val="P68B1DB1-Normal32"/>
              <w:spacing w:after="120" w:line="240" w:lineRule="auto"/>
              <w:rPr>
                <w:rFonts w:eastAsiaTheme="minorHAnsi"/>
                <w:noProof/>
              </w:rPr>
            </w:pPr>
            <w:r>
              <w:rPr>
                <w:noProof/>
              </w:rPr>
              <w:t>2026</w:t>
            </w:r>
          </w:p>
        </w:tc>
        <w:tc>
          <w:tcPr>
            <w:tcW w:w="3713" w:type="dxa"/>
            <w:tcBorders>
              <w:top w:val="nil"/>
              <w:left w:val="nil"/>
              <w:bottom w:val="single" w:sz="4" w:space="0" w:color="auto"/>
              <w:right w:val="single" w:sz="4" w:space="0" w:color="auto"/>
            </w:tcBorders>
            <w:shd w:val="clear" w:color="auto" w:fill="C6EFCE"/>
            <w:noWrap/>
            <w:vAlign w:val="center"/>
          </w:tcPr>
          <w:p w14:paraId="008A95E6" w14:textId="7FC20251" w:rsidR="0023462A" w:rsidRDefault="00A550FA">
            <w:pPr>
              <w:pStyle w:val="P68B1DB1-Normal32"/>
              <w:spacing w:after="120" w:line="240" w:lineRule="auto"/>
              <w:ind w:left="52"/>
              <w:textAlignment w:val="baseline"/>
              <w:rPr>
                <w:noProof/>
              </w:rPr>
            </w:pPr>
            <w:r>
              <w:rPr>
                <w:noProof/>
              </w:rPr>
              <w:t xml:space="preserve">En ce qui concerne le plan pour la reprise et la résilience et le soutien de l’Union au titre des fonds au titre du règlement (UE) 2021/1060, à l’exception du soutien au titre de l’objectif «Coopération territoriale européenne», un rapport d’audit assorti d’un avis d’audit sans réserve de l’autorité d’audit (EUTAF) vérifie que: </w:t>
            </w:r>
          </w:p>
          <w:p w14:paraId="5FA5552C" w14:textId="3643AC3C" w:rsidR="0023462A" w:rsidRDefault="00A550FA">
            <w:pPr>
              <w:pStyle w:val="P68B1DB1-Normal32"/>
              <w:spacing w:after="120" w:line="240" w:lineRule="auto"/>
              <w:ind w:left="52"/>
              <w:textAlignment w:val="baseline"/>
              <w:rPr>
                <w:noProof/>
              </w:rPr>
            </w:pPr>
            <w:r>
              <w:rPr>
                <w:noProof/>
              </w:rPr>
              <w:t>(i) le caractère approprié des procédures définies au jalon 78 garantit le téléchargement d’un ensemble complet d’informations tous les deux mois;</w:t>
            </w:r>
          </w:p>
          <w:p w14:paraId="64C150CD" w14:textId="77777777" w:rsidR="0023462A" w:rsidRDefault="00A550FA">
            <w:pPr>
              <w:pStyle w:val="P68B1DB1-Normal32"/>
              <w:spacing w:after="120" w:line="240" w:lineRule="auto"/>
              <w:ind w:left="52"/>
              <w:textAlignment w:val="baseline"/>
              <w:rPr>
                <w:noProof/>
              </w:rPr>
            </w:pPr>
            <w:r>
              <w:rPr>
                <w:noProof/>
              </w:rPr>
              <w:t xml:space="preserve">ii) les données énoncées dans le droit de l’Union applicable ont effectivement été téléchargées dans leur intégralité dans Arachne: et </w:t>
            </w:r>
          </w:p>
          <w:p w14:paraId="6745A947" w14:textId="77777777" w:rsidR="0023462A" w:rsidRDefault="00A550FA">
            <w:pPr>
              <w:pStyle w:val="P68B1DB1-Normal32"/>
              <w:spacing w:after="120" w:line="240" w:lineRule="auto"/>
              <w:ind w:left="52"/>
              <w:textAlignment w:val="baseline"/>
              <w:rPr>
                <w:noProof/>
              </w:rPr>
            </w:pPr>
            <w:r>
              <w:rPr>
                <w:noProof/>
              </w:rPr>
              <w:t>iii) les organismes nationaux mettent en place des dispositifs pour assurer le suivi systématique et régulier de la notation des risques générée par le système Arachne.</w:t>
            </w:r>
          </w:p>
          <w:p w14:paraId="283556AD" w14:textId="1F6D3DD7" w:rsidR="0023462A" w:rsidRDefault="00A550FA">
            <w:pPr>
              <w:pStyle w:val="P68B1DB1-Normal32"/>
              <w:spacing w:after="120" w:line="240" w:lineRule="auto"/>
              <w:ind w:left="52"/>
              <w:textAlignment w:val="baseline"/>
              <w:rPr>
                <w:rFonts w:eastAsiaTheme="minorHAnsi"/>
                <w:noProof/>
              </w:rPr>
            </w:pPr>
            <w:r>
              <w:rPr>
                <w:noProof/>
              </w:rPr>
              <w:t>En ce qui concerne les fonds au titre du règlement (UE) 2021/2115 en Hongrie, un plan d’action est adopté pour appliquer les mêmes procédures que celles décrites ci-dessus.</w:t>
            </w:r>
          </w:p>
        </w:tc>
      </w:tr>
      <w:tr w:rsidR="0023462A" w14:paraId="6D106999" w14:textId="77777777" w:rsidTr="009C289F">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vAlign w:val="center"/>
          </w:tcPr>
          <w:p w14:paraId="18F1C046" w14:textId="0BE28942" w:rsidR="0023462A" w:rsidRDefault="00A550FA">
            <w:pPr>
              <w:pStyle w:val="P68B1DB1-Normal32"/>
              <w:spacing w:after="120" w:line="240" w:lineRule="auto"/>
              <w:rPr>
                <w:rFonts w:eastAsiaTheme="minorHAnsi"/>
                <w:noProof/>
              </w:rPr>
            </w:pPr>
            <w:r>
              <w:rPr>
                <w:noProof/>
              </w:rPr>
              <w:t>80</w:t>
            </w:r>
          </w:p>
        </w:tc>
        <w:tc>
          <w:tcPr>
            <w:tcW w:w="1559" w:type="dxa"/>
            <w:tcBorders>
              <w:top w:val="nil"/>
              <w:left w:val="nil"/>
              <w:bottom w:val="single" w:sz="4" w:space="0" w:color="auto"/>
              <w:right w:val="single" w:sz="4" w:space="0" w:color="auto"/>
            </w:tcBorders>
            <w:shd w:val="clear" w:color="auto" w:fill="C6EFCE"/>
            <w:noWrap/>
            <w:vAlign w:val="center"/>
          </w:tcPr>
          <w:p w14:paraId="0D6A048A" w14:textId="5B892D6B" w:rsidR="0023462A" w:rsidRDefault="00A550FA">
            <w:pPr>
              <w:pStyle w:val="P68B1DB1-Normal32"/>
              <w:spacing w:after="120" w:line="240" w:lineRule="auto"/>
              <w:rPr>
                <w:noProof/>
              </w:rPr>
            </w:pPr>
            <w:r>
              <w:rPr>
                <w:noProof/>
              </w:rPr>
              <w:t>C8.R21 : Création d’une direction de l’audit interne et de l’intégrité afin de renforcer le contrôle des conflits d’intérêts lors de la mise en œuvre du soutien de l’Union</w:t>
            </w:r>
          </w:p>
        </w:tc>
        <w:tc>
          <w:tcPr>
            <w:tcW w:w="709" w:type="dxa"/>
            <w:tcBorders>
              <w:top w:val="nil"/>
              <w:left w:val="nil"/>
              <w:bottom w:val="single" w:sz="4" w:space="0" w:color="auto"/>
              <w:right w:val="single" w:sz="4" w:space="0" w:color="auto"/>
            </w:tcBorders>
            <w:shd w:val="clear" w:color="auto" w:fill="C6EFCE"/>
            <w:noWrap/>
            <w:vAlign w:val="center"/>
          </w:tcPr>
          <w:p w14:paraId="373CE412" w14:textId="4EEFFF11" w:rsidR="0023462A" w:rsidRDefault="00A550FA">
            <w:pPr>
              <w:pStyle w:val="P68B1DB1-Normal32"/>
              <w:spacing w:after="120" w:line="240" w:lineRule="auto"/>
              <w:rPr>
                <w:rFonts w:eastAsiaTheme="minorHAnsi"/>
                <w:noProof/>
              </w:rPr>
            </w:pPr>
            <w:r>
              <w:rPr>
                <w:noProof/>
              </w:rPr>
              <w:t>Étape</w:t>
            </w:r>
          </w:p>
        </w:tc>
        <w:tc>
          <w:tcPr>
            <w:tcW w:w="1417" w:type="dxa"/>
            <w:tcBorders>
              <w:top w:val="nil"/>
              <w:left w:val="nil"/>
              <w:bottom w:val="single" w:sz="4" w:space="0" w:color="auto"/>
              <w:right w:val="single" w:sz="4" w:space="0" w:color="auto"/>
            </w:tcBorders>
            <w:shd w:val="clear" w:color="auto" w:fill="C6EFCE"/>
            <w:noWrap/>
            <w:vAlign w:val="center"/>
          </w:tcPr>
          <w:p w14:paraId="36065A62" w14:textId="68191B4C" w:rsidR="0023462A" w:rsidRDefault="00A550FA">
            <w:pPr>
              <w:pStyle w:val="P68B1DB1-Normal32"/>
              <w:spacing w:after="120" w:line="240" w:lineRule="auto"/>
              <w:rPr>
                <w:rFonts w:eastAsiaTheme="minorHAnsi"/>
                <w:noProof/>
              </w:rPr>
            </w:pPr>
            <w:r>
              <w:rPr>
                <w:noProof/>
              </w:rPr>
              <w:t>Assurer une prévention, une détection et une correction efficaces de la fraude et de la corruption dans la mise en œuvre du soutien de l’Union par la mise en place et le plein fonctionnement d’une nouvelle direction de l’audit interne et de l’intégrité (DIAI)</w:t>
            </w:r>
          </w:p>
        </w:tc>
        <w:tc>
          <w:tcPr>
            <w:tcW w:w="1701" w:type="dxa"/>
            <w:tcBorders>
              <w:top w:val="nil"/>
              <w:left w:val="nil"/>
              <w:bottom w:val="single" w:sz="4" w:space="0" w:color="auto"/>
              <w:right w:val="single" w:sz="4" w:space="0" w:color="auto"/>
            </w:tcBorders>
            <w:shd w:val="clear" w:color="auto" w:fill="C6EFCE"/>
            <w:noWrap/>
            <w:vAlign w:val="center"/>
          </w:tcPr>
          <w:p w14:paraId="2CC64542" w14:textId="3C24BA23" w:rsidR="0023462A" w:rsidRDefault="00A550FA">
            <w:pPr>
              <w:pStyle w:val="P68B1DB1-Normal32"/>
              <w:spacing w:after="120" w:line="240" w:lineRule="auto"/>
              <w:rPr>
                <w:rFonts w:eastAsiaTheme="minorHAnsi"/>
                <w:noProof/>
              </w:rPr>
            </w:pPr>
            <w:r>
              <w:rPr>
                <w:noProof/>
              </w:rPr>
              <w:t xml:space="preserve">Disposition de l’acte juridique indiquant son entrée en vigueur </w:t>
            </w:r>
          </w:p>
        </w:tc>
        <w:tc>
          <w:tcPr>
            <w:tcW w:w="1418" w:type="dxa"/>
            <w:tcBorders>
              <w:top w:val="nil"/>
              <w:left w:val="nil"/>
              <w:bottom w:val="single" w:sz="4" w:space="0" w:color="auto"/>
              <w:right w:val="single" w:sz="4" w:space="0" w:color="auto"/>
            </w:tcBorders>
            <w:shd w:val="clear" w:color="auto" w:fill="C6EFCE"/>
            <w:noWrap/>
          </w:tcPr>
          <w:p w14:paraId="4D5BBEC8" w14:textId="77777777" w:rsidR="0023462A" w:rsidRDefault="0023462A">
            <w:pPr>
              <w:spacing w:after="120" w:line="240" w:lineRule="auto"/>
              <w:rPr>
                <w:rFonts w:ascii="Times New Roman" w:eastAsia="Calibri" w:hAnsi="Times New Roman" w:cs="Times New Roman"/>
                <w:noProof/>
                <w:sz w:val="18"/>
                <w:szCs w:val="18"/>
              </w:rPr>
            </w:pPr>
          </w:p>
        </w:tc>
        <w:tc>
          <w:tcPr>
            <w:tcW w:w="1417" w:type="dxa"/>
            <w:tcBorders>
              <w:top w:val="nil"/>
              <w:left w:val="nil"/>
              <w:bottom w:val="single" w:sz="4" w:space="0" w:color="auto"/>
              <w:right w:val="single" w:sz="4" w:space="0" w:color="auto"/>
            </w:tcBorders>
            <w:shd w:val="clear" w:color="auto" w:fill="C6EFCE"/>
            <w:noWrap/>
          </w:tcPr>
          <w:p w14:paraId="53B2D546" w14:textId="77777777" w:rsidR="0023462A" w:rsidRDefault="0023462A">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tcPr>
          <w:p w14:paraId="0EACB75F" w14:textId="77777777" w:rsidR="0023462A" w:rsidRDefault="0023462A">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1303824B" w14:textId="15F69461" w:rsidR="0023462A" w:rsidRDefault="00A550FA">
            <w:pPr>
              <w:pStyle w:val="P68B1DB1-Normal32"/>
              <w:spacing w:after="120" w:line="240" w:lineRule="auto"/>
              <w:rPr>
                <w:rFonts w:eastAsiaTheme="minorHAnsi"/>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08AA355E" w14:textId="3537D9A0" w:rsidR="0023462A" w:rsidRDefault="00A550FA">
            <w:pPr>
              <w:pStyle w:val="P68B1DB1-Normal32"/>
              <w:spacing w:after="120" w:line="240" w:lineRule="auto"/>
              <w:rPr>
                <w:rFonts w:eastAsiaTheme="minorHAnsi"/>
                <w:noProof/>
              </w:rPr>
            </w:pPr>
            <w:r>
              <w:rPr>
                <w:noProof/>
              </w:rPr>
              <w:t>2026</w:t>
            </w:r>
          </w:p>
        </w:tc>
        <w:tc>
          <w:tcPr>
            <w:tcW w:w="3713" w:type="dxa"/>
            <w:tcBorders>
              <w:top w:val="nil"/>
              <w:left w:val="nil"/>
              <w:bottom w:val="single" w:sz="4" w:space="0" w:color="auto"/>
              <w:right w:val="single" w:sz="4" w:space="0" w:color="auto"/>
            </w:tcBorders>
            <w:shd w:val="clear" w:color="auto" w:fill="C6EFCE"/>
            <w:noWrap/>
            <w:vAlign w:val="center"/>
          </w:tcPr>
          <w:p w14:paraId="52944FB6" w14:textId="77777777" w:rsidR="0023462A" w:rsidRDefault="00A550FA">
            <w:pPr>
              <w:pStyle w:val="P68B1DB1-Normal32"/>
              <w:spacing w:after="120" w:line="240" w:lineRule="auto"/>
              <w:ind w:left="52"/>
              <w:textAlignment w:val="baseline"/>
              <w:rPr>
                <w:noProof/>
              </w:rPr>
            </w:pPr>
            <w:r>
              <w:rPr>
                <w:noProof/>
              </w:rPr>
              <w:t>Entrée en vigueur d’un acte juridique prévoyant la création d’une nouvelle direction de l’audit interne et de l’intégrité (DIAI). Cet acte juridique prévoit que:</w:t>
            </w:r>
          </w:p>
          <w:p w14:paraId="32353D69" w14:textId="77777777" w:rsidR="0023462A" w:rsidRDefault="00A550FA">
            <w:pPr>
              <w:pStyle w:val="P68B1DB1-Normal32"/>
              <w:spacing w:after="120" w:line="240" w:lineRule="auto"/>
              <w:ind w:left="52"/>
              <w:textAlignment w:val="baseline"/>
              <w:rPr>
                <w:noProof/>
              </w:rPr>
            </w:pPr>
            <w:r>
              <w:rPr>
                <w:noProof/>
              </w:rPr>
              <w:t xml:space="preserve">i) l’indépendance de la DIAI est garantie par la nomination de son personnel de haut rang, la durée de son mandat sans possibilité de les licencier; </w:t>
            </w:r>
          </w:p>
          <w:p w14:paraId="5266B75D" w14:textId="77777777" w:rsidR="0023462A" w:rsidRDefault="00A550FA">
            <w:pPr>
              <w:pStyle w:val="P68B1DB1-Normal32"/>
              <w:spacing w:after="120" w:line="240" w:lineRule="auto"/>
              <w:ind w:left="52"/>
              <w:textAlignment w:val="baseline"/>
              <w:rPr>
                <w:noProof/>
              </w:rPr>
            </w:pPr>
            <w:r>
              <w:rPr>
                <w:noProof/>
              </w:rPr>
              <w:t xml:space="preserve">ii) la sélection du personnel de la DIAI se fonde sur des critères objectifs; </w:t>
            </w:r>
          </w:p>
          <w:p w14:paraId="7F45767B" w14:textId="77777777" w:rsidR="0023462A" w:rsidRDefault="00A550FA">
            <w:pPr>
              <w:pStyle w:val="P68B1DB1-Normal32"/>
              <w:spacing w:after="120" w:line="240" w:lineRule="auto"/>
              <w:ind w:left="52"/>
              <w:textAlignment w:val="baseline"/>
              <w:rPr>
                <w:noProof/>
              </w:rPr>
            </w:pPr>
            <w:r>
              <w:rPr>
                <w:noProof/>
              </w:rPr>
              <w:t xml:space="preserve">iii) que la DIAI est compétente pour agir à l’égard des organismes participant à la mise en œuvre du soutien de l’Union en Hongrie; </w:t>
            </w:r>
          </w:p>
          <w:p w14:paraId="40FA6137" w14:textId="77777777" w:rsidR="0023462A" w:rsidRDefault="00A550FA">
            <w:pPr>
              <w:pStyle w:val="P68B1DB1-Normal32"/>
              <w:spacing w:after="120" w:line="240" w:lineRule="auto"/>
              <w:ind w:left="52"/>
              <w:textAlignment w:val="baseline"/>
              <w:rPr>
                <w:noProof/>
              </w:rPr>
            </w:pPr>
            <w:r>
              <w:rPr>
                <w:noProof/>
              </w:rPr>
              <w:t xml:space="preserve">iv) que, sur demande, la DIAI donne sans délai à l’Autorité pour l’intégrité un accès complet à toutes les déclarations de conflit d’intérêts et à tous ses dossiers; </w:t>
            </w:r>
          </w:p>
          <w:p w14:paraId="50618EBC" w14:textId="77777777" w:rsidR="0023462A" w:rsidRDefault="00A550FA">
            <w:pPr>
              <w:pStyle w:val="P68B1DB1-Normal32"/>
              <w:spacing w:after="120" w:line="240" w:lineRule="auto"/>
              <w:ind w:left="52"/>
              <w:textAlignment w:val="baseline"/>
              <w:rPr>
                <w:noProof/>
              </w:rPr>
            </w:pPr>
            <w:r>
              <w:rPr>
                <w:noProof/>
              </w:rPr>
              <w:t xml:space="preserve">v) que des règles de procédure régissant sa structure institutionnelle et ses méthodes de travail soient en place et soumises au contrôle de l’Autorité pour l’intégrité; </w:t>
            </w:r>
          </w:p>
          <w:p w14:paraId="55E7EC22" w14:textId="3D5AC39F" w:rsidR="0023462A" w:rsidRDefault="00A550FA">
            <w:pPr>
              <w:pStyle w:val="P68B1DB1-Normal32"/>
              <w:spacing w:after="120" w:line="240" w:lineRule="auto"/>
              <w:ind w:left="52"/>
              <w:textAlignment w:val="baseline"/>
              <w:rPr>
                <w:noProof/>
              </w:rPr>
            </w:pPr>
            <w:r>
              <w:rPr>
                <w:noProof/>
              </w:rPr>
              <w:t xml:space="preserve">vi) que des ressources financières et humaines suffisantes soient allouées à l'exécution de ses tâches; </w:t>
            </w:r>
          </w:p>
          <w:p w14:paraId="6EAD848C" w14:textId="77777777" w:rsidR="0023462A" w:rsidRDefault="00A550FA">
            <w:pPr>
              <w:pStyle w:val="P68B1DB1-Normal32"/>
              <w:spacing w:after="120" w:line="240" w:lineRule="auto"/>
              <w:ind w:left="52"/>
              <w:textAlignment w:val="baseline"/>
              <w:rPr>
                <w:noProof/>
              </w:rPr>
            </w:pPr>
            <w:r>
              <w:rPr>
                <w:noProof/>
              </w:rPr>
              <w:t xml:space="preserve">vii) que la DIAI contrôle régulièrement la véracité des déclarations de conflit d’intérêts déposées dans le cadre de la mise en œuvre du soutien de l’Union en Hongrie et que les informations relatives à ces contrôles sont conservées pendant au moins cinq ans; </w:t>
            </w:r>
          </w:p>
          <w:p w14:paraId="4A76E2EE" w14:textId="77777777" w:rsidR="0023462A" w:rsidRDefault="00A550FA">
            <w:pPr>
              <w:pStyle w:val="P68B1DB1-Normal32"/>
              <w:spacing w:after="120" w:line="240" w:lineRule="auto"/>
              <w:ind w:left="52"/>
              <w:textAlignment w:val="baseline"/>
              <w:rPr>
                <w:noProof/>
              </w:rPr>
            </w:pPr>
            <w:r>
              <w:rPr>
                <w:noProof/>
              </w:rPr>
              <w:t xml:space="preserve">viii) que le signalement anonyme de tout soupçon de conflit d'intérêts soit rendu possible; </w:t>
            </w:r>
          </w:p>
          <w:p w14:paraId="08AD0B38" w14:textId="77777777" w:rsidR="0023462A" w:rsidRDefault="00A550FA">
            <w:pPr>
              <w:pStyle w:val="P68B1DB1-Normal32"/>
              <w:spacing w:after="120" w:line="240" w:lineRule="auto"/>
              <w:ind w:left="52"/>
              <w:textAlignment w:val="baseline"/>
              <w:rPr>
                <w:noProof/>
              </w:rPr>
            </w:pPr>
            <w:r>
              <w:rPr>
                <w:noProof/>
              </w:rPr>
              <w:t xml:space="preserve">ix) que la DIAI enquête sur les soupçons signalés; </w:t>
            </w:r>
          </w:p>
          <w:p w14:paraId="04CDFA85" w14:textId="4DEC98C1" w:rsidR="0023462A" w:rsidRDefault="00A550FA">
            <w:pPr>
              <w:pStyle w:val="P68B1DB1-Normal32"/>
              <w:spacing w:after="120" w:line="240" w:lineRule="auto"/>
              <w:ind w:left="52"/>
              <w:textAlignment w:val="baseline"/>
              <w:rPr>
                <w:rFonts w:eastAsia="Times New Roman"/>
                <w:noProof/>
              </w:rPr>
            </w:pPr>
            <w:r>
              <w:rPr>
                <w:noProof/>
              </w:rPr>
              <w:t>x) que la DIAI rende compte chaque année de ses travaux à l'Autorité pour l'intégrité.</w:t>
            </w:r>
          </w:p>
        </w:tc>
      </w:tr>
      <w:tr w:rsidR="0023462A" w14:paraId="3369B033" w14:textId="77777777" w:rsidTr="009C289F">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vAlign w:val="center"/>
          </w:tcPr>
          <w:p w14:paraId="3E41E4B6" w14:textId="40B7B80E" w:rsidR="0023462A" w:rsidRDefault="00A550FA">
            <w:pPr>
              <w:pStyle w:val="P68B1DB1-Normal32"/>
              <w:spacing w:after="120" w:line="240" w:lineRule="auto"/>
              <w:rPr>
                <w:rFonts w:eastAsiaTheme="minorHAnsi"/>
                <w:noProof/>
              </w:rPr>
            </w:pPr>
            <w:r>
              <w:rPr>
                <w:noProof/>
              </w:rPr>
              <w:t>81</w:t>
            </w:r>
          </w:p>
        </w:tc>
        <w:tc>
          <w:tcPr>
            <w:tcW w:w="1559" w:type="dxa"/>
            <w:tcBorders>
              <w:top w:val="nil"/>
              <w:left w:val="nil"/>
              <w:bottom w:val="single" w:sz="4" w:space="0" w:color="auto"/>
              <w:right w:val="single" w:sz="4" w:space="0" w:color="auto"/>
            </w:tcBorders>
            <w:shd w:val="clear" w:color="auto" w:fill="C6EFCE"/>
            <w:noWrap/>
            <w:vAlign w:val="center"/>
          </w:tcPr>
          <w:p w14:paraId="00EFE726" w14:textId="5D335A3A" w:rsidR="0023462A" w:rsidRDefault="00A550FA">
            <w:pPr>
              <w:pStyle w:val="P68B1DB1-Normal32"/>
              <w:spacing w:after="120" w:line="240" w:lineRule="auto"/>
              <w:rPr>
                <w:noProof/>
              </w:rPr>
            </w:pPr>
            <w:r>
              <w:rPr>
                <w:noProof/>
              </w:rPr>
              <w:t>C8.R22 Garantir la capacité de l'EUTAF à s'acquitter de ses tâches</w:t>
            </w:r>
          </w:p>
        </w:tc>
        <w:tc>
          <w:tcPr>
            <w:tcW w:w="709" w:type="dxa"/>
            <w:tcBorders>
              <w:top w:val="nil"/>
              <w:left w:val="nil"/>
              <w:bottom w:val="single" w:sz="4" w:space="0" w:color="auto"/>
              <w:right w:val="single" w:sz="4" w:space="0" w:color="auto"/>
            </w:tcBorders>
            <w:shd w:val="clear" w:color="auto" w:fill="C6EFCE"/>
            <w:noWrap/>
            <w:vAlign w:val="center"/>
          </w:tcPr>
          <w:p w14:paraId="0E8345CB" w14:textId="4EB70EF9" w:rsidR="0023462A" w:rsidRDefault="00A550FA">
            <w:pPr>
              <w:pStyle w:val="P68B1DB1-Normal32"/>
              <w:spacing w:after="120" w:line="240" w:lineRule="auto"/>
              <w:rPr>
                <w:rFonts w:eastAsiaTheme="minorHAnsi"/>
                <w:noProof/>
              </w:rPr>
            </w:pPr>
            <w:r>
              <w:rPr>
                <w:noProof/>
              </w:rPr>
              <w:t>Étape</w:t>
            </w:r>
          </w:p>
        </w:tc>
        <w:tc>
          <w:tcPr>
            <w:tcW w:w="1417" w:type="dxa"/>
            <w:tcBorders>
              <w:top w:val="nil"/>
              <w:left w:val="nil"/>
              <w:bottom w:val="single" w:sz="4" w:space="0" w:color="auto"/>
              <w:right w:val="single" w:sz="4" w:space="0" w:color="auto"/>
            </w:tcBorders>
            <w:shd w:val="clear" w:color="auto" w:fill="C6EFCE"/>
            <w:noWrap/>
            <w:vAlign w:val="center"/>
          </w:tcPr>
          <w:p w14:paraId="5D193DEF" w14:textId="5FC64EE8" w:rsidR="0023462A" w:rsidRDefault="00A550FA">
            <w:pPr>
              <w:pStyle w:val="P68B1DB1-Normal32"/>
              <w:spacing w:after="120" w:line="240" w:lineRule="auto"/>
              <w:rPr>
                <w:rFonts w:eastAsiaTheme="minorHAnsi"/>
                <w:noProof/>
              </w:rPr>
            </w:pPr>
            <w:r>
              <w:rPr>
                <w:noProof/>
              </w:rPr>
              <w:t>Garantir une prévention, une détection et une correction efficaces de la fraude et de la corruption dans la mise en œuvre du soutien de l’Union grâce à des capacités appropriées pour l’EUTAF</w:t>
            </w:r>
          </w:p>
        </w:tc>
        <w:tc>
          <w:tcPr>
            <w:tcW w:w="1701" w:type="dxa"/>
            <w:tcBorders>
              <w:top w:val="nil"/>
              <w:left w:val="nil"/>
              <w:bottom w:val="single" w:sz="4" w:space="0" w:color="auto"/>
              <w:right w:val="single" w:sz="4" w:space="0" w:color="auto"/>
            </w:tcBorders>
            <w:shd w:val="clear" w:color="auto" w:fill="C6EFCE"/>
            <w:noWrap/>
            <w:vAlign w:val="center"/>
          </w:tcPr>
          <w:p w14:paraId="2C69E037" w14:textId="55CDFC10" w:rsidR="0023462A" w:rsidRDefault="00A550FA">
            <w:pPr>
              <w:pStyle w:val="P68B1DB1-Normal32"/>
              <w:spacing w:after="120" w:line="240" w:lineRule="auto"/>
              <w:rPr>
                <w:rFonts w:eastAsiaTheme="minorHAnsi"/>
                <w:noProof/>
              </w:rPr>
            </w:pPr>
            <w:r>
              <w:rPr>
                <w:noProof/>
              </w:rPr>
              <w:t>Disposition du ou des actes juridiques indiquant son entrée en vigueur</w:t>
            </w:r>
          </w:p>
        </w:tc>
        <w:tc>
          <w:tcPr>
            <w:tcW w:w="1418" w:type="dxa"/>
            <w:tcBorders>
              <w:top w:val="nil"/>
              <w:left w:val="nil"/>
              <w:bottom w:val="single" w:sz="4" w:space="0" w:color="auto"/>
              <w:right w:val="single" w:sz="4" w:space="0" w:color="auto"/>
            </w:tcBorders>
            <w:shd w:val="clear" w:color="auto" w:fill="C6EFCE"/>
            <w:noWrap/>
          </w:tcPr>
          <w:p w14:paraId="74CB6CCD" w14:textId="5A4BCD39" w:rsidR="0023462A" w:rsidRDefault="00A550FA">
            <w:pPr>
              <w:pStyle w:val="P68B1DB1-Normal32"/>
              <w:spacing w:after="120" w:line="240" w:lineRule="auto"/>
              <w:rPr>
                <w:rFonts w:eastAsia="Calibri"/>
                <w:noProof/>
              </w:rPr>
            </w:pPr>
            <w:r>
              <w:rPr>
                <w:noProof/>
              </w:rPr>
              <w:t xml:space="preserve"> </w:t>
            </w:r>
          </w:p>
        </w:tc>
        <w:tc>
          <w:tcPr>
            <w:tcW w:w="1417" w:type="dxa"/>
            <w:tcBorders>
              <w:top w:val="nil"/>
              <w:left w:val="nil"/>
              <w:bottom w:val="single" w:sz="4" w:space="0" w:color="auto"/>
              <w:right w:val="single" w:sz="4" w:space="0" w:color="auto"/>
            </w:tcBorders>
            <w:shd w:val="clear" w:color="auto" w:fill="C6EFCE"/>
            <w:noWrap/>
          </w:tcPr>
          <w:p w14:paraId="3B19F7F9" w14:textId="290CF4A0" w:rsidR="0023462A" w:rsidRDefault="00A550FA">
            <w:pPr>
              <w:pStyle w:val="P68B1DB1-Normal32"/>
              <w:spacing w:after="120" w:line="240" w:lineRule="auto"/>
              <w:rPr>
                <w:rFonts w:eastAsia="Calibri"/>
                <w:noProof/>
              </w:rPr>
            </w:pPr>
            <w:r>
              <w:rPr>
                <w:noProof/>
              </w:rPr>
              <w:t xml:space="preserve"> </w:t>
            </w:r>
          </w:p>
        </w:tc>
        <w:tc>
          <w:tcPr>
            <w:tcW w:w="993" w:type="dxa"/>
            <w:tcBorders>
              <w:top w:val="nil"/>
              <w:left w:val="nil"/>
              <w:bottom w:val="single" w:sz="4" w:space="0" w:color="auto"/>
              <w:right w:val="single" w:sz="4" w:space="0" w:color="auto"/>
            </w:tcBorders>
            <w:shd w:val="clear" w:color="auto" w:fill="C6EFCE"/>
            <w:noWrap/>
          </w:tcPr>
          <w:p w14:paraId="6E4ADCE7" w14:textId="71116DB2" w:rsidR="0023462A" w:rsidRDefault="00A550FA">
            <w:pPr>
              <w:pStyle w:val="P68B1DB1-Normal32"/>
              <w:spacing w:after="120" w:line="240" w:lineRule="auto"/>
              <w:rPr>
                <w:rFonts w:eastAsia="Calibri"/>
                <w:noProof/>
              </w:rPr>
            </w:pPr>
            <w:r>
              <w:rPr>
                <w:noProof/>
              </w:rPr>
              <w:t xml:space="preserve"> </w:t>
            </w:r>
          </w:p>
        </w:tc>
        <w:tc>
          <w:tcPr>
            <w:tcW w:w="1134" w:type="dxa"/>
            <w:tcBorders>
              <w:top w:val="nil"/>
              <w:left w:val="nil"/>
              <w:bottom w:val="single" w:sz="4" w:space="0" w:color="auto"/>
              <w:right w:val="single" w:sz="4" w:space="0" w:color="auto"/>
            </w:tcBorders>
            <w:shd w:val="clear" w:color="auto" w:fill="C6EFCE"/>
            <w:noWrap/>
            <w:vAlign w:val="center"/>
          </w:tcPr>
          <w:p w14:paraId="490974C4" w14:textId="7370F763" w:rsidR="0023462A" w:rsidRDefault="00A550FA">
            <w:pPr>
              <w:pStyle w:val="P68B1DB1-Normal32"/>
              <w:spacing w:after="120" w:line="240" w:lineRule="auto"/>
              <w:rPr>
                <w:rFonts w:eastAsiaTheme="minorHAnsi"/>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0AD15DF2" w14:textId="688835CC" w:rsidR="0023462A" w:rsidRDefault="00A550FA">
            <w:pPr>
              <w:pStyle w:val="P68B1DB1-Normal32"/>
              <w:spacing w:after="120" w:line="240" w:lineRule="auto"/>
              <w:rPr>
                <w:rFonts w:eastAsiaTheme="minorHAnsi"/>
                <w:noProof/>
              </w:rPr>
            </w:pPr>
            <w:r>
              <w:rPr>
                <w:noProof/>
              </w:rPr>
              <w:t>2026</w:t>
            </w:r>
          </w:p>
        </w:tc>
        <w:tc>
          <w:tcPr>
            <w:tcW w:w="3713" w:type="dxa"/>
            <w:tcBorders>
              <w:top w:val="nil"/>
              <w:left w:val="nil"/>
              <w:bottom w:val="single" w:sz="4" w:space="0" w:color="auto"/>
              <w:right w:val="single" w:sz="4" w:space="0" w:color="auto"/>
            </w:tcBorders>
            <w:shd w:val="clear" w:color="auto" w:fill="C6EFCE"/>
            <w:noWrap/>
            <w:vAlign w:val="center"/>
          </w:tcPr>
          <w:p w14:paraId="61FE7F84" w14:textId="77777777" w:rsidR="0023462A" w:rsidRDefault="00A550FA">
            <w:pPr>
              <w:pStyle w:val="P68B1DB1-Normal32"/>
              <w:spacing w:after="120" w:line="240" w:lineRule="auto"/>
              <w:ind w:left="52"/>
              <w:textAlignment w:val="baseline"/>
              <w:rPr>
                <w:rFonts w:eastAsia="Times New Roman"/>
                <w:noProof/>
              </w:rPr>
            </w:pPr>
            <w:r>
              <w:rPr>
                <w:noProof/>
              </w:rPr>
              <w:t>Entrée en vigueur d'un ou de plusieurs actes juridiques prévoyant la mise en place des ressources financières et humaines nécessaires à l'EUTAF pour préserver son indépendance et lui permettre de s'acquitter efficacement de ses missions. Les modifications législatives prévoient que: </w:t>
            </w:r>
          </w:p>
          <w:p w14:paraId="7B6EC8AF" w14:textId="77777777" w:rsidR="0023462A" w:rsidRDefault="00A550FA">
            <w:pPr>
              <w:pStyle w:val="P68B1DB1-Normal32"/>
              <w:spacing w:after="120" w:line="240" w:lineRule="auto"/>
              <w:ind w:left="52"/>
              <w:textAlignment w:val="baseline"/>
              <w:rPr>
                <w:rFonts w:eastAsia="Times New Roman"/>
                <w:noProof/>
              </w:rPr>
            </w:pPr>
            <w:r>
              <w:rPr>
                <w:noProof/>
              </w:rPr>
              <w:t>- Le budget annuel de l’EUTAF est établi sur la base d’une proposition initiale de l’EUTAF et n’est modifié que s’il est publiquement justifié et ne compromet pas la capacité de l’EUTAF à s’acquitter de ses tâches de manière efficace et en temps utile. </w:t>
            </w:r>
          </w:p>
          <w:p w14:paraId="6415EAB1" w14:textId="77777777" w:rsidR="0023462A" w:rsidRDefault="00A550FA">
            <w:pPr>
              <w:pStyle w:val="P68B1DB1-Normal32"/>
              <w:spacing w:after="120" w:line="240" w:lineRule="auto"/>
              <w:ind w:left="52"/>
              <w:textAlignment w:val="baseline"/>
              <w:rPr>
                <w:rFonts w:eastAsia="Times New Roman"/>
                <w:noProof/>
              </w:rPr>
            </w:pPr>
            <w:r>
              <w:rPr>
                <w:noProof/>
              </w:rPr>
              <w:t>- La rémunération du chef de l'EUTAF est fixée à 70 % de la rémunération du président de la Cour des comptes. </w:t>
            </w:r>
          </w:p>
          <w:p w14:paraId="1D0DBF1E" w14:textId="37D971BA" w:rsidR="0023462A" w:rsidRDefault="00A550FA">
            <w:pPr>
              <w:pStyle w:val="P68B1DB1-Normal32"/>
              <w:spacing w:after="120" w:line="240" w:lineRule="auto"/>
              <w:ind w:left="52"/>
              <w:textAlignment w:val="baseline"/>
              <w:rPr>
                <w:rFonts w:eastAsiaTheme="minorHAnsi"/>
                <w:noProof/>
              </w:rPr>
            </w:pPr>
            <w:r>
              <w:rPr>
                <w:noProof/>
              </w:rPr>
              <w:t xml:space="preserve">- L’indépendance fonctionnelle et professionnelle de l’EUTAF est maintenue et le personnel de l’EUTAF continue de ne pas rechercher ni accepter d’instructions concernant ses travaux d’audit. </w:t>
            </w:r>
          </w:p>
        </w:tc>
      </w:tr>
      <w:tr w:rsidR="0023462A" w14:paraId="4AC3C320" w14:textId="77777777" w:rsidTr="009C289F">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vAlign w:val="center"/>
          </w:tcPr>
          <w:p w14:paraId="478D9A1E" w14:textId="42F4EB86" w:rsidR="0023462A" w:rsidRDefault="00A550FA">
            <w:pPr>
              <w:pStyle w:val="P68B1DB1-Normal32"/>
              <w:spacing w:after="120" w:line="240" w:lineRule="auto"/>
              <w:rPr>
                <w:rFonts w:eastAsiaTheme="minorHAnsi"/>
                <w:noProof/>
              </w:rPr>
            </w:pPr>
            <w:r>
              <w:rPr>
                <w:noProof/>
              </w:rPr>
              <w:t>82</w:t>
            </w:r>
          </w:p>
        </w:tc>
        <w:tc>
          <w:tcPr>
            <w:tcW w:w="1559" w:type="dxa"/>
            <w:tcBorders>
              <w:top w:val="nil"/>
              <w:left w:val="nil"/>
              <w:bottom w:val="single" w:sz="4" w:space="0" w:color="auto"/>
              <w:right w:val="single" w:sz="4" w:space="0" w:color="auto"/>
            </w:tcBorders>
            <w:shd w:val="clear" w:color="auto" w:fill="C6EFCE"/>
            <w:noWrap/>
            <w:vAlign w:val="center"/>
          </w:tcPr>
          <w:p w14:paraId="1E5E393E" w14:textId="16195A82" w:rsidR="0023462A" w:rsidRDefault="00A550FA">
            <w:pPr>
              <w:pStyle w:val="P68B1DB1-Normal32"/>
              <w:spacing w:after="120" w:line="240" w:lineRule="auto"/>
              <w:rPr>
                <w:noProof/>
              </w:rPr>
            </w:pPr>
            <w:r>
              <w:rPr>
                <w:noProof/>
              </w:rPr>
              <w:t>C8.R23 Coopération avec l’OLAF en vue de renforcer la détection des fraudes liées à l’utilisation du soutien de l’Union</w:t>
            </w:r>
          </w:p>
        </w:tc>
        <w:tc>
          <w:tcPr>
            <w:tcW w:w="709" w:type="dxa"/>
            <w:tcBorders>
              <w:top w:val="nil"/>
              <w:left w:val="nil"/>
              <w:bottom w:val="single" w:sz="4" w:space="0" w:color="auto"/>
              <w:right w:val="single" w:sz="4" w:space="0" w:color="auto"/>
            </w:tcBorders>
            <w:shd w:val="clear" w:color="auto" w:fill="C6EFCE"/>
            <w:noWrap/>
            <w:vAlign w:val="center"/>
          </w:tcPr>
          <w:p w14:paraId="1FC6D47F" w14:textId="03C5707C" w:rsidR="0023462A" w:rsidRDefault="00A550FA">
            <w:pPr>
              <w:pStyle w:val="P68B1DB1-Normal32"/>
              <w:spacing w:after="120" w:line="240" w:lineRule="auto"/>
              <w:rPr>
                <w:rFonts w:eastAsiaTheme="minorHAnsi"/>
                <w:noProof/>
              </w:rPr>
            </w:pPr>
            <w:r>
              <w:rPr>
                <w:noProof/>
              </w:rPr>
              <w:t xml:space="preserve">Étape </w:t>
            </w:r>
          </w:p>
        </w:tc>
        <w:tc>
          <w:tcPr>
            <w:tcW w:w="1417" w:type="dxa"/>
            <w:tcBorders>
              <w:top w:val="nil"/>
              <w:left w:val="nil"/>
              <w:bottom w:val="single" w:sz="4" w:space="0" w:color="auto"/>
              <w:right w:val="single" w:sz="4" w:space="0" w:color="auto"/>
            </w:tcBorders>
            <w:shd w:val="clear" w:color="auto" w:fill="C6EFCE"/>
            <w:noWrap/>
            <w:vAlign w:val="center"/>
          </w:tcPr>
          <w:p w14:paraId="29D2BEDD" w14:textId="4878E6D7" w:rsidR="0023462A" w:rsidRDefault="00A550FA">
            <w:pPr>
              <w:pStyle w:val="P68B1DB1-Normal32"/>
              <w:spacing w:after="120" w:line="240" w:lineRule="auto"/>
              <w:rPr>
                <w:rFonts w:eastAsiaTheme="minorHAnsi"/>
                <w:noProof/>
              </w:rPr>
            </w:pPr>
            <w:r>
              <w:rPr>
                <w:noProof/>
              </w:rPr>
              <w:t>Désignation d’une autorité nationale chargée d’assister l’OLAF dans ses contrôles sur place en Hongrie et introduction de la possibilité de percevoir des sanctions financières à l’encontre des acteurs économiques non coopérants</w:t>
            </w:r>
          </w:p>
        </w:tc>
        <w:tc>
          <w:tcPr>
            <w:tcW w:w="1701" w:type="dxa"/>
            <w:tcBorders>
              <w:top w:val="nil"/>
              <w:left w:val="nil"/>
              <w:bottom w:val="single" w:sz="4" w:space="0" w:color="auto"/>
              <w:right w:val="single" w:sz="4" w:space="0" w:color="auto"/>
            </w:tcBorders>
            <w:shd w:val="clear" w:color="auto" w:fill="C6EFCE"/>
            <w:noWrap/>
            <w:vAlign w:val="center"/>
          </w:tcPr>
          <w:p w14:paraId="14F0FD01" w14:textId="613C9CDF" w:rsidR="0023462A" w:rsidRDefault="00A550FA">
            <w:pPr>
              <w:pStyle w:val="P68B1DB1-Normal32"/>
              <w:spacing w:after="120" w:line="240" w:lineRule="auto"/>
              <w:rPr>
                <w:rFonts w:eastAsiaTheme="minorHAnsi"/>
                <w:noProof/>
              </w:rPr>
            </w:pPr>
            <w:r>
              <w:rPr>
                <w:noProof/>
              </w:rPr>
              <w:t>Disposition de l’acte juridique indiquant son entrée en vigueur</w:t>
            </w:r>
          </w:p>
        </w:tc>
        <w:tc>
          <w:tcPr>
            <w:tcW w:w="1418" w:type="dxa"/>
            <w:tcBorders>
              <w:top w:val="nil"/>
              <w:left w:val="nil"/>
              <w:bottom w:val="single" w:sz="4" w:space="0" w:color="auto"/>
              <w:right w:val="single" w:sz="4" w:space="0" w:color="auto"/>
            </w:tcBorders>
            <w:shd w:val="clear" w:color="auto" w:fill="C6EFCE"/>
            <w:noWrap/>
          </w:tcPr>
          <w:p w14:paraId="7C26C53C" w14:textId="77777777" w:rsidR="0023462A" w:rsidRDefault="0023462A">
            <w:pPr>
              <w:spacing w:after="120" w:line="240" w:lineRule="auto"/>
              <w:rPr>
                <w:rFonts w:ascii="Times New Roman" w:eastAsia="Calibri" w:hAnsi="Times New Roman" w:cs="Times New Roman"/>
                <w:noProof/>
                <w:sz w:val="18"/>
                <w:szCs w:val="18"/>
              </w:rPr>
            </w:pPr>
          </w:p>
        </w:tc>
        <w:tc>
          <w:tcPr>
            <w:tcW w:w="1417" w:type="dxa"/>
            <w:tcBorders>
              <w:top w:val="nil"/>
              <w:left w:val="nil"/>
              <w:bottom w:val="single" w:sz="4" w:space="0" w:color="auto"/>
              <w:right w:val="single" w:sz="4" w:space="0" w:color="auto"/>
            </w:tcBorders>
            <w:shd w:val="clear" w:color="auto" w:fill="C6EFCE"/>
            <w:noWrap/>
          </w:tcPr>
          <w:p w14:paraId="76697FA3" w14:textId="77777777" w:rsidR="0023462A" w:rsidRDefault="0023462A">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tcPr>
          <w:p w14:paraId="48527F55" w14:textId="77777777" w:rsidR="0023462A" w:rsidRDefault="0023462A">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1FEBC81B" w14:textId="16C89C44" w:rsidR="0023462A" w:rsidRDefault="00A550FA">
            <w:pPr>
              <w:pStyle w:val="P68B1DB1-Normal32"/>
              <w:spacing w:after="120" w:line="240" w:lineRule="auto"/>
              <w:rPr>
                <w:rFonts w:eastAsiaTheme="minorHAnsi"/>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336880B0" w14:textId="0FD83447" w:rsidR="0023462A" w:rsidRDefault="00A550FA">
            <w:pPr>
              <w:pStyle w:val="P68B1DB1-Normal32"/>
              <w:spacing w:after="120" w:line="240" w:lineRule="auto"/>
              <w:rPr>
                <w:rFonts w:eastAsiaTheme="minorHAnsi"/>
                <w:noProof/>
              </w:rPr>
            </w:pPr>
            <w:r>
              <w:rPr>
                <w:noProof/>
              </w:rPr>
              <w:t>2026</w:t>
            </w:r>
          </w:p>
        </w:tc>
        <w:tc>
          <w:tcPr>
            <w:tcW w:w="3713" w:type="dxa"/>
            <w:tcBorders>
              <w:top w:val="nil"/>
              <w:left w:val="nil"/>
              <w:bottom w:val="single" w:sz="4" w:space="0" w:color="auto"/>
              <w:right w:val="single" w:sz="4" w:space="0" w:color="auto"/>
            </w:tcBorders>
            <w:shd w:val="clear" w:color="auto" w:fill="C6EFCE"/>
            <w:noWrap/>
            <w:vAlign w:val="center"/>
          </w:tcPr>
          <w:p w14:paraId="3E8E9304" w14:textId="77777777" w:rsidR="0023462A" w:rsidRDefault="00A550FA">
            <w:pPr>
              <w:pStyle w:val="P68B1DB1-Normal32"/>
              <w:spacing w:after="120" w:line="240" w:lineRule="auto"/>
              <w:ind w:left="52"/>
              <w:textAlignment w:val="baseline"/>
              <w:rPr>
                <w:rFonts w:eastAsia="Times New Roman"/>
                <w:noProof/>
              </w:rPr>
            </w:pPr>
            <w:r>
              <w:rPr>
                <w:noProof/>
              </w:rPr>
              <w:t>Entrée en vigueur du ou des actes juridiques prévoyant:</w:t>
            </w:r>
          </w:p>
          <w:p w14:paraId="7EAAC323" w14:textId="3976DBE5" w:rsidR="0023462A" w:rsidRDefault="00A550FA">
            <w:pPr>
              <w:pStyle w:val="P68B1DB1-Normal32"/>
              <w:spacing w:after="120" w:line="240" w:lineRule="auto"/>
              <w:ind w:left="52"/>
              <w:textAlignment w:val="baseline"/>
              <w:rPr>
                <w:rFonts w:eastAsia="Times New Roman"/>
                <w:noProof/>
              </w:rPr>
            </w:pPr>
            <w:r>
              <w:rPr>
                <w:noProof/>
              </w:rPr>
              <w:t>i) la désignation de l’administration fiscale et douanière nationale (Nemzeti Adó- és Vámhivatal, NAV) en tant qu’autorité nationale compétente pour assister l’OLAF lors de la réalisation de contrôles sur place en Hongrie et lorsqu’un opérateur économique soumis à ces contrôles refuse de coopérer. La modification comprend une description de la procédure à suivre. Elle introduit également la possibilité de la présence d'un garde financier à la demande de l'OLAF. Le garde financier permet à l’OLAF d’effectuer ses contrôles et vérifications sur place, notamment en assurant l’exécution afin de préserver les éléments de preuve, comme le prévoient le règlement (UE, Euratom) no 883/2013 et le règlement (Euratom, CE) no 2185/96. Il s'agit notamment des types d'intervention suivants: a) l’enlèvement sur place [article 36/L de la loi CXXII de 2010 relative au Nemzeti Adó- és Vámhivatal (ci-après «NAVtv.»)], b) la demande d’informations [article 36 de la NAVtv.], c) le contrôle d’identité [article 36/A de la NAVtv.], d) l’entrée dans un lieu qui ne peut être considéré comme une résidence privée [article 36/G de la NAVtv.], e) la protection des lieux [article 36/I, paragraphe 1, de la NAVtv.]. La modification prévoit que si cette assistance nécessite l’autorisation d’une autorité judiciaire, cette autorisation doit être demandée au moins 72 heures à l’avance par le service national de coordination antifraude (AFCOS). Sur la base de cette autorisation, l’OLAF peut demander la présence du garde financier à l’avance, s’il existe un risque de résistance à un contrôle et à une vérification sur place prévus.</w:t>
            </w:r>
          </w:p>
          <w:p w14:paraId="4B1DA159" w14:textId="780D08E0" w:rsidR="0023462A" w:rsidRDefault="00A550FA">
            <w:pPr>
              <w:pStyle w:val="P68B1DB1-Normal32"/>
              <w:spacing w:after="120" w:line="240" w:lineRule="auto"/>
              <w:ind w:left="52"/>
              <w:textAlignment w:val="baseline"/>
              <w:rPr>
                <w:rFonts w:eastAsiaTheme="minorHAnsi"/>
                <w:noProof/>
              </w:rPr>
            </w:pPr>
            <w:r>
              <w:rPr>
                <w:noProof/>
              </w:rPr>
              <w:t xml:space="preserve">ii) modification de la loi XXIX de 2004 afin d’introduire un type de sanction financière dissuasive à infliger lorsqu’un opérateur économique refuse de coopérer avec l’OLAF aux fins des contrôles et vérifications sur place. </w:t>
            </w:r>
          </w:p>
        </w:tc>
      </w:tr>
      <w:tr w:rsidR="0023462A" w14:paraId="2EC7F86E" w14:textId="77777777" w:rsidTr="009C289F">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vAlign w:val="center"/>
          </w:tcPr>
          <w:p w14:paraId="0829BB84" w14:textId="48638C6A" w:rsidR="0023462A" w:rsidRDefault="00A550FA">
            <w:pPr>
              <w:pStyle w:val="P68B1DB1-Normal32"/>
              <w:spacing w:after="120" w:line="240" w:lineRule="auto"/>
              <w:rPr>
                <w:rFonts w:eastAsiaTheme="minorHAnsi"/>
                <w:noProof/>
              </w:rPr>
            </w:pPr>
            <w:r>
              <w:rPr>
                <w:noProof/>
              </w:rPr>
              <w:t>83</w:t>
            </w:r>
          </w:p>
        </w:tc>
        <w:tc>
          <w:tcPr>
            <w:tcW w:w="1559" w:type="dxa"/>
            <w:tcBorders>
              <w:top w:val="nil"/>
              <w:left w:val="nil"/>
              <w:bottom w:val="single" w:sz="4" w:space="0" w:color="auto"/>
              <w:right w:val="single" w:sz="4" w:space="0" w:color="auto"/>
            </w:tcBorders>
            <w:shd w:val="clear" w:color="auto" w:fill="C6EFCE"/>
            <w:noWrap/>
            <w:vAlign w:val="center"/>
          </w:tcPr>
          <w:p w14:paraId="440B6DBA" w14:textId="4848EAB7" w:rsidR="0023462A" w:rsidRDefault="00A550FA">
            <w:pPr>
              <w:pStyle w:val="P68B1DB1-Normal32"/>
              <w:spacing w:after="120" w:line="240" w:lineRule="auto"/>
              <w:rPr>
                <w:noProof/>
              </w:rPr>
            </w:pPr>
            <w:r>
              <w:rPr>
                <w:noProof/>
              </w:rPr>
              <w:t>C8.R24 Audit et contrôle du plan pour la reprise et la résilience et de la protection des intérêts financiers de l’Union</w:t>
            </w:r>
          </w:p>
        </w:tc>
        <w:tc>
          <w:tcPr>
            <w:tcW w:w="709" w:type="dxa"/>
            <w:tcBorders>
              <w:top w:val="nil"/>
              <w:left w:val="nil"/>
              <w:bottom w:val="single" w:sz="4" w:space="0" w:color="auto"/>
              <w:right w:val="single" w:sz="4" w:space="0" w:color="auto"/>
            </w:tcBorders>
            <w:shd w:val="clear" w:color="auto" w:fill="C6EFCE"/>
            <w:noWrap/>
            <w:vAlign w:val="center"/>
          </w:tcPr>
          <w:p w14:paraId="057D49F2" w14:textId="2CAA07AC" w:rsidR="0023462A" w:rsidRDefault="00A550FA">
            <w:pPr>
              <w:pStyle w:val="P68B1DB1-Normal32"/>
              <w:spacing w:after="120" w:line="240" w:lineRule="auto"/>
              <w:rPr>
                <w:rFonts w:eastAsiaTheme="minorHAnsi"/>
                <w:noProof/>
              </w:rPr>
            </w:pPr>
            <w:r>
              <w:rPr>
                <w:noProof/>
              </w:rPr>
              <w:t>Étape</w:t>
            </w:r>
          </w:p>
        </w:tc>
        <w:tc>
          <w:tcPr>
            <w:tcW w:w="1417" w:type="dxa"/>
            <w:tcBorders>
              <w:top w:val="nil"/>
              <w:left w:val="nil"/>
              <w:bottom w:val="single" w:sz="4" w:space="0" w:color="auto"/>
              <w:right w:val="single" w:sz="4" w:space="0" w:color="auto"/>
            </w:tcBorders>
            <w:shd w:val="clear" w:color="auto" w:fill="C6EFCE"/>
            <w:noWrap/>
            <w:vAlign w:val="center"/>
          </w:tcPr>
          <w:p w14:paraId="328A866E" w14:textId="11F51872" w:rsidR="0023462A" w:rsidRDefault="00A550FA">
            <w:pPr>
              <w:pStyle w:val="P68B1DB1-Normal32"/>
              <w:spacing w:after="120" w:line="240" w:lineRule="auto"/>
              <w:rPr>
                <w:rFonts w:eastAsiaTheme="minorHAnsi"/>
                <w:noProof/>
              </w:rPr>
            </w:pPr>
            <w:r>
              <w:rPr>
                <w:noProof/>
              </w:rPr>
              <w:t>Système de suivi de la mise en œuvre du plan hongrois pour la reprise et la résilience</w:t>
            </w:r>
          </w:p>
        </w:tc>
        <w:tc>
          <w:tcPr>
            <w:tcW w:w="1701" w:type="dxa"/>
            <w:tcBorders>
              <w:top w:val="nil"/>
              <w:left w:val="nil"/>
              <w:bottom w:val="single" w:sz="4" w:space="0" w:color="auto"/>
              <w:right w:val="single" w:sz="4" w:space="0" w:color="auto"/>
            </w:tcBorders>
            <w:shd w:val="clear" w:color="auto" w:fill="C6EFCE"/>
            <w:noWrap/>
            <w:vAlign w:val="center"/>
          </w:tcPr>
          <w:p w14:paraId="075408AD" w14:textId="02B7816B" w:rsidR="0023462A" w:rsidRDefault="00A550FA">
            <w:pPr>
              <w:pStyle w:val="P68B1DB1-Normal32"/>
              <w:spacing w:after="120" w:line="240" w:lineRule="auto"/>
              <w:rPr>
                <w:rFonts w:eastAsiaTheme="minorHAnsi"/>
                <w:noProof/>
              </w:rPr>
            </w:pPr>
            <w:r>
              <w:rPr>
                <w:noProof/>
              </w:rPr>
              <w:t>Avis d’audit de l’EUTAF confirmant le fonctionnement du système de répertoires pour le plan pour la reprise et la résilience</w:t>
            </w:r>
          </w:p>
        </w:tc>
        <w:tc>
          <w:tcPr>
            <w:tcW w:w="1418" w:type="dxa"/>
            <w:tcBorders>
              <w:top w:val="nil"/>
              <w:left w:val="nil"/>
              <w:bottom w:val="single" w:sz="4" w:space="0" w:color="auto"/>
              <w:right w:val="single" w:sz="4" w:space="0" w:color="auto"/>
            </w:tcBorders>
            <w:shd w:val="clear" w:color="auto" w:fill="C6EFCE"/>
            <w:noWrap/>
            <w:vAlign w:val="center"/>
          </w:tcPr>
          <w:p w14:paraId="3DDD78BD" w14:textId="77777777" w:rsidR="0023462A" w:rsidRDefault="0023462A">
            <w:pPr>
              <w:spacing w:after="120" w:line="240" w:lineRule="auto"/>
              <w:rPr>
                <w:rFonts w:ascii="Times New Roman" w:eastAsia="Calibri" w:hAnsi="Times New Roman" w:cs="Times New Roman"/>
                <w:noProof/>
                <w:sz w:val="18"/>
                <w:szCs w:val="18"/>
              </w:rPr>
            </w:pPr>
          </w:p>
        </w:tc>
        <w:tc>
          <w:tcPr>
            <w:tcW w:w="1417" w:type="dxa"/>
            <w:tcBorders>
              <w:top w:val="nil"/>
              <w:left w:val="nil"/>
              <w:bottom w:val="single" w:sz="4" w:space="0" w:color="auto"/>
              <w:right w:val="single" w:sz="4" w:space="0" w:color="auto"/>
            </w:tcBorders>
            <w:shd w:val="clear" w:color="auto" w:fill="C6EFCE"/>
            <w:noWrap/>
            <w:vAlign w:val="center"/>
          </w:tcPr>
          <w:p w14:paraId="746DC4B9" w14:textId="77777777" w:rsidR="0023462A" w:rsidRDefault="0023462A">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vAlign w:val="center"/>
          </w:tcPr>
          <w:p w14:paraId="3220D3C9" w14:textId="77777777" w:rsidR="0023462A" w:rsidRDefault="0023462A">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3069931F" w14:textId="00FD1FC0" w:rsidR="0023462A" w:rsidRDefault="00A550FA">
            <w:pPr>
              <w:pStyle w:val="P68B1DB1-Normal32"/>
              <w:spacing w:after="120" w:line="240" w:lineRule="auto"/>
              <w:rPr>
                <w:rFonts w:eastAsiaTheme="minorHAnsi"/>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5D3DE294" w14:textId="676F5DBE" w:rsidR="0023462A" w:rsidRDefault="00A550FA">
            <w:pPr>
              <w:pStyle w:val="P68B1DB1-Normal32"/>
              <w:spacing w:after="120" w:line="240" w:lineRule="auto"/>
              <w:rPr>
                <w:rFonts w:eastAsiaTheme="minorHAnsi"/>
                <w:noProof/>
              </w:rPr>
            </w:pPr>
            <w:r>
              <w:rPr>
                <w:noProof/>
              </w:rPr>
              <w:t>2026</w:t>
            </w:r>
          </w:p>
        </w:tc>
        <w:tc>
          <w:tcPr>
            <w:tcW w:w="3713" w:type="dxa"/>
            <w:tcBorders>
              <w:top w:val="nil"/>
              <w:left w:val="nil"/>
              <w:bottom w:val="single" w:sz="4" w:space="0" w:color="auto"/>
              <w:right w:val="single" w:sz="4" w:space="0" w:color="auto"/>
            </w:tcBorders>
            <w:shd w:val="clear" w:color="auto" w:fill="C6EFCE"/>
            <w:noWrap/>
            <w:vAlign w:val="center"/>
          </w:tcPr>
          <w:p w14:paraId="4377287A" w14:textId="77777777" w:rsidR="0023462A" w:rsidRDefault="00A550FA">
            <w:pPr>
              <w:pStyle w:val="P68B1DB1-Normal32"/>
              <w:spacing w:after="120" w:line="240" w:lineRule="auto"/>
              <w:ind w:left="52"/>
              <w:textAlignment w:val="baseline"/>
              <w:rPr>
                <w:rFonts w:eastAsia="Times New Roman"/>
                <w:noProof/>
              </w:rPr>
            </w:pPr>
            <w:r>
              <w:rPr>
                <w:noProof/>
              </w:rPr>
              <w:t>Un rapport d’audit assorti d’un avis d’audit sans réserve de l’autorité d’audit (EUTAF) confirme que le système de répertoire pour le suivi de la mise en œuvre du plan pour la reprise et la résilience est fonctionnel.</w:t>
            </w:r>
          </w:p>
          <w:p w14:paraId="4D58A0B8" w14:textId="77777777" w:rsidR="0023462A" w:rsidRDefault="00A550FA">
            <w:pPr>
              <w:pStyle w:val="P68B1DB1-Normal32"/>
              <w:spacing w:after="120" w:line="240" w:lineRule="auto"/>
              <w:ind w:left="52"/>
              <w:textAlignment w:val="baseline"/>
              <w:rPr>
                <w:rFonts w:eastAsia="Times New Roman"/>
                <w:noProof/>
              </w:rPr>
            </w:pPr>
            <w:r>
              <w:rPr>
                <w:noProof/>
              </w:rPr>
              <w:t>Le système de dépôt effectue:</w:t>
            </w:r>
          </w:p>
          <w:p w14:paraId="5C1A88DC" w14:textId="77777777" w:rsidR="0023462A" w:rsidRDefault="00A550FA">
            <w:pPr>
              <w:pStyle w:val="P68B1DB1-Normal32"/>
              <w:spacing w:after="120" w:line="240" w:lineRule="auto"/>
              <w:ind w:left="52"/>
              <w:textAlignment w:val="baseline"/>
              <w:rPr>
                <w:rFonts w:eastAsia="Times New Roman"/>
                <w:noProof/>
              </w:rPr>
            </w:pPr>
            <w:r>
              <w:rPr>
                <w:noProof/>
              </w:rPr>
              <w:t>a) la collecte de données et le suivi de la réalisation des jalons et cibles;</w:t>
            </w:r>
          </w:p>
          <w:p w14:paraId="01014DD9" w14:textId="77777777" w:rsidR="0023462A" w:rsidRDefault="00A550FA">
            <w:pPr>
              <w:pStyle w:val="P68B1DB1-Normal32"/>
              <w:spacing w:after="120" w:line="240" w:lineRule="auto"/>
              <w:ind w:left="52"/>
              <w:textAlignment w:val="baseline"/>
              <w:rPr>
                <w:rFonts w:eastAsia="Times New Roman"/>
                <w:noProof/>
              </w:rPr>
            </w:pPr>
            <w:r>
              <w:rPr>
                <w:noProof/>
              </w:rPr>
              <w:t>b) la collecte, le stockage et l’accès aux données requis par l’article 22, paragraphe 2, point d) i) à iii), du règlement FRR.</w:t>
            </w:r>
          </w:p>
          <w:p w14:paraId="2A2A2B32" w14:textId="2A141CDB" w:rsidR="0023462A" w:rsidRDefault="00A550FA">
            <w:pPr>
              <w:pStyle w:val="P68B1DB1-Normal32"/>
              <w:spacing w:after="120" w:line="240" w:lineRule="auto"/>
              <w:ind w:left="52"/>
              <w:textAlignment w:val="baseline"/>
              <w:rPr>
                <w:rFonts w:eastAsiaTheme="minorHAnsi"/>
                <w:noProof/>
              </w:rPr>
            </w:pPr>
            <w:r>
              <w:rPr>
                <w:noProof/>
              </w:rPr>
              <w:t xml:space="preserve">L'accès aux données est garanti aux organismes nationaux et européens à des fins d'audit et de contrôle. </w:t>
            </w:r>
          </w:p>
        </w:tc>
      </w:tr>
      <w:tr w:rsidR="0023462A" w14:paraId="1E2309FE" w14:textId="77777777" w:rsidTr="009C289F">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vAlign w:val="center"/>
          </w:tcPr>
          <w:p w14:paraId="1AA85104" w14:textId="70C41D65" w:rsidR="0023462A" w:rsidRDefault="00A550FA">
            <w:pPr>
              <w:pStyle w:val="P68B1DB1-Normal32"/>
              <w:spacing w:after="120" w:line="240" w:lineRule="auto"/>
              <w:rPr>
                <w:rFonts w:eastAsiaTheme="minorHAnsi"/>
                <w:noProof/>
              </w:rPr>
            </w:pPr>
            <w:r>
              <w:rPr>
                <w:noProof/>
              </w:rPr>
              <w:t>84</w:t>
            </w:r>
          </w:p>
        </w:tc>
        <w:tc>
          <w:tcPr>
            <w:tcW w:w="1559" w:type="dxa"/>
            <w:tcBorders>
              <w:top w:val="nil"/>
              <w:left w:val="nil"/>
              <w:bottom w:val="single" w:sz="4" w:space="0" w:color="auto"/>
              <w:right w:val="single" w:sz="4" w:space="0" w:color="auto"/>
            </w:tcBorders>
            <w:shd w:val="clear" w:color="auto" w:fill="C6EFCE"/>
            <w:noWrap/>
            <w:vAlign w:val="center"/>
          </w:tcPr>
          <w:p w14:paraId="4638D461" w14:textId="30B20EE6" w:rsidR="0023462A" w:rsidRDefault="00A550FA">
            <w:pPr>
              <w:pStyle w:val="P68B1DB1-Normal32"/>
              <w:spacing w:after="120" w:line="240" w:lineRule="auto"/>
              <w:rPr>
                <w:noProof/>
              </w:rPr>
            </w:pPr>
            <w:r>
              <w:rPr>
                <w:noProof/>
              </w:rPr>
              <w:t>C8.R24 Audit et contrôle du plan pour la reprise et la résilience et de la protection des intérêts financiers de l’Union</w:t>
            </w:r>
          </w:p>
        </w:tc>
        <w:tc>
          <w:tcPr>
            <w:tcW w:w="709" w:type="dxa"/>
            <w:tcBorders>
              <w:top w:val="nil"/>
              <w:left w:val="nil"/>
              <w:bottom w:val="single" w:sz="4" w:space="0" w:color="auto"/>
              <w:right w:val="single" w:sz="4" w:space="0" w:color="auto"/>
            </w:tcBorders>
            <w:shd w:val="clear" w:color="auto" w:fill="C6EFCE"/>
            <w:noWrap/>
            <w:vAlign w:val="center"/>
          </w:tcPr>
          <w:p w14:paraId="0D38637C" w14:textId="448C9EE6" w:rsidR="0023462A" w:rsidRDefault="00A550FA">
            <w:pPr>
              <w:pStyle w:val="P68B1DB1-Normal32"/>
              <w:spacing w:after="120" w:line="240" w:lineRule="auto"/>
              <w:rPr>
                <w:rFonts w:eastAsiaTheme="minorHAnsi"/>
                <w:noProof/>
              </w:rPr>
            </w:pPr>
            <w:r>
              <w:rPr>
                <w:noProof/>
              </w:rPr>
              <w:t>Étape</w:t>
            </w:r>
          </w:p>
        </w:tc>
        <w:tc>
          <w:tcPr>
            <w:tcW w:w="1417" w:type="dxa"/>
            <w:tcBorders>
              <w:top w:val="nil"/>
              <w:left w:val="nil"/>
              <w:bottom w:val="single" w:sz="4" w:space="0" w:color="auto"/>
              <w:right w:val="single" w:sz="4" w:space="0" w:color="auto"/>
            </w:tcBorders>
            <w:shd w:val="clear" w:color="auto" w:fill="C6EFCE"/>
            <w:noWrap/>
            <w:vAlign w:val="center"/>
          </w:tcPr>
          <w:p w14:paraId="474D4225" w14:textId="61B8BBBD" w:rsidR="0023462A" w:rsidRDefault="00A550FA">
            <w:pPr>
              <w:pStyle w:val="P68B1DB1-Normal32"/>
              <w:spacing w:after="120" w:line="240" w:lineRule="auto"/>
              <w:rPr>
                <w:rFonts w:eastAsiaTheme="minorHAnsi"/>
                <w:noProof/>
              </w:rPr>
            </w:pPr>
            <w:r>
              <w:rPr>
                <w:noProof/>
              </w:rPr>
              <w:t>Audit de la mise en œuvre du plan hongrois pour la reprise et la résilience</w:t>
            </w:r>
          </w:p>
        </w:tc>
        <w:tc>
          <w:tcPr>
            <w:tcW w:w="1701" w:type="dxa"/>
            <w:tcBorders>
              <w:top w:val="nil"/>
              <w:left w:val="nil"/>
              <w:bottom w:val="single" w:sz="4" w:space="0" w:color="auto"/>
              <w:right w:val="single" w:sz="4" w:space="0" w:color="auto"/>
            </w:tcBorders>
            <w:shd w:val="clear" w:color="auto" w:fill="C6EFCE"/>
            <w:noWrap/>
            <w:vAlign w:val="center"/>
          </w:tcPr>
          <w:p w14:paraId="79EF64D2" w14:textId="070727DE" w:rsidR="0023462A" w:rsidRDefault="00A550FA">
            <w:pPr>
              <w:pStyle w:val="P68B1DB1-Normal32"/>
              <w:spacing w:after="120" w:line="240" w:lineRule="auto"/>
              <w:rPr>
                <w:rFonts w:eastAsiaTheme="minorHAnsi"/>
                <w:noProof/>
              </w:rPr>
            </w:pPr>
            <w:r>
              <w:rPr>
                <w:noProof/>
              </w:rPr>
              <w:t>Approbation d’une stratégie d’audit par l’EUTAF pour le plan pour la reprise et la résilience</w:t>
            </w:r>
          </w:p>
        </w:tc>
        <w:tc>
          <w:tcPr>
            <w:tcW w:w="1418" w:type="dxa"/>
            <w:tcBorders>
              <w:top w:val="nil"/>
              <w:left w:val="nil"/>
              <w:bottom w:val="single" w:sz="4" w:space="0" w:color="auto"/>
              <w:right w:val="single" w:sz="4" w:space="0" w:color="auto"/>
            </w:tcBorders>
            <w:shd w:val="clear" w:color="auto" w:fill="C6EFCE"/>
            <w:noWrap/>
            <w:vAlign w:val="center"/>
          </w:tcPr>
          <w:p w14:paraId="6FFBD541" w14:textId="77777777" w:rsidR="0023462A" w:rsidRDefault="0023462A">
            <w:pPr>
              <w:spacing w:after="120" w:line="240" w:lineRule="auto"/>
              <w:rPr>
                <w:rFonts w:ascii="Times New Roman" w:eastAsia="Calibri" w:hAnsi="Times New Roman" w:cs="Times New Roman"/>
                <w:noProof/>
                <w:sz w:val="18"/>
                <w:szCs w:val="18"/>
              </w:rPr>
            </w:pPr>
          </w:p>
        </w:tc>
        <w:tc>
          <w:tcPr>
            <w:tcW w:w="1417" w:type="dxa"/>
            <w:tcBorders>
              <w:top w:val="nil"/>
              <w:left w:val="nil"/>
              <w:bottom w:val="single" w:sz="4" w:space="0" w:color="auto"/>
              <w:right w:val="single" w:sz="4" w:space="0" w:color="auto"/>
            </w:tcBorders>
            <w:shd w:val="clear" w:color="auto" w:fill="C6EFCE"/>
            <w:noWrap/>
            <w:vAlign w:val="center"/>
          </w:tcPr>
          <w:p w14:paraId="2B312051" w14:textId="77777777" w:rsidR="0023462A" w:rsidRDefault="0023462A">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vAlign w:val="center"/>
          </w:tcPr>
          <w:p w14:paraId="16B18717" w14:textId="77777777" w:rsidR="0023462A" w:rsidRDefault="0023462A">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339831A8" w14:textId="172AC9B3" w:rsidR="0023462A" w:rsidRDefault="00A550FA">
            <w:pPr>
              <w:pStyle w:val="P68B1DB1-Normal32"/>
              <w:spacing w:after="120" w:line="240" w:lineRule="auto"/>
              <w:rPr>
                <w:rFonts w:eastAsiaTheme="minorHAnsi"/>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70B5CBA0" w14:textId="17E61CCD" w:rsidR="0023462A" w:rsidRDefault="00A550FA">
            <w:pPr>
              <w:pStyle w:val="P68B1DB1-Normal32"/>
              <w:spacing w:after="120" w:line="240" w:lineRule="auto"/>
              <w:rPr>
                <w:rFonts w:eastAsiaTheme="minorHAnsi"/>
                <w:noProof/>
              </w:rPr>
            </w:pPr>
            <w:r>
              <w:rPr>
                <w:noProof/>
              </w:rPr>
              <w:t>2026</w:t>
            </w:r>
          </w:p>
        </w:tc>
        <w:tc>
          <w:tcPr>
            <w:tcW w:w="3713" w:type="dxa"/>
            <w:tcBorders>
              <w:top w:val="nil"/>
              <w:left w:val="nil"/>
              <w:bottom w:val="single" w:sz="4" w:space="0" w:color="auto"/>
              <w:right w:val="single" w:sz="4" w:space="0" w:color="auto"/>
            </w:tcBorders>
            <w:shd w:val="clear" w:color="auto" w:fill="C6EFCE"/>
            <w:noWrap/>
            <w:vAlign w:val="center"/>
          </w:tcPr>
          <w:p w14:paraId="517C768E" w14:textId="77777777" w:rsidR="0023462A" w:rsidRDefault="00A550FA">
            <w:pPr>
              <w:pStyle w:val="P68B1DB1-Normal32"/>
              <w:spacing w:after="120" w:line="240" w:lineRule="auto"/>
              <w:ind w:left="52"/>
              <w:textAlignment w:val="baseline"/>
              <w:rPr>
                <w:noProof/>
              </w:rPr>
            </w:pPr>
            <w:r>
              <w:rPr>
                <w:noProof/>
              </w:rPr>
              <w:t xml:space="preserve">Approbation d’une stratégie d’audit pour l’autorité d’audit (EUTAF), prévoyant que l’audit de la mise en œuvre du plan pour la reprise et la résilience de la Hongrie soit effectué conformément aux normes d’audit internationalement reconnues pour la période allant au moins jusqu’à la fin de 2028. </w:t>
            </w:r>
          </w:p>
          <w:p w14:paraId="0951B1EA" w14:textId="21BD4EE3" w:rsidR="0023462A" w:rsidRDefault="00A550FA">
            <w:pPr>
              <w:pStyle w:val="P68B1DB1-Normal32"/>
              <w:spacing w:after="120" w:line="240" w:lineRule="auto"/>
              <w:ind w:left="52"/>
              <w:textAlignment w:val="baseline"/>
              <w:rPr>
                <w:rFonts w:eastAsiaTheme="minorHAnsi"/>
                <w:noProof/>
              </w:rPr>
            </w:pPr>
            <w:r>
              <w:rPr>
                <w:noProof/>
              </w:rPr>
              <w:t>La stratégie définit la méthodologie et l’approche en matière d’évaluation des risques, la fréquence et le type d’audits (tels que les audits des systèmes et des projets, les audits documentaires et les audits sur place) à effectuer aux différentes étapes de la mise en œuvre des réformes et des investissements mis en œuvre dans le cadre du plan pour la reprise et la résilience, ainsi que la fiabilité des données à l’appui de la réalisation des jalons et cibles. Outre un degré élevé de tests de validation, les audits devraient garantir un degré suffisamment élevé de couverture des contrôles visant à déterminer si les organismes d’exécution respectent l’exigence visée au jalon 75, point h).</w:t>
            </w:r>
          </w:p>
        </w:tc>
      </w:tr>
      <w:tr w:rsidR="0023462A" w14:paraId="0B0360DF" w14:textId="77777777" w:rsidTr="009C289F">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vAlign w:val="center"/>
          </w:tcPr>
          <w:p w14:paraId="772F0C70" w14:textId="2832B719" w:rsidR="0023462A" w:rsidRDefault="00A550FA">
            <w:pPr>
              <w:pStyle w:val="P68B1DB1-Normal66"/>
              <w:spacing w:after="120" w:line="240" w:lineRule="auto"/>
              <w:rPr>
                <w:noProof/>
              </w:rPr>
            </w:pPr>
            <w:r>
              <w:rPr>
                <w:noProof/>
              </w:rPr>
              <w:t>85</w:t>
            </w:r>
          </w:p>
        </w:tc>
        <w:tc>
          <w:tcPr>
            <w:tcW w:w="1559" w:type="dxa"/>
            <w:tcBorders>
              <w:top w:val="nil"/>
              <w:left w:val="nil"/>
              <w:bottom w:val="single" w:sz="4" w:space="0" w:color="auto"/>
              <w:right w:val="single" w:sz="4" w:space="0" w:color="auto"/>
            </w:tcBorders>
            <w:shd w:val="clear" w:color="auto" w:fill="C6EFCE"/>
            <w:noWrap/>
            <w:vAlign w:val="center"/>
          </w:tcPr>
          <w:p w14:paraId="62FD1EF8" w14:textId="5C6649E7" w:rsidR="0023462A" w:rsidRDefault="00A550FA">
            <w:pPr>
              <w:pStyle w:val="P68B1DB1-Normal32"/>
              <w:spacing w:after="120" w:line="240" w:lineRule="auto"/>
              <w:rPr>
                <w:noProof/>
              </w:rPr>
            </w:pPr>
            <w:r>
              <w:rPr>
                <w:noProof/>
              </w:rPr>
              <w:t>C8.R25 Renforcer la transparence et l'accès à l'information publique</w:t>
            </w:r>
          </w:p>
        </w:tc>
        <w:tc>
          <w:tcPr>
            <w:tcW w:w="709" w:type="dxa"/>
            <w:tcBorders>
              <w:top w:val="nil"/>
              <w:left w:val="nil"/>
              <w:bottom w:val="single" w:sz="4" w:space="0" w:color="auto"/>
              <w:right w:val="single" w:sz="4" w:space="0" w:color="auto"/>
            </w:tcBorders>
            <w:shd w:val="clear" w:color="auto" w:fill="C6EFCE"/>
            <w:noWrap/>
            <w:vAlign w:val="center"/>
          </w:tcPr>
          <w:p w14:paraId="2399FAB8" w14:textId="52E5F6C7" w:rsidR="0023462A" w:rsidRDefault="00A550FA">
            <w:pPr>
              <w:pStyle w:val="P68B1DB1-Normal66"/>
              <w:spacing w:after="120" w:line="240" w:lineRule="auto"/>
              <w:rPr>
                <w:noProof/>
              </w:rPr>
            </w:pPr>
            <w:r>
              <w:rPr>
                <w:noProof/>
              </w:rPr>
              <w:t>Étape</w:t>
            </w:r>
          </w:p>
        </w:tc>
        <w:tc>
          <w:tcPr>
            <w:tcW w:w="1417" w:type="dxa"/>
            <w:tcBorders>
              <w:top w:val="nil"/>
              <w:left w:val="nil"/>
              <w:bottom w:val="single" w:sz="4" w:space="0" w:color="auto"/>
              <w:right w:val="single" w:sz="4" w:space="0" w:color="auto"/>
            </w:tcBorders>
            <w:shd w:val="clear" w:color="auto" w:fill="C6EFCE"/>
            <w:noWrap/>
            <w:vAlign w:val="center"/>
          </w:tcPr>
          <w:p w14:paraId="65342A86" w14:textId="5B3901F7" w:rsidR="0023462A" w:rsidRDefault="00A550FA">
            <w:pPr>
              <w:pStyle w:val="P68B1DB1-Normal66"/>
              <w:spacing w:after="120" w:line="240" w:lineRule="auto"/>
              <w:rPr>
                <w:noProof/>
              </w:rPr>
            </w:pPr>
            <w:r>
              <w:rPr>
                <w:noProof/>
              </w:rPr>
              <w:t>Entrée en vigueur d’un ou de plusieurs actes juridiques garantissant la prévisibilité juridique dans les affaires d’accès à l’information publique devant les tribunaux</w:t>
            </w:r>
          </w:p>
        </w:tc>
        <w:tc>
          <w:tcPr>
            <w:tcW w:w="1701" w:type="dxa"/>
            <w:tcBorders>
              <w:top w:val="nil"/>
              <w:left w:val="nil"/>
              <w:bottom w:val="single" w:sz="4" w:space="0" w:color="auto"/>
              <w:right w:val="single" w:sz="4" w:space="0" w:color="auto"/>
            </w:tcBorders>
            <w:shd w:val="clear" w:color="auto" w:fill="C6EFCE"/>
            <w:noWrap/>
            <w:vAlign w:val="center"/>
          </w:tcPr>
          <w:p w14:paraId="1D50540A" w14:textId="350D3A1F" w:rsidR="0023462A" w:rsidRDefault="00A550FA">
            <w:pPr>
              <w:pStyle w:val="P68B1DB1-Normal66"/>
              <w:spacing w:after="120" w:line="240" w:lineRule="auto"/>
              <w:rPr>
                <w:noProof/>
              </w:rPr>
            </w:pPr>
            <w:r>
              <w:rPr>
                <w:noProof/>
              </w:rPr>
              <w:t>Disposition du ou des actes juridiques indiquant l’entrée en vigueur</w:t>
            </w:r>
          </w:p>
        </w:tc>
        <w:tc>
          <w:tcPr>
            <w:tcW w:w="1418" w:type="dxa"/>
            <w:tcBorders>
              <w:top w:val="nil"/>
              <w:left w:val="nil"/>
              <w:bottom w:val="single" w:sz="4" w:space="0" w:color="auto"/>
              <w:right w:val="single" w:sz="4" w:space="0" w:color="auto"/>
            </w:tcBorders>
            <w:shd w:val="clear" w:color="auto" w:fill="C6EFCE"/>
            <w:noWrap/>
            <w:vAlign w:val="center"/>
          </w:tcPr>
          <w:p w14:paraId="2DB4B2B0" w14:textId="77777777" w:rsidR="0023462A" w:rsidRDefault="0023462A">
            <w:pPr>
              <w:spacing w:after="120" w:line="240" w:lineRule="auto"/>
              <w:rPr>
                <w:rFonts w:ascii="Times New Roman" w:eastAsia="Calibri" w:hAnsi="Times New Roman" w:cs="Times New Roman"/>
                <w:noProof/>
                <w:sz w:val="18"/>
                <w:szCs w:val="18"/>
              </w:rPr>
            </w:pPr>
          </w:p>
        </w:tc>
        <w:tc>
          <w:tcPr>
            <w:tcW w:w="1417" w:type="dxa"/>
            <w:tcBorders>
              <w:top w:val="nil"/>
              <w:left w:val="nil"/>
              <w:bottom w:val="single" w:sz="4" w:space="0" w:color="auto"/>
              <w:right w:val="single" w:sz="4" w:space="0" w:color="auto"/>
            </w:tcBorders>
            <w:shd w:val="clear" w:color="auto" w:fill="C6EFCE"/>
            <w:noWrap/>
            <w:vAlign w:val="center"/>
          </w:tcPr>
          <w:p w14:paraId="0837E67A" w14:textId="77777777" w:rsidR="0023462A" w:rsidRDefault="0023462A">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vAlign w:val="center"/>
          </w:tcPr>
          <w:p w14:paraId="6391964F" w14:textId="77777777" w:rsidR="0023462A" w:rsidRDefault="0023462A">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6340332F" w14:textId="70E21456" w:rsidR="0023462A" w:rsidRDefault="00A550FA">
            <w:pPr>
              <w:pStyle w:val="P68B1DB1-Normal66"/>
              <w:spacing w:after="120" w:line="240" w:lineRule="auto"/>
              <w:rPr>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30F86DCA" w14:textId="3D4A0287" w:rsidR="0023462A" w:rsidRDefault="00A550FA">
            <w:pPr>
              <w:pStyle w:val="P68B1DB1-Normal66"/>
              <w:spacing w:after="120" w:line="240" w:lineRule="auto"/>
              <w:rPr>
                <w:noProof/>
              </w:rPr>
            </w:pPr>
            <w:r>
              <w:rPr>
                <w:noProof/>
              </w:rPr>
              <w:t>2026</w:t>
            </w:r>
          </w:p>
        </w:tc>
        <w:tc>
          <w:tcPr>
            <w:tcW w:w="3713" w:type="dxa"/>
            <w:tcBorders>
              <w:top w:val="nil"/>
              <w:left w:val="nil"/>
              <w:bottom w:val="single" w:sz="4" w:space="0" w:color="auto"/>
              <w:right w:val="single" w:sz="4" w:space="0" w:color="auto"/>
            </w:tcBorders>
            <w:shd w:val="clear" w:color="auto" w:fill="C6EFCE"/>
            <w:noWrap/>
            <w:vAlign w:val="center"/>
          </w:tcPr>
          <w:p w14:paraId="662CD1AD" w14:textId="21B8D874" w:rsidR="0023462A" w:rsidRDefault="00A550FA">
            <w:pPr>
              <w:pStyle w:val="P68B1DB1-Normal66"/>
              <w:spacing w:after="120" w:line="240" w:lineRule="auto"/>
              <w:ind w:left="52"/>
              <w:textAlignment w:val="baseline"/>
              <w:rPr>
                <w:rFonts w:eastAsia="Times New Roman"/>
                <w:noProof/>
              </w:rPr>
            </w:pPr>
            <w:r>
              <w:rPr>
                <w:noProof/>
              </w:rPr>
              <w:t>Entrée en vigueur d’un ou de plusieurs actes juridiques prévoyant une procédure exceptionnelle pour les demandes d’accès à l’information publique:</w:t>
            </w:r>
          </w:p>
          <w:p w14:paraId="7A28DFE4" w14:textId="26712CE3" w:rsidR="0023462A" w:rsidRDefault="00A550FA">
            <w:pPr>
              <w:pStyle w:val="P68B1DB1-ListParagraph67"/>
              <w:numPr>
                <w:ilvl w:val="0"/>
                <w:numId w:val="155"/>
              </w:numPr>
              <w:spacing w:after="120" w:line="240" w:lineRule="auto"/>
              <w:contextualSpacing w:val="0"/>
              <w:textAlignment w:val="baseline"/>
              <w:rPr>
                <w:noProof/>
              </w:rPr>
            </w:pPr>
            <w:r>
              <w:rPr>
                <w:noProof/>
              </w:rPr>
              <w:t>qui instaure une procédure exceptionnelle avec les mêmes étapes procédurales et les mêmes délais que ceux appliqués dans les affaires de rectification de la presse, conformément à la loi CXXX de 2016 sur les procédures civiles (articles 495 à 501).</w:t>
            </w:r>
          </w:p>
          <w:p w14:paraId="45989E72" w14:textId="154D6F50" w:rsidR="0023462A" w:rsidRDefault="00A550FA">
            <w:pPr>
              <w:pStyle w:val="P68B1DB1-ListParagraph68"/>
              <w:numPr>
                <w:ilvl w:val="0"/>
                <w:numId w:val="155"/>
              </w:numPr>
              <w:spacing w:after="120" w:line="240" w:lineRule="auto"/>
              <w:contextualSpacing w:val="0"/>
              <w:textAlignment w:val="baseline"/>
              <w:rPr>
                <w:rFonts w:eastAsiaTheme="minorHAnsi"/>
                <w:noProof/>
              </w:rPr>
            </w:pPr>
            <w:r>
              <w:rPr>
                <w:noProof/>
              </w:rPr>
              <w:t xml:space="preserve">qui imposent au responsable du traitement des données et au demandeur de données d’agir de bonne foi et de coopérer entre eux afin de faciliter la transparence dans l’utilisation des fonds et actifs publics. </w:t>
            </w:r>
          </w:p>
        </w:tc>
      </w:tr>
      <w:tr w:rsidR="0023462A" w14:paraId="560BBB25" w14:textId="77777777" w:rsidTr="009C289F">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vAlign w:val="center"/>
          </w:tcPr>
          <w:p w14:paraId="2DEA4A01" w14:textId="107F968C" w:rsidR="0023462A" w:rsidRDefault="00A550FA">
            <w:pPr>
              <w:pStyle w:val="P68B1DB1-Normal66"/>
              <w:spacing w:after="120" w:line="240" w:lineRule="auto"/>
              <w:rPr>
                <w:noProof/>
              </w:rPr>
            </w:pPr>
            <w:r>
              <w:rPr>
                <w:noProof/>
              </w:rPr>
              <w:t>86</w:t>
            </w:r>
          </w:p>
        </w:tc>
        <w:tc>
          <w:tcPr>
            <w:tcW w:w="1559" w:type="dxa"/>
            <w:tcBorders>
              <w:top w:val="nil"/>
              <w:left w:val="nil"/>
              <w:bottom w:val="single" w:sz="4" w:space="0" w:color="auto"/>
              <w:right w:val="single" w:sz="4" w:space="0" w:color="auto"/>
            </w:tcBorders>
            <w:shd w:val="clear" w:color="auto" w:fill="C6EFCE"/>
            <w:noWrap/>
            <w:vAlign w:val="center"/>
          </w:tcPr>
          <w:p w14:paraId="1025D8C4" w14:textId="06D58619" w:rsidR="0023462A" w:rsidRDefault="00A550FA">
            <w:pPr>
              <w:pStyle w:val="P68B1DB1-Normal32"/>
              <w:spacing w:after="120" w:line="240" w:lineRule="auto"/>
              <w:rPr>
                <w:noProof/>
              </w:rPr>
            </w:pPr>
            <w:r>
              <w:rPr>
                <w:noProof/>
              </w:rPr>
              <w:t>C8.R25 Renforcer la transparence et l'accès à l'information publique</w:t>
            </w:r>
          </w:p>
        </w:tc>
        <w:tc>
          <w:tcPr>
            <w:tcW w:w="709" w:type="dxa"/>
            <w:tcBorders>
              <w:top w:val="nil"/>
              <w:left w:val="nil"/>
              <w:bottom w:val="single" w:sz="4" w:space="0" w:color="auto"/>
              <w:right w:val="single" w:sz="4" w:space="0" w:color="auto"/>
            </w:tcBorders>
            <w:shd w:val="clear" w:color="auto" w:fill="C6EFCE"/>
            <w:noWrap/>
            <w:vAlign w:val="center"/>
          </w:tcPr>
          <w:p w14:paraId="16F986DC" w14:textId="43B1A49D" w:rsidR="0023462A" w:rsidRDefault="00A550FA">
            <w:pPr>
              <w:pStyle w:val="P68B1DB1-Normal66"/>
              <w:spacing w:after="120" w:line="240" w:lineRule="auto"/>
              <w:rPr>
                <w:noProof/>
              </w:rPr>
            </w:pPr>
            <w:r>
              <w:rPr>
                <w:noProof/>
              </w:rPr>
              <w:t>Étape</w:t>
            </w:r>
          </w:p>
        </w:tc>
        <w:tc>
          <w:tcPr>
            <w:tcW w:w="1417" w:type="dxa"/>
            <w:tcBorders>
              <w:top w:val="nil"/>
              <w:left w:val="nil"/>
              <w:bottom w:val="single" w:sz="4" w:space="0" w:color="auto"/>
              <w:right w:val="single" w:sz="4" w:space="0" w:color="auto"/>
            </w:tcBorders>
            <w:shd w:val="clear" w:color="auto" w:fill="C6EFCE"/>
            <w:noWrap/>
            <w:vAlign w:val="center"/>
          </w:tcPr>
          <w:p w14:paraId="7DB76D7A" w14:textId="1104F8B3" w:rsidR="0023462A" w:rsidRDefault="00A550FA">
            <w:pPr>
              <w:pStyle w:val="P68B1DB1-Normal66"/>
              <w:spacing w:after="120" w:line="240" w:lineRule="auto"/>
              <w:rPr>
                <w:noProof/>
              </w:rPr>
            </w:pPr>
            <w:r>
              <w:rPr>
                <w:noProof/>
              </w:rPr>
              <w:t>Entrée en vigueur des modifications législatives garantissant une transparence accrue de l'information du public</w:t>
            </w:r>
          </w:p>
        </w:tc>
        <w:tc>
          <w:tcPr>
            <w:tcW w:w="1701" w:type="dxa"/>
            <w:tcBorders>
              <w:top w:val="nil"/>
              <w:left w:val="nil"/>
              <w:bottom w:val="single" w:sz="4" w:space="0" w:color="auto"/>
              <w:right w:val="single" w:sz="4" w:space="0" w:color="auto"/>
            </w:tcBorders>
            <w:shd w:val="clear" w:color="auto" w:fill="C6EFCE"/>
            <w:noWrap/>
            <w:vAlign w:val="center"/>
          </w:tcPr>
          <w:p w14:paraId="00EFCD12" w14:textId="06C5A074" w:rsidR="0023462A" w:rsidRDefault="00A550FA">
            <w:pPr>
              <w:pStyle w:val="P68B1DB1-Normal66"/>
              <w:spacing w:after="120" w:line="240" w:lineRule="auto"/>
              <w:rPr>
                <w:noProof/>
              </w:rPr>
            </w:pPr>
            <w:r>
              <w:rPr>
                <w:noProof/>
              </w:rPr>
              <w:t>Dispositions des modifications législatives indiquant leur entrée en vigueur</w:t>
            </w:r>
          </w:p>
        </w:tc>
        <w:tc>
          <w:tcPr>
            <w:tcW w:w="1418" w:type="dxa"/>
            <w:tcBorders>
              <w:top w:val="nil"/>
              <w:left w:val="nil"/>
              <w:bottom w:val="single" w:sz="4" w:space="0" w:color="auto"/>
              <w:right w:val="single" w:sz="4" w:space="0" w:color="auto"/>
            </w:tcBorders>
            <w:shd w:val="clear" w:color="auto" w:fill="C6EFCE"/>
            <w:noWrap/>
            <w:vAlign w:val="center"/>
          </w:tcPr>
          <w:p w14:paraId="0A9AE6D0" w14:textId="77777777" w:rsidR="0023462A" w:rsidRDefault="0023462A">
            <w:pPr>
              <w:spacing w:after="120" w:line="240" w:lineRule="auto"/>
              <w:rPr>
                <w:rFonts w:ascii="Times New Roman" w:eastAsia="Calibri" w:hAnsi="Times New Roman" w:cs="Times New Roman"/>
                <w:noProof/>
                <w:sz w:val="18"/>
                <w:szCs w:val="18"/>
              </w:rPr>
            </w:pPr>
          </w:p>
        </w:tc>
        <w:tc>
          <w:tcPr>
            <w:tcW w:w="1417" w:type="dxa"/>
            <w:tcBorders>
              <w:top w:val="nil"/>
              <w:left w:val="nil"/>
              <w:bottom w:val="single" w:sz="4" w:space="0" w:color="auto"/>
              <w:right w:val="single" w:sz="4" w:space="0" w:color="auto"/>
            </w:tcBorders>
            <w:shd w:val="clear" w:color="auto" w:fill="C6EFCE"/>
            <w:noWrap/>
            <w:vAlign w:val="center"/>
          </w:tcPr>
          <w:p w14:paraId="739560AC" w14:textId="77777777" w:rsidR="0023462A" w:rsidRDefault="0023462A">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vAlign w:val="center"/>
          </w:tcPr>
          <w:p w14:paraId="44AAAB25" w14:textId="77777777" w:rsidR="0023462A" w:rsidRDefault="0023462A">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62748806" w14:textId="0476C38A" w:rsidR="0023462A" w:rsidRDefault="00A550FA">
            <w:pPr>
              <w:pStyle w:val="P68B1DB1-Normal66"/>
              <w:spacing w:after="120" w:line="240" w:lineRule="auto"/>
              <w:rPr>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2B93495D" w14:textId="19812C16" w:rsidR="0023462A" w:rsidRDefault="00A550FA">
            <w:pPr>
              <w:pStyle w:val="P68B1DB1-Normal66"/>
              <w:spacing w:after="120" w:line="240" w:lineRule="auto"/>
              <w:rPr>
                <w:noProof/>
              </w:rPr>
            </w:pPr>
            <w:r>
              <w:rPr>
                <w:noProof/>
              </w:rPr>
              <w:t>2026</w:t>
            </w:r>
          </w:p>
        </w:tc>
        <w:tc>
          <w:tcPr>
            <w:tcW w:w="3713" w:type="dxa"/>
            <w:tcBorders>
              <w:top w:val="nil"/>
              <w:left w:val="nil"/>
              <w:bottom w:val="single" w:sz="4" w:space="0" w:color="auto"/>
              <w:right w:val="single" w:sz="4" w:space="0" w:color="auto"/>
            </w:tcBorders>
            <w:shd w:val="clear" w:color="auto" w:fill="C6EFCE"/>
            <w:noWrap/>
            <w:vAlign w:val="center"/>
          </w:tcPr>
          <w:p w14:paraId="61F14164" w14:textId="76DBF0A5" w:rsidR="0023462A" w:rsidRDefault="00A550FA">
            <w:pPr>
              <w:pStyle w:val="P68B1DB1-Normal66"/>
              <w:spacing w:after="120" w:line="240" w:lineRule="auto"/>
              <w:ind w:left="52"/>
              <w:textAlignment w:val="baseline"/>
              <w:rPr>
                <w:rFonts w:eastAsia="Times New Roman"/>
                <w:noProof/>
              </w:rPr>
            </w:pPr>
            <w:r>
              <w:rPr>
                <w:noProof/>
              </w:rPr>
              <w:t xml:space="preserve">Entrée en vigueur des modifications législatives visant à établir la règle principale selon laquelle les informations publiques sont fournies gratuitement et les frais d'accès à ces informations publiques ne peuvent être appliqués que dans des circonstances exceptionnelles et clairement définies. À cet égard, les modifications: </w:t>
            </w:r>
          </w:p>
          <w:p w14:paraId="7F667C9B" w14:textId="77777777" w:rsidR="0023462A" w:rsidRDefault="00A550FA">
            <w:pPr>
              <w:pStyle w:val="P68B1DB1-Normal66"/>
              <w:spacing w:after="120" w:line="240" w:lineRule="auto"/>
              <w:ind w:left="52"/>
              <w:textAlignment w:val="baseline"/>
              <w:rPr>
                <w:rFonts w:eastAsia="Times New Roman"/>
                <w:noProof/>
              </w:rPr>
            </w:pPr>
            <w:r>
              <w:rPr>
                <w:noProof/>
              </w:rPr>
              <w:t>i) supprimer la possibilité de facturer les coûts de main-d’œuvre liés à l’exécution des demandes d’accès aux informations publiques;</w:t>
            </w:r>
          </w:p>
          <w:p w14:paraId="19C73A00" w14:textId="77777777" w:rsidR="0023462A" w:rsidRDefault="00A550FA">
            <w:pPr>
              <w:pStyle w:val="P68B1DB1-Normal66"/>
              <w:spacing w:after="120" w:line="240" w:lineRule="auto"/>
              <w:ind w:left="52"/>
              <w:textAlignment w:val="baseline"/>
              <w:rPr>
                <w:rFonts w:eastAsia="Times New Roman"/>
                <w:noProof/>
              </w:rPr>
            </w:pPr>
            <w:r>
              <w:rPr>
                <w:noProof/>
              </w:rPr>
              <w:t>ii) définir les coûts unitaires accessibles au public liés aux coûts de copie et de fourniture des informations demandées;</w:t>
            </w:r>
          </w:p>
          <w:p w14:paraId="0B08D6DD" w14:textId="5FCE9A41" w:rsidR="0023462A" w:rsidRDefault="00A550FA">
            <w:pPr>
              <w:pStyle w:val="P68B1DB1-Normal66"/>
              <w:spacing w:after="120" w:line="240" w:lineRule="auto"/>
              <w:ind w:left="52"/>
              <w:textAlignment w:val="baseline"/>
              <w:rPr>
                <w:rFonts w:eastAsia="Times New Roman"/>
                <w:noProof/>
              </w:rPr>
            </w:pPr>
            <w:r>
              <w:rPr>
                <w:noProof/>
              </w:rPr>
              <w:t>iii) établir la règle selon laquelle les redevances perçues ne dépassent pas le coût réel supporté par le titulaire des informations publiques demandées lorsqu’il répond à cette demande d’informations concernant les catégories de coûts visées au point ii) et uniquement si ces coûts dépassent 10 000 HUF;</w:t>
            </w:r>
          </w:p>
          <w:p w14:paraId="6D278CFC" w14:textId="7757AE43" w:rsidR="0023462A" w:rsidRDefault="00A550FA">
            <w:pPr>
              <w:pStyle w:val="P68B1DB1-Normal66"/>
              <w:spacing w:after="120" w:line="240" w:lineRule="auto"/>
              <w:ind w:left="52"/>
              <w:textAlignment w:val="baseline"/>
              <w:rPr>
                <w:rFonts w:eastAsia="Times New Roman"/>
                <w:noProof/>
              </w:rPr>
            </w:pPr>
            <w:r>
              <w:rPr>
                <w:noProof/>
              </w:rPr>
              <w:t>iv) Introduire un plafond global raisonnablement bas de 190 000 HUF maximum pour les coûts associés qui peuvent être pris en compte par un organisme public lorsqu’il répond à une demande individuelle d’accès à l’information publique; et</w:t>
            </w:r>
          </w:p>
          <w:p w14:paraId="4C723FF0" w14:textId="16ECD53E" w:rsidR="0023462A" w:rsidRDefault="00A550FA">
            <w:pPr>
              <w:pStyle w:val="P68B1DB1-Normal32"/>
              <w:spacing w:after="120" w:line="240" w:lineRule="auto"/>
              <w:ind w:left="52"/>
              <w:textAlignment w:val="baseline"/>
              <w:rPr>
                <w:rFonts w:eastAsia="Times New Roman"/>
                <w:noProof/>
              </w:rPr>
            </w:pPr>
            <w:r>
              <w:rPr>
                <w:noProof/>
              </w:rPr>
              <w:t>v) abroger les dispositions permettant à un organisme exerçant des fonctions publiques de refuser une demande de données au motif qu’elle impliquerait l’acquisition, la collecte ou le traitement de données ou exigerait la création de nouvelles données.</w:t>
            </w:r>
          </w:p>
        </w:tc>
      </w:tr>
      <w:tr w:rsidR="0023462A" w14:paraId="19159CD4" w14:textId="77777777" w:rsidTr="009C289F">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vAlign w:val="center"/>
          </w:tcPr>
          <w:p w14:paraId="3362532C" w14:textId="5D7C1588" w:rsidR="0023462A" w:rsidRDefault="00A550FA">
            <w:pPr>
              <w:pStyle w:val="P68B1DB1-Normal66"/>
              <w:spacing w:after="120" w:line="240" w:lineRule="auto"/>
              <w:rPr>
                <w:noProof/>
              </w:rPr>
            </w:pPr>
            <w:r>
              <w:rPr>
                <w:noProof/>
              </w:rPr>
              <w:t>87</w:t>
            </w:r>
          </w:p>
        </w:tc>
        <w:tc>
          <w:tcPr>
            <w:tcW w:w="1559" w:type="dxa"/>
            <w:tcBorders>
              <w:top w:val="nil"/>
              <w:left w:val="nil"/>
              <w:bottom w:val="single" w:sz="4" w:space="0" w:color="auto"/>
              <w:right w:val="single" w:sz="4" w:space="0" w:color="auto"/>
            </w:tcBorders>
            <w:shd w:val="clear" w:color="auto" w:fill="C6EFCE"/>
            <w:noWrap/>
            <w:vAlign w:val="center"/>
          </w:tcPr>
          <w:p w14:paraId="5E1D8A83" w14:textId="15590636" w:rsidR="0023462A" w:rsidRDefault="00A550FA">
            <w:pPr>
              <w:pStyle w:val="P68B1DB1-Normal32"/>
              <w:spacing w:after="120" w:line="240" w:lineRule="auto"/>
              <w:rPr>
                <w:noProof/>
              </w:rPr>
            </w:pPr>
            <w:r>
              <w:rPr>
                <w:noProof/>
              </w:rPr>
              <w:t>C8.R25 Renforcer la transparence et l'accès à l'information publique</w:t>
            </w:r>
          </w:p>
        </w:tc>
        <w:tc>
          <w:tcPr>
            <w:tcW w:w="709" w:type="dxa"/>
            <w:tcBorders>
              <w:top w:val="nil"/>
              <w:left w:val="nil"/>
              <w:bottom w:val="single" w:sz="4" w:space="0" w:color="auto"/>
              <w:right w:val="single" w:sz="4" w:space="0" w:color="auto"/>
            </w:tcBorders>
            <w:shd w:val="clear" w:color="auto" w:fill="C6EFCE"/>
            <w:noWrap/>
            <w:vAlign w:val="center"/>
          </w:tcPr>
          <w:p w14:paraId="2E57B808" w14:textId="4A6E93F1" w:rsidR="0023462A" w:rsidRDefault="00A550FA">
            <w:pPr>
              <w:pStyle w:val="P68B1DB1-Normal66"/>
              <w:spacing w:after="120" w:line="240" w:lineRule="auto"/>
              <w:rPr>
                <w:noProof/>
              </w:rPr>
            </w:pPr>
            <w:r>
              <w:rPr>
                <w:noProof/>
              </w:rPr>
              <w:t>Étape</w:t>
            </w:r>
          </w:p>
        </w:tc>
        <w:tc>
          <w:tcPr>
            <w:tcW w:w="1417" w:type="dxa"/>
            <w:tcBorders>
              <w:top w:val="nil"/>
              <w:left w:val="nil"/>
              <w:bottom w:val="single" w:sz="4" w:space="0" w:color="auto"/>
              <w:right w:val="single" w:sz="4" w:space="0" w:color="auto"/>
            </w:tcBorders>
            <w:shd w:val="clear" w:color="auto" w:fill="C6EFCE"/>
            <w:noWrap/>
            <w:vAlign w:val="center"/>
          </w:tcPr>
          <w:p w14:paraId="763BC8B8" w14:textId="2C59C9E3" w:rsidR="0023462A" w:rsidRDefault="00A550FA">
            <w:pPr>
              <w:pStyle w:val="P68B1DB1-Normal66"/>
              <w:spacing w:after="120" w:line="240" w:lineRule="auto"/>
              <w:rPr>
                <w:noProof/>
              </w:rPr>
            </w:pPr>
            <w:r>
              <w:rPr>
                <w:noProof/>
              </w:rPr>
              <w:t>Rapport(s) de l’autorité nationale chargée de la protection des données et de la liberté d’information sur l’accès à l’information publique </w:t>
            </w:r>
          </w:p>
        </w:tc>
        <w:tc>
          <w:tcPr>
            <w:tcW w:w="1701" w:type="dxa"/>
            <w:tcBorders>
              <w:top w:val="nil"/>
              <w:left w:val="nil"/>
              <w:bottom w:val="single" w:sz="4" w:space="0" w:color="auto"/>
              <w:right w:val="single" w:sz="4" w:space="0" w:color="auto"/>
            </w:tcBorders>
            <w:shd w:val="clear" w:color="auto" w:fill="C6EFCE"/>
            <w:noWrap/>
            <w:vAlign w:val="center"/>
          </w:tcPr>
          <w:p w14:paraId="6E90356D" w14:textId="563C3B32" w:rsidR="0023462A" w:rsidRDefault="00A550FA">
            <w:pPr>
              <w:pStyle w:val="P68B1DB1-Normal66"/>
              <w:spacing w:after="120" w:line="240" w:lineRule="auto"/>
              <w:rPr>
                <w:noProof/>
              </w:rPr>
            </w:pPr>
            <w:r>
              <w:rPr>
                <w:noProof/>
              </w:rPr>
              <w:t>Mise à disposition en ligne du ou des rapports de l’autorité nationale chargée de la protection des données et de la liberté de l’information sur le respect par les organismes publics de leurs obligations respectives en matière d’accès à l’information publique</w:t>
            </w:r>
          </w:p>
        </w:tc>
        <w:tc>
          <w:tcPr>
            <w:tcW w:w="1418" w:type="dxa"/>
            <w:tcBorders>
              <w:top w:val="nil"/>
              <w:left w:val="nil"/>
              <w:bottom w:val="single" w:sz="4" w:space="0" w:color="auto"/>
              <w:right w:val="single" w:sz="4" w:space="0" w:color="auto"/>
            </w:tcBorders>
            <w:shd w:val="clear" w:color="auto" w:fill="C6EFCE"/>
            <w:noWrap/>
            <w:vAlign w:val="center"/>
          </w:tcPr>
          <w:p w14:paraId="2D5E76BB" w14:textId="7EB76E38" w:rsidR="0023462A" w:rsidRDefault="00A550FA">
            <w:pPr>
              <w:pStyle w:val="P68B1DB1-Normal66"/>
              <w:spacing w:after="120" w:line="240" w:lineRule="auto"/>
              <w:rPr>
                <w:rFonts w:eastAsia="Calibri"/>
                <w:noProof/>
              </w:rPr>
            </w:pPr>
            <w:r>
              <w:rPr>
                <w:noProof/>
              </w:rPr>
              <w:t xml:space="preserve"> </w:t>
            </w:r>
          </w:p>
        </w:tc>
        <w:tc>
          <w:tcPr>
            <w:tcW w:w="1417" w:type="dxa"/>
            <w:tcBorders>
              <w:top w:val="nil"/>
              <w:left w:val="nil"/>
              <w:bottom w:val="single" w:sz="4" w:space="0" w:color="auto"/>
              <w:right w:val="single" w:sz="4" w:space="0" w:color="auto"/>
            </w:tcBorders>
            <w:shd w:val="clear" w:color="auto" w:fill="C6EFCE"/>
            <w:noWrap/>
            <w:vAlign w:val="center"/>
          </w:tcPr>
          <w:p w14:paraId="1BFDBF93" w14:textId="5E0C6363" w:rsidR="0023462A" w:rsidRDefault="00A550FA">
            <w:pPr>
              <w:pStyle w:val="P68B1DB1-Normal66"/>
              <w:spacing w:after="120" w:line="240" w:lineRule="auto"/>
              <w:rPr>
                <w:rFonts w:eastAsia="Calibri"/>
                <w:noProof/>
              </w:rPr>
            </w:pPr>
            <w:r>
              <w:rPr>
                <w:noProof/>
              </w:rPr>
              <w:t xml:space="preserve"> </w:t>
            </w:r>
          </w:p>
        </w:tc>
        <w:tc>
          <w:tcPr>
            <w:tcW w:w="993" w:type="dxa"/>
            <w:tcBorders>
              <w:top w:val="nil"/>
              <w:left w:val="nil"/>
              <w:bottom w:val="single" w:sz="4" w:space="0" w:color="auto"/>
              <w:right w:val="single" w:sz="4" w:space="0" w:color="auto"/>
            </w:tcBorders>
            <w:shd w:val="clear" w:color="auto" w:fill="C6EFCE"/>
            <w:noWrap/>
            <w:vAlign w:val="center"/>
          </w:tcPr>
          <w:p w14:paraId="70AB237F" w14:textId="1C4DC647" w:rsidR="0023462A" w:rsidRDefault="00A550FA">
            <w:pPr>
              <w:pStyle w:val="P68B1DB1-Normal66"/>
              <w:spacing w:after="120" w:line="240" w:lineRule="auto"/>
              <w:rPr>
                <w:rFonts w:eastAsia="Calibri"/>
                <w:noProof/>
              </w:rPr>
            </w:pPr>
            <w:r>
              <w:rPr>
                <w:noProof/>
              </w:rPr>
              <w:t xml:space="preserve"> </w:t>
            </w:r>
          </w:p>
        </w:tc>
        <w:tc>
          <w:tcPr>
            <w:tcW w:w="1134" w:type="dxa"/>
            <w:tcBorders>
              <w:top w:val="nil"/>
              <w:left w:val="nil"/>
              <w:bottom w:val="single" w:sz="4" w:space="0" w:color="auto"/>
              <w:right w:val="single" w:sz="4" w:space="0" w:color="auto"/>
            </w:tcBorders>
            <w:shd w:val="clear" w:color="auto" w:fill="C6EFCE"/>
            <w:noWrap/>
            <w:vAlign w:val="center"/>
          </w:tcPr>
          <w:p w14:paraId="707DA8B5" w14:textId="6EBC4830" w:rsidR="0023462A" w:rsidRDefault="00A550FA">
            <w:pPr>
              <w:pStyle w:val="P68B1DB1-Normal66"/>
              <w:spacing w:after="120" w:line="240" w:lineRule="auto"/>
              <w:rPr>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1FBE2569" w14:textId="482A54B2" w:rsidR="0023462A" w:rsidRDefault="00A550FA">
            <w:pPr>
              <w:pStyle w:val="P68B1DB1-Normal66"/>
              <w:spacing w:after="120" w:line="240" w:lineRule="auto"/>
              <w:rPr>
                <w:noProof/>
              </w:rPr>
            </w:pPr>
            <w:r>
              <w:rPr>
                <w:noProof/>
              </w:rPr>
              <w:t>2026</w:t>
            </w:r>
          </w:p>
        </w:tc>
        <w:tc>
          <w:tcPr>
            <w:tcW w:w="3713" w:type="dxa"/>
            <w:tcBorders>
              <w:top w:val="nil"/>
              <w:left w:val="nil"/>
              <w:bottom w:val="single" w:sz="4" w:space="0" w:color="auto"/>
              <w:right w:val="single" w:sz="4" w:space="0" w:color="auto"/>
            </w:tcBorders>
            <w:shd w:val="clear" w:color="auto" w:fill="C6EFCE"/>
            <w:noWrap/>
            <w:vAlign w:val="center"/>
          </w:tcPr>
          <w:p w14:paraId="1B0002DD" w14:textId="489CC05E" w:rsidR="0023462A" w:rsidRDefault="00A550FA">
            <w:pPr>
              <w:pStyle w:val="P68B1DB1-Normal66"/>
              <w:spacing w:after="120" w:line="240" w:lineRule="auto"/>
              <w:ind w:left="52"/>
              <w:textAlignment w:val="baseline"/>
              <w:rPr>
                <w:rFonts w:eastAsia="Times New Roman"/>
                <w:noProof/>
              </w:rPr>
            </w:pPr>
            <w:r>
              <w:rPr>
                <w:noProof/>
              </w:rPr>
              <w:t>L’autorité nationale chargée de la protection des données et de la liberté de l’information effectue des contrôles auprès des organismes exerçant des fonctions publiques d’office et sur plainte afin d’évaluer s’ils respectent leurs exigences respectives en matière de transparence des données publiques et de fourniture d’accès aux données d’intérêt public.</w:t>
            </w:r>
          </w:p>
          <w:p w14:paraId="5CADF825" w14:textId="45FA94A4" w:rsidR="0023462A" w:rsidRDefault="00A550FA">
            <w:pPr>
              <w:pStyle w:val="P68B1DB1-Normal66"/>
              <w:spacing w:after="120" w:line="240" w:lineRule="auto"/>
              <w:ind w:left="52"/>
              <w:textAlignment w:val="baseline"/>
              <w:rPr>
                <w:rFonts w:eastAsia="Times New Roman"/>
                <w:noProof/>
              </w:rPr>
            </w:pPr>
            <w:r>
              <w:rPr>
                <w:noProof/>
              </w:rPr>
              <w:t>Les résultats des contrôles sont résumés dans un ou plusieurs rapports identifiant la manière de remédier aux lacunes et d’en assurer le suivi, ainsi que des recommandations sur la manière d’améliorer l’accès aux données publiques. </w:t>
            </w:r>
          </w:p>
        </w:tc>
      </w:tr>
      <w:tr w:rsidR="0023462A" w14:paraId="1385BD6B" w14:textId="77777777" w:rsidTr="009C289F">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vAlign w:val="center"/>
          </w:tcPr>
          <w:p w14:paraId="15C9D1A2" w14:textId="00D13FD7" w:rsidR="0023462A" w:rsidRDefault="00A550FA">
            <w:pPr>
              <w:pStyle w:val="P68B1DB1-Normal66"/>
              <w:spacing w:after="120" w:line="240" w:lineRule="auto"/>
              <w:rPr>
                <w:noProof/>
              </w:rPr>
            </w:pPr>
            <w:r>
              <w:rPr>
                <w:noProof/>
              </w:rPr>
              <w:br w:type="page"/>
              <w:t>88</w:t>
            </w:r>
          </w:p>
        </w:tc>
        <w:tc>
          <w:tcPr>
            <w:tcW w:w="1559" w:type="dxa"/>
            <w:tcBorders>
              <w:top w:val="nil"/>
              <w:left w:val="nil"/>
              <w:bottom w:val="single" w:sz="4" w:space="0" w:color="auto"/>
              <w:right w:val="single" w:sz="4" w:space="0" w:color="auto"/>
            </w:tcBorders>
            <w:shd w:val="clear" w:color="auto" w:fill="C6EFCE"/>
            <w:noWrap/>
            <w:vAlign w:val="center"/>
          </w:tcPr>
          <w:p w14:paraId="7A7C0119" w14:textId="65B1F53B" w:rsidR="0023462A" w:rsidRDefault="00A550FA">
            <w:pPr>
              <w:pStyle w:val="P68B1DB1-Normal32"/>
              <w:spacing w:after="120" w:line="240" w:lineRule="auto"/>
              <w:rPr>
                <w:noProof/>
              </w:rPr>
            </w:pPr>
            <w:r>
              <w:rPr>
                <w:noProof/>
              </w:rPr>
              <w:t>C8.R26 Améliorer la qualité du processus législatif et la participation des parties prenantes et des partenaires sociaux au processus décisionnel</w:t>
            </w:r>
          </w:p>
        </w:tc>
        <w:tc>
          <w:tcPr>
            <w:tcW w:w="709" w:type="dxa"/>
            <w:tcBorders>
              <w:top w:val="nil"/>
              <w:left w:val="nil"/>
              <w:bottom w:val="single" w:sz="4" w:space="0" w:color="auto"/>
              <w:right w:val="single" w:sz="4" w:space="0" w:color="auto"/>
            </w:tcBorders>
            <w:shd w:val="clear" w:color="auto" w:fill="C6EFCE"/>
            <w:noWrap/>
            <w:vAlign w:val="center"/>
          </w:tcPr>
          <w:p w14:paraId="024326B4" w14:textId="701181B6" w:rsidR="0023462A" w:rsidRDefault="00A550FA">
            <w:pPr>
              <w:pStyle w:val="P68B1DB1-Normal66"/>
              <w:spacing w:after="120" w:line="240" w:lineRule="auto"/>
              <w:rPr>
                <w:noProof/>
              </w:rPr>
            </w:pPr>
            <w:r>
              <w:rPr>
                <w:noProof/>
              </w:rPr>
              <w:t>Étape</w:t>
            </w:r>
          </w:p>
        </w:tc>
        <w:tc>
          <w:tcPr>
            <w:tcW w:w="1417" w:type="dxa"/>
            <w:tcBorders>
              <w:top w:val="nil"/>
              <w:left w:val="nil"/>
              <w:bottom w:val="single" w:sz="4" w:space="0" w:color="auto"/>
              <w:right w:val="single" w:sz="4" w:space="0" w:color="auto"/>
            </w:tcBorders>
            <w:shd w:val="clear" w:color="auto" w:fill="C6EFCE"/>
            <w:noWrap/>
            <w:vAlign w:val="center"/>
          </w:tcPr>
          <w:p w14:paraId="65307C5D" w14:textId="6AAA22DE" w:rsidR="0023462A" w:rsidRDefault="00A550FA">
            <w:pPr>
              <w:pStyle w:val="P68B1DB1-Normal66"/>
              <w:spacing w:after="120" w:line="240" w:lineRule="auto"/>
              <w:rPr>
                <w:noProof/>
              </w:rPr>
            </w:pPr>
            <w:r>
              <w:rPr>
                <w:noProof/>
              </w:rPr>
              <w:t>Entrée en vigueur d’un ou de plusieurs actes juridiques comprenant des dispositions relatives à la participation des parties prenantes à la mise en œuvre et au suivi du plan pour la reprise et la résilience</w:t>
            </w:r>
          </w:p>
        </w:tc>
        <w:tc>
          <w:tcPr>
            <w:tcW w:w="1701" w:type="dxa"/>
            <w:tcBorders>
              <w:top w:val="nil"/>
              <w:left w:val="nil"/>
              <w:bottom w:val="single" w:sz="4" w:space="0" w:color="auto"/>
              <w:right w:val="single" w:sz="4" w:space="0" w:color="auto"/>
            </w:tcBorders>
            <w:shd w:val="clear" w:color="auto" w:fill="C6EFCE"/>
            <w:noWrap/>
            <w:vAlign w:val="center"/>
          </w:tcPr>
          <w:p w14:paraId="101FE5BD" w14:textId="1C089350" w:rsidR="0023462A" w:rsidRDefault="00A550FA">
            <w:pPr>
              <w:pStyle w:val="P68B1DB1-Normal66"/>
              <w:spacing w:after="120" w:line="240" w:lineRule="auto"/>
              <w:rPr>
                <w:noProof/>
              </w:rPr>
            </w:pPr>
            <w:r>
              <w:rPr>
                <w:noProof/>
              </w:rPr>
              <w:t xml:space="preserve">Disposition du ou des actes juridiques indiquant l’entrée en vigueur </w:t>
            </w:r>
          </w:p>
        </w:tc>
        <w:tc>
          <w:tcPr>
            <w:tcW w:w="1418" w:type="dxa"/>
            <w:tcBorders>
              <w:top w:val="nil"/>
              <w:left w:val="nil"/>
              <w:bottom w:val="single" w:sz="4" w:space="0" w:color="auto"/>
              <w:right w:val="single" w:sz="4" w:space="0" w:color="auto"/>
            </w:tcBorders>
            <w:shd w:val="clear" w:color="auto" w:fill="C6EFCE"/>
            <w:noWrap/>
            <w:vAlign w:val="center"/>
          </w:tcPr>
          <w:p w14:paraId="32BD47FF" w14:textId="77777777" w:rsidR="0023462A" w:rsidRDefault="0023462A">
            <w:pPr>
              <w:spacing w:after="120" w:line="240" w:lineRule="auto"/>
              <w:rPr>
                <w:rFonts w:ascii="Times New Roman" w:eastAsia="Calibri" w:hAnsi="Times New Roman" w:cs="Times New Roman"/>
                <w:noProof/>
                <w:sz w:val="18"/>
                <w:szCs w:val="18"/>
              </w:rPr>
            </w:pPr>
          </w:p>
        </w:tc>
        <w:tc>
          <w:tcPr>
            <w:tcW w:w="1417" w:type="dxa"/>
            <w:tcBorders>
              <w:top w:val="nil"/>
              <w:left w:val="nil"/>
              <w:bottom w:val="single" w:sz="4" w:space="0" w:color="auto"/>
              <w:right w:val="single" w:sz="4" w:space="0" w:color="auto"/>
            </w:tcBorders>
            <w:shd w:val="clear" w:color="auto" w:fill="C6EFCE"/>
            <w:noWrap/>
            <w:vAlign w:val="center"/>
          </w:tcPr>
          <w:p w14:paraId="227FCE4A" w14:textId="77777777" w:rsidR="0023462A" w:rsidRDefault="0023462A">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vAlign w:val="center"/>
          </w:tcPr>
          <w:p w14:paraId="1C19BFC2" w14:textId="77777777" w:rsidR="0023462A" w:rsidRDefault="0023462A">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22DE24E9" w14:textId="62D5A17A" w:rsidR="0023462A" w:rsidRDefault="00A550FA">
            <w:pPr>
              <w:pStyle w:val="P68B1DB1-Normal66"/>
              <w:spacing w:after="120" w:line="240" w:lineRule="auto"/>
              <w:rPr>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3F3AB14C" w14:textId="083714D7" w:rsidR="0023462A" w:rsidRDefault="00A550FA">
            <w:pPr>
              <w:pStyle w:val="P68B1DB1-Normal66"/>
              <w:spacing w:after="120" w:line="240" w:lineRule="auto"/>
              <w:rPr>
                <w:noProof/>
              </w:rPr>
            </w:pPr>
            <w:r>
              <w:rPr>
                <w:noProof/>
              </w:rPr>
              <w:t>2026</w:t>
            </w:r>
          </w:p>
        </w:tc>
        <w:tc>
          <w:tcPr>
            <w:tcW w:w="3713" w:type="dxa"/>
            <w:tcBorders>
              <w:top w:val="nil"/>
              <w:left w:val="nil"/>
              <w:bottom w:val="single" w:sz="4" w:space="0" w:color="auto"/>
              <w:right w:val="single" w:sz="4" w:space="0" w:color="auto"/>
            </w:tcBorders>
            <w:shd w:val="clear" w:color="auto" w:fill="C6EFCE"/>
            <w:noWrap/>
            <w:vAlign w:val="center"/>
          </w:tcPr>
          <w:p w14:paraId="483866A2" w14:textId="77777777" w:rsidR="0023462A" w:rsidRDefault="00A550FA">
            <w:pPr>
              <w:pStyle w:val="P68B1DB1-Normal66"/>
              <w:spacing w:after="120" w:line="240" w:lineRule="auto"/>
              <w:ind w:left="52"/>
              <w:textAlignment w:val="baseline"/>
              <w:rPr>
                <w:rFonts w:eastAsia="Times New Roman"/>
                <w:noProof/>
              </w:rPr>
            </w:pPr>
            <w:r>
              <w:rPr>
                <w:noProof/>
              </w:rPr>
              <w:t>Entrée en vigueur d'un ou de plusieurs actes juridiques prévoyant:</w:t>
            </w:r>
          </w:p>
          <w:p w14:paraId="36C625DA" w14:textId="1FBCC077" w:rsidR="0023462A" w:rsidRDefault="00A550FA">
            <w:pPr>
              <w:pStyle w:val="P68B1DB1-Normal66"/>
              <w:spacing w:after="120" w:line="240" w:lineRule="auto"/>
              <w:ind w:left="52"/>
              <w:textAlignment w:val="baseline"/>
              <w:rPr>
                <w:rFonts w:eastAsia="Times New Roman"/>
                <w:noProof/>
              </w:rPr>
            </w:pPr>
            <w:r>
              <w:rPr>
                <w:noProof/>
              </w:rPr>
              <w:t>(1) l’obligation d’élaborer une stratégie définissant les tâches et les responsabilités relatives à la manière dont les principales parties prenantes sont associées à la mise en œuvre des mesures du plan pour la reprise et la résilience;</w:t>
            </w:r>
          </w:p>
          <w:p w14:paraId="6AA6DD3B" w14:textId="6E90825E" w:rsidR="0023462A" w:rsidRDefault="00A550FA">
            <w:pPr>
              <w:pStyle w:val="P68B1DB1-Normal66"/>
              <w:spacing w:after="120" w:line="240" w:lineRule="auto"/>
              <w:ind w:left="52"/>
              <w:textAlignment w:val="baseline"/>
              <w:rPr>
                <w:rFonts w:eastAsia="Times New Roman"/>
                <w:noProof/>
              </w:rPr>
            </w:pPr>
            <w:r>
              <w:rPr>
                <w:noProof/>
              </w:rPr>
              <w:t>(2) la base juridique et l'obligation de mettre en place un comité de suivi, composé des parties prenantes et des partenaires sociaux concernés par la mise en œuvre des composantes du plan pour la reprise et la résilience. Le comité de suivi est chargé de suivre en permanence la mise en œuvre du plan pour la reprise et la résilience également au-delà de 2026. Tous les membres du comité de suivi ont les mêmes droits et obligations. Au moins 50 % des membres du comité de suivi représentent des organisations de la société civile indépendantes du gouvernement et des organismes publics. Ces organisations sont sélectionnées dans le cadre d'une procédure de sélection ouverte, transparente et non discriminatoire fondée sur des critères objectifs liés à l'expertise et au mérite des organisations actives dans un ou plusieurs des domaines suivants: la politique sociale; l'éducation; le marché du travail; les soins de santé; environnement; la lutte contre le changement climatique; énergie; le développement durable; les transports durables; promouvoir les droits fondamentaux, l'égalité de traitement et la non-discrimination; la lutte contre la corruption; et la transparence. Membres du comité de suivi représentant la société civile.</w:t>
            </w:r>
          </w:p>
          <w:p w14:paraId="49B0825B" w14:textId="3CF8BBCE" w:rsidR="0023462A" w:rsidRDefault="00A550FA">
            <w:pPr>
              <w:pStyle w:val="P68B1DB1-Normal32"/>
              <w:spacing w:after="120" w:line="240" w:lineRule="auto"/>
              <w:ind w:left="52"/>
              <w:textAlignment w:val="baseline"/>
              <w:rPr>
                <w:rFonts w:eastAsia="Times New Roman"/>
                <w:noProof/>
              </w:rPr>
            </w:pPr>
            <w:r>
              <w:rPr>
                <w:noProof/>
              </w:rPr>
              <w:t xml:space="preserve">3° l'obligation que le comité de suivi se réunisse au moins deux fois par an et reçoive des informations relatives à la mise en œuvre des mesures du plan pour la reprise et la résilience, que le comité de suivi puisse émettre des recommandations à la majorité simple de ses membres, et que l'autorité nationale assure le suivi de ces recommandations et fasse rapport au comité de suivi sur l'état d'avancement de ce suivi; </w:t>
            </w:r>
          </w:p>
        </w:tc>
      </w:tr>
      <w:tr w:rsidR="0023462A" w14:paraId="0640AE21" w14:textId="77777777" w:rsidTr="009C289F">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vAlign w:val="center"/>
          </w:tcPr>
          <w:p w14:paraId="15ABD166" w14:textId="311C58FD" w:rsidR="0023462A" w:rsidRDefault="00A550FA">
            <w:pPr>
              <w:pStyle w:val="P68B1DB1-Normal66"/>
              <w:spacing w:after="120" w:line="240" w:lineRule="auto"/>
              <w:rPr>
                <w:noProof/>
              </w:rPr>
            </w:pPr>
            <w:r>
              <w:rPr>
                <w:noProof/>
              </w:rPr>
              <w:t>89</w:t>
            </w:r>
          </w:p>
        </w:tc>
        <w:tc>
          <w:tcPr>
            <w:tcW w:w="1559" w:type="dxa"/>
            <w:tcBorders>
              <w:top w:val="nil"/>
              <w:left w:val="nil"/>
              <w:bottom w:val="single" w:sz="4" w:space="0" w:color="auto"/>
              <w:right w:val="single" w:sz="4" w:space="0" w:color="auto"/>
            </w:tcBorders>
            <w:shd w:val="clear" w:color="auto" w:fill="C6EFCE"/>
            <w:noWrap/>
            <w:vAlign w:val="center"/>
          </w:tcPr>
          <w:p w14:paraId="7B8CE5EE" w14:textId="7719C7A0" w:rsidR="0023462A" w:rsidRDefault="00A550FA">
            <w:pPr>
              <w:pStyle w:val="P68B1DB1-Normal32"/>
              <w:spacing w:after="120" w:line="240" w:lineRule="auto"/>
              <w:rPr>
                <w:noProof/>
              </w:rPr>
            </w:pPr>
            <w:r>
              <w:rPr>
                <w:noProof/>
              </w:rPr>
              <w:t>C8.R26 Améliorer la qualité du processus législatif et la participation des parties prenantes et des partenaires sociaux au processus décisionnel</w:t>
            </w:r>
          </w:p>
        </w:tc>
        <w:tc>
          <w:tcPr>
            <w:tcW w:w="709" w:type="dxa"/>
            <w:tcBorders>
              <w:top w:val="nil"/>
              <w:left w:val="nil"/>
              <w:bottom w:val="single" w:sz="4" w:space="0" w:color="auto"/>
              <w:right w:val="single" w:sz="4" w:space="0" w:color="auto"/>
            </w:tcBorders>
            <w:shd w:val="clear" w:color="auto" w:fill="C6EFCE"/>
            <w:noWrap/>
            <w:vAlign w:val="center"/>
          </w:tcPr>
          <w:p w14:paraId="675DDE49" w14:textId="3F55468F" w:rsidR="0023462A" w:rsidRDefault="00A550FA">
            <w:pPr>
              <w:pStyle w:val="P68B1DB1-Normal66"/>
              <w:spacing w:after="120" w:line="240" w:lineRule="auto"/>
              <w:rPr>
                <w:noProof/>
              </w:rPr>
            </w:pPr>
            <w:r>
              <w:rPr>
                <w:noProof/>
              </w:rPr>
              <w:t>Étape</w:t>
            </w:r>
          </w:p>
        </w:tc>
        <w:tc>
          <w:tcPr>
            <w:tcW w:w="1417" w:type="dxa"/>
            <w:tcBorders>
              <w:top w:val="nil"/>
              <w:left w:val="nil"/>
              <w:bottom w:val="single" w:sz="4" w:space="0" w:color="auto"/>
              <w:right w:val="single" w:sz="4" w:space="0" w:color="auto"/>
            </w:tcBorders>
            <w:shd w:val="clear" w:color="auto" w:fill="C6EFCE"/>
            <w:noWrap/>
            <w:vAlign w:val="center"/>
          </w:tcPr>
          <w:p w14:paraId="1725760E" w14:textId="22360557" w:rsidR="0023462A" w:rsidRDefault="00A550FA">
            <w:pPr>
              <w:pStyle w:val="P68B1DB1-Normal66"/>
              <w:spacing w:after="120" w:line="240" w:lineRule="auto"/>
              <w:rPr>
                <w:noProof/>
              </w:rPr>
            </w:pPr>
            <w:r>
              <w:rPr>
                <w:noProof/>
              </w:rPr>
              <w:t>Entrée en vigueur d’un ou de plusieurs actes juridiques visant à renforcer le recours aux consultations publiques et aux analyses d’impact dans le cadre du processus législatif</w:t>
            </w:r>
          </w:p>
        </w:tc>
        <w:tc>
          <w:tcPr>
            <w:tcW w:w="1701" w:type="dxa"/>
            <w:tcBorders>
              <w:top w:val="nil"/>
              <w:left w:val="nil"/>
              <w:bottom w:val="single" w:sz="4" w:space="0" w:color="auto"/>
              <w:right w:val="single" w:sz="4" w:space="0" w:color="auto"/>
            </w:tcBorders>
            <w:shd w:val="clear" w:color="auto" w:fill="C6EFCE"/>
            <w:noWrap/>
            <w:vAlign w:val="center"/>
          </w:tcPr>
          <w:p w14:paraId="132EC145" w14:textId="2E2512FE" w:rsidR="0023462A" w:rsidRDefault="00A550FA">
            <w:pPr>
              <w:pStyle w:val="P68B1DB1-Normal66"/>
              <w:spacing w:after="120" w:line="240" w:lineRule="auto"/>
              <w:rPr>
                <w:noProof/>
              </w:rPr>
            </w:pPr>
            <w:r>
              <w:rPr>
                <w:noProof/>
              </w:rPr>
              <w:t xml:space="preserve">Dispositions de l'acte ou des actes juridiques indiquant leur entrée en vigueur </w:t>
            </w:r>
          </w:p>
        </w:tc>
        <w:tc>
          <w:tcPr>
            <w:tcW w:w="1418" w:type="dxa"/>
            <w:tcBorders>
              <w:top w:val="nil"/>
              <w:left w:val="nil"/>
              <w:bottom w:val="single" w:sz="4" w:space="0" w:color="auto"/>
              <w:right w:val="single" w:sz="4" w:space="0" w:color="auto"/>
            </w:tcBorders>
            <w:shd w:val="clear" w:color="auto" w:fill="C6EFCE"/>
            <w:noWrap/>
            <w:vAlign w:val="center"/>
          </w:tcPr>
          <w:p w14:paraId="03B920CD" w14:textId="77777777" w:rsidR="0023462A" w:rsidRDefault="0023462A">
            <w:pPr>
              <w:spacing w:after="120" w:line="240" w:lineRule="auto"/>
              <w:rPr>
                <w:rFonts w:ascii="Times New Roman" w:eastAsia="Calibri" w:hAnsi="Times New Roman" w:cs="Times New Roman"/>
                <w:noProof/>
                <w:sz w:val="18"/>
                <w:szCs w:val="18"/>
              </w:rPr>
            </w:pPr>
          </w:p>
        </w:tc>
        <w:tc>
          <w:tcPr>
            <w:tcW w:w="1417" w:type="dxa"/>
            <w:tcBorders>
              <w:top w:val="nil"/>
              <w:left w:val="nil"/>
              <w:bottom w:val="single" w:sz="4" w:space="0" w:color="auto"/>
              <w:right w:val="single" w:sz="4" w:space="0" w:color="auto"/>
            </w:tcBorders>
            <w:shd w:val="clear" w:color="auto" w:fill="C6EFCE"/>
            <w:noWrap/>
            <w:vAlign w:val="center"/>
          </w:tcPr>
          <w:p w14:paraId="702C1CCE" w14:textId="77777777" w:rsidR="0023462A" w:rsidRDefault="0023462A">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vAlign w:val="center"/>
          </w:tcPr>
          <w:p w14:paraId="6759FDD9" w14:textId="77777777" w:rsidR="0023462A" w:rsidRDefault="0023462A">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026C6725" w14:textId="7B1EB8ED" w:rsidR="0023462A" w:rsidRDefault="00A550FA">
            <w:pPr>
              <w:pStyle w:val="P68B1DB1-Normal66"/>
              <w:spacing w:after="120" w:line="240" w:lineRule="auto"/>
              <w:rPr>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13BDACD8" w14:textId="51663AC9" w:rsidR="0023462A" w:rsidRDefault="00A550FA">
            <w:pPr>
              <w:pStyle w:val="P68B1DB1-Normal66"/>
              <w:spacing w:after="120" w:line="240" w:lineRule="auto"/>
              <w:rPr>
                <w:noProof/>
              </w:rPr>
            </w:pPr>
            <w:r>
              <w:rPr>
                <w:noProof/>
              </w:rPr>
              <w:t>2026</w:t>
            </w:r>
          </w:p>
        </w:tc>
        <w:tc>
          <w:tcPr>
            <w:tcW w:w="3713" w:type="dxa"/>
            <w:tcBorders>
              <w:top w:val="nil"/>
              <w:left w:val="nil"/>
              <w:bottom w:val="single" w:sz="4" w:space="0" w:color="auto"/>
              <w:right w:val="single" w:sz="4" w:space="0" w:color="auto"/>
            </w:tcBorders>
            <w:shd w:val="clear" w:color="auto" w:fill="C6EFCE"/>
            <w:noWrap/>
            <w:vAlign w:val="center"/>
          </w:tcPr>
          <w:p w14:paraId="1DCCBBF5" w14:textId="2FCE5ECA" w:rsidR="0023462A" w:rsidRDefault="00A550FA">
            <w:pPr>
              <w:pStyle w:val="P68B1DB1-Normal66"/>
              <w:spacing w:after="120" w:line="240" w:lineRule="auto"/>
              <w:textAlignment w:val="baseline"/>
              <w:rPr>
                <w:rFonts w:eastAsia="Times New Roman"/>
                <w:noProof/>
              </w:rPr>
            </w:pPr>
            <w:r>
              <w:rPr>
                <w:noProof/>
              </w:rPr>
              <w:t>Entrée en vigueur d’un ou de plusieurs actes juridiques visant à garantir que, pour tous les actes législatifs adoptés par le gouvernement (décrets gouvernementaux et décrets ministériels) ou déposés pour adoption au Parlement par le gouvernement (projets de loi), une consultation publique est menée et une analyse d’impact est préparée et des résumés de ces actes sont systématiquement mis à la disposition du public en prévoyant:</w:t>
            </w:r>
          </w:p>
          <w:p w14:paraId="52536CF6" w14:textId="77777777" w:rsidR="0023462A" w:rsidRDefault="00A550FA">
            <w:pPr>
              <w:pStyle w:val="P68B1DB1-Normal66"/>
              <w:spacing w:after="120" w:line="240" w:lineRule="auto"/>
              <w:ind w:left="52"/>
              <w:textAlignment w:val="baseline"/>
              <w:rPr>
                <w:rFonts w:eastAsia="Times New Roman"/>
                <w:noProof/>
              </w:rPr>
            </w:pPr>
            <w:r>
              <w:rPr>
                <w:noProof/>
              </w:rPr>
              <w:t>i) une période minimale de consultation de huit jours (ce qui signifie que le projet d’acte législatif est mis à la disposition du public pour consultation en même temps qu’il est envoyé pour consultation intragouvernementale);</w:t>
            </w:r>
          </w:p>
          <w:p w14:paraId="6587F3BB" w14:textId="77777777" w:rsidR="0023462A" w:rsidRDefault="00A550FA">
            <w:pPr>
              <w:pStyle w:val="P68B1DB1-Normal66"/>
              <w:spacing w:after="120" w:line="240" w:lineRule="auto"/>
              <w:ind w:left="52"/>
              <w:textAlignment w:val="baseline"/>
              <w:rPr>
                <w:rFonts w:eastAsia="Times New Roman"/>
                <w:noProof/>
              </w:rPr>
            </w:pPr>
            <w:r>
              <w:rPr>
                <w:noProof/>
              </w:rPr>
              <w:t>ii) un délai minimal de cinq jours suivant l’expiration de la période de consultation publique pour examiner les contributions reçues au cours de la période de consultation publique, au cours de laquelle l’acte législatif du gouvernement ne sera pas adopté par le gouvernement ou le projet de loi ne sera pas soumis au Parlement;</w:t>
            </w:r>
          </w:p>
          <w:p w14:paraId="2B9E2906" w14:textId="77777777" w:rsidR="0023462A" w:rsidRDefault="00A550FA">
            <w:pPr>
              <w:pStyle w:val="P68B1DB1-Normal66"/>
              <w:spacing w:after="120" w:line="240" w:lineRule="auto"/>
              <w:ind w:left="52"/>
              <w:textAlignment w:val="baseline"/>
              <w:rPr>
                <w:noProof/>
              </w:rPr>
            </w:pPr>
            <w:r>
              <w:rPr>
                <w:noProof/>
              </w:rPr>
              <w:t xml:space="preserve">iii) que la part des actes législatifs susceptibles de relever des exceptions prévues à l’article 5 de la loi CXXXI de 2010 ne dépasse pas 10 %; </w:t>
            </w:r>
          </w:p>
          <w:p w14:paraId="0F9B950F" w14:textId="1CD58647" w:rsidR="0023462A" w:rsidRDefault="00A550FA">
            <w:pPr>
              <w:pStyle w:val="P68B1DB1-Normal66"/>
              <w:spacing w:after="120" w:line="240" w:lineRule="auto"/>
              <w:ind w:left="52"/>
              <w:textAlignment w:val="baseline"/>
              <w:rPr>
                <w:rFonts w:eastAsia="Times New Roman"/>
                <w:noProof/>
              </w:rPr>
            </w:pPr>
            <w:r>
              <w:rPr>
                <w:noProof/>
              </w:rPr>
              <w:t>iv) que le recours à ces exceptions doit être dûment justifié par écrit, avec une référence à l'exception spécifique appliquée;</w:t>
            </w:r>
          </w:p>
          <w:p w14:paraId="5EB213A0" w14:textId="5680FAA6" w:rsidR="0023462A" w:rsidRDefault="00A550FA">
            <w:pPr>
              <w:pStyle w:val="P68B1DB1-Normal66"/>
              <w:spacing w:after="120" w:line="240" w:lineRule="auto"/>
              <w:ind w:left="52"/>
              <w:textAlignment w:val="baseline"/>
              <w:rPr>
                <w:rFonts w:eastAsia="Times New Roman"/>
                <w:noProof/>
              </w:rPr>
            </w:pPr>
            <w:r>
              <w:rPr>
                <w:noProof/>
              </w:rPr>
              <w:t>v) qu’un résumé de l’analyse d’impact préliminaire et un exposé des motifs décrivant l’objectif et les principaux éléments de la proposition soient rendus publics dans tous les cas en même temps que le projet d’acte législatif;</w:t>
            </w:r>
          </w:p>
          <w:p w14:paraId="6E158364" w14:textId="04206B60" w:rsidR="0023462A" w:rsidRDefault="00A550FA">
            <w:pPr>
              <w:pStyle w:val="P68B1DB1-Normal27"/>
              <w:spacing w:after="120" w:line="240" w:lineRule="auto"/>
              <w:ind w:left="52"/>
              <w:textAlignment w:val="baseline"/>
              <w:rPr>
                <w:noProof/>
              </w:rPr>
            </w:pPr>
            <w:r>
              <w:rPr>
                <w:noProof/>
              </w:rPr>
              <w:t xml:space="preserve">vi) étendre l’obligation de procéder à une consultation publique sur les projets d’instruments législatifs relatifs à la ou aux listes de prénoms et supprimer la possibilité de s’appuyer sur des intérêts liés à la conservation de la nature et à la protection de l’environnement du champ d’application des exemptions aux exigences en matière de consultation publique. </w:t>
            </w:r>
          </w:p>
          <w:p w14:paraId="4A5E867E" w14:textId="6AC40083" w:rsidR="0023462A" w:rsidRDefault="00A550FA">
            <w:pPr>
              <w:pStyle w:val="P68B1DB1-Normal66"/>
              <w:spacing w:after="120" w:line="240" w:lineRule="auto"/>
              <w:ind w:left="52"/>
              <w:textAlignment w:val="baseline"/>
              <w:rPr>
                <w:rFonts w:eastAsia="Times New Roman"/>
                <w:noProof/>
              </w:rPr>
            </w:pPr>
            <w:r>
              <w:rPr>
                <w:noProof/>
              </w:rPr>
              <w:t>vii) le Bureau de contrôle du gouvernement (KEHI) vérifie chaque année le respect des exigences en matière de consultation publique de la loi CXXXI de 2010, y compris la mise en œuvre des points i) à vi), en particulier si le recours aux exemptions était dûment justifié et correctement appliqué. Les résultats des contrôles susmentionnés sont publiés chaque année au plus tard le 31 janvier dans un rapport sur le site internet de l'Office.</w:t>
            </w:r>
          </w:p>
          <w:p w14:paraId="6E9C8900" w14:textId="7C549C18" w:rsidR="0023462A" w:rsidRDefault="00A550FA">
            <w:pPr>
              <w:pStyle w:val="P68B1DB1-Normal66"/>
              <w:spacing w:after="120" w:line="240" w:lineRule="auto"/>
              <w:ind w:left="52"/>
              <w:textAlignment w:val="baseline"/>
              <w:rPr>
                <w:noProof/>
              </w:rPr>
            </w:pPr>
            <w:r>
              <w:rPr>
                <w:noProof/>
              </w:rPr>
              <w:t>viii) le Bureau de contrôle du gouvernement impose systématiquement une amende suffisamment élevée au ministère dirigé par le ministre chargé de l'élaboration de la législation concernée en cas de non-respect de l'une des dispositions de la CXXXI de 2010. Les motifs de l'imposition de l'amende sont rendus publics.</w:t>
            </w:r>
          </w:p>
        </w:tc>
      </w:tr>
      <w:tr w:rsidR="0023462A" w14:paraId="44D519B5" w14:textId="77777777" w:rsidTr="009C289F">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vAlign w:val="center"/>
          </w:tcPr>
          <w:p w14:paraId="25816168" w14:textId="05D7EE4F" w:rsidR="0023462A" w:rsidRDefault="00A550FA">
            <w:pPr>
              <w:pStyle w:val="P68B1DB1-Normal66"/>
              <w:spacing w:after="120" w:line="240" w:lineRule="auto"/>
              <w:rPr>
                <w:rFonts w:eastAsia="Calibri"/>
                <w:noProof/>
              </w:rPr>
            </w:pPr>
            <w:r>
              <w:rPr>
                <w:noProof/>
              </w:rPr>
              <w:t>90</w:t>
            </w:r>
          </w:p>
        </w:tc>
        <w:tc>
          <w:tcPr>
            <w:tcW w:w="1559" w:type="dxa"/>
            <w:tcBorders>
              <w:top w:val="nil"/>
              <w:left w:val="nil"/>
              <w:bottom w:val="single" w:sz="4" w:space="0" w:color="auto"/>
              <w:right w:val="single" w:sz="4" w:space="0" w:color="auto"/>
            </w:tcBorders>
            <w:shd w:val="clear" w:color="auto" w:fill="C6EFCE"/>
            <w:noWrap/>
            <w:vAlign w:val="center"/>
          </w:tcPr>
          <w:p w14:paraId="6F82873A" w14:textId="573233D0" w:rsidR="0023462A" w:rsidRDefault="00A550FA">
            <w:pPr>
              <w:pStyle w:val="P68B1DB1-Normal66"/>
              <w:spacing w:after="120" w:line="240" w:lineRule="auto"/>
              <w:rPr>
                <w:rFonts w:eastAsia="Calibri"/>
                <w:noProof/>
              </w:rPr>
            </w:pPr>
            <w:r>
              <w:rPr>
                <w:noProof/>
              </w:rPr>
              <w:t>C8.R27 Examen des exigences minimales en matière de substance aux fins de l'impôt sur le revenu des sociétés</w:t>
            </w:r>
          </w:p>
        </w:tc>
        <w:tc>
          <w:tcPr>
            <w:tcW w:w="709" w:type="dxa"/>
            <w:tcBorders>
              <w:top w:val="nil"/>
              <w:left w:val="nil"/>
              <w:bottom w:val="single" w:sz="4" w:space="0" w:color="auto"/>
              <w:right w:val="single" w:sz="4" w:space="0" w:color="auto"/>
            </w:tcBorders>
            <w:shd w:val="clear" w:color="auto" w:fill="C6EFCE"/>
            <w:noWrap/>
            <w:vAlign w:val="center"/>
          </w:tcPr>
          <w:p w14:paraId="7D8AC1F7" w14:textId="77777777" w:rsidR="0023462A" w:rsidRDefault="00A550FA">
            <w:pPr>
              <w:pStyle w:val="P68B1DB1-Normal66"/>
              <w:spacing w:after="120" w:line="240" w:lineRule="auto"/>
              <w:rPr>
                <w:rFonts w:eastAsia="Calibri"/>
                <w:noProof/>
              </w:rPr>
            </w:pPr>
            <w:r>
              <w:rPr>
                <w:noProof/>
              </w:rPr>
              <w:t>Étape</w:t>
            </w:r>
          </w:p>
        </w:tc>
        <w:tc>
          <w:tcPr>
            <w:tcW w:w="1417" w:type="dxa"/>
            <w:tcBorders>
              <w:top w:val="nil"/>
              <w:left w:val="nil"/>
              <w:bottom w:val="single" w:sz="4" w:space="0" w:color="auto"/>
              <w:right w:val="single" w:sz="4" w:space="0" w:color="auto"/>
            </w:tcBorders>
            <w:shd w:val="clear" w:color="auto" w:fill="C6EFCE"/>
            <w:noWrap/>
            <w:vAlign w:val="center"/>
          </w:tcPr>
          <w:p w14:paraId="4F401159" w14:textId="43C21C73" w:rsidR="0023462A" w:rsidRDefault="00A550FA">
            <w:pPr>
              <w:pStyle w:val="P68B1DB1-Normal66"/>
              <w:spacing w:after="120" w:line="240" w:lineRule="auto"/>
              <w:rPr>
                <w:rFonts w:eastAsia="Times New Roman"/>
                <w:noProof/>
              </w:rPr>
            </w:pPr>
            <w:r>
              <w:rPr>
                <w:noProof/>
              </w:rPr>
              <w:t>Examen indépendant par des experts internationaux des règles nationales de lutte contre l'évasion fiscale</w:t>
            </w:r>
          </w:p>
        </w:tc>
        <w:tc>
          <w:tcPr>
            <w:tcW w:w="1701" w:type="dxa"/>
            <w:tcBorders>
              <w:top w:val="nil"/>
              <w:left w:val="nil"/>
              <w:bottom w:val="single" w:sz="4" w:space="0" w:color="auto"/>
              <w:right w:val="single" w:sz="4" w:space="0" w:color="auto"/>
            </w:tcBorders>
            <w:shd w:val="clear" w:color="auto" w:fill="C6EFCE"/>
            <w:noWrap/>
            <w:vAlign w:val="center"/>
          </w:tcPr>
          <w:p w14:paraId="67E65D78" w14:textId="53ED88EE" w:rsidR="0023462A" w:rsidRDefault="00A550FA">
            <w:pPr>
              <w:pStyle w:val="P68B1DB1-Normal66"/>
              <w:spacing w:after="120" w:line="240" w:lineRule="auto"/>
              <w:rPr>
                <w:rFonts w:eastAsia="Calibri"/>
                <w:noProof/>
              </w:rPr>
            </w:pPr>
            <w:r>
              <w:rPr>
                <w:noProof/>
              </w:rPr>
              <w:t>Publication de la revue</w:t>
            </w:r>
          </w:p>
        </w:tc>
        <w:tc>
          <w:tcPr>
            <w:tcW w:w="1418" w:type="dxa"/>
            <w:tcBorders>
              <w:top w:val="nil"/>
              <w:left w:val="nil"/>
              <w:bottom w:val="single" w:sz="4" w:space="0" w:color="auto"/>
              <w:right w:val="single" w:sz="4" w:space="0" w:color="auto"/>
            </w:tcBorders>
            <w:shd w:val="clear" w:color="auto" w:fill="C6EFCE"/>
            <w:noWrap/>
            <w:vAlign w:val="center"/>
          </w:tcPr>
          <w:p w14:paraId="0B9CB224" w14:textId="77777777" w:rsidR="0023462A" w:rsidRDefault="0023462A">
            <w:pPr>
              <w:spacing w:after="120" w:line="240" w:lineRule="auto"/>
              <w:rPr>
                <w:rFonts w:ascii="Times New Roman" w:eastAsia="Calibri" w:hAnsi="Times New Roman" w:cs="Times New Roman"/>
                <w:noProof/>
                <w:sz w:val="18"/>
                <w:szCs w:val="18"/>
              </w:rPr>
            </w:pPr>
          </w:p>
        </w:tc>
        <w:tc>
          <w:tcPr>
            <w:tcW w:w="1417" w:type="dxa"/>
            <w:tcBorders>
              <w:top w:val="nil"/>
              <w:left w:val="nil"/>
              <w:bottom w:val="single" w:sz="4" w:space="0" w:color="auto"/>
              <w:right w:val="single" w:sz="4" w:space="0" w:color="auto"/>
            </w:tcBorders>
            <w:shd w:val="clear" w:color="auto" w:fill="C6EFCE"/>
            <w:noWrap/>
            <w:vAlign w:val="center"/>
          </w:tcPr>
          <w:p w14:paraId="156AD7FC" w14:textId="77777777" w:rsidR="0023462A" w:rsidRDefault="0023462A">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vAlign w:val="center"/>
          </w:tcPr>
          <w:p w14:paraId="3EECAE45" w14:textId="77777777" w:rsidR="0023462A" w:rsidRDefault="0023462A">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18E67119" w14:textId="6ABC51B1" w:rsidR="0023462A" w:rsidRDefault="00A550FA">
            <w:pPr>
              <w:pStyle w:val="P68B1DB1-Normal66"/>
              <w:spacing w:after="120" w:line="240" w:lineRule="auto"/>
              <w:rPr>
                <w:rFonts w:eastAsia="Calibri"/>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5B8D925D" w14:textId="1B4D6A6F" w:rsidR="0023462A" w:rsidRDefault="00A550FA">
            <w:pPr>
              <w:pStyle w:val="P68B1DB1-Normal66"/>
              <w:spacing w:after="120" w:line="240" w:lineRule="auto"/>
              <w:rPr>
                <w:rFonts w:eastAsia="Calibri"/>
                <w:noProof/>
              </w:rPr>
            </w:pPr>
            <w:r>
              <w:rPr>
                <w:noProof/>
              </w:rPr>
              <w:t>2026</w:t>
            </w:r>
          </w:p>
        </w:tc>
        <w:tc>
          <w:tcPr>
            <w:tcW w:w="3713" w:type="dxa"/>
            <w:tcBorders>
              <w:top w:val="nil"/>
              <w:left w:val="nil"/>
              <w:bottom w:val="single" w:sz="4" w:space="0" w:color="auto"/>
              <w:right w:val="single" w:sz="4" w:space="0" w:color="auto"/>
            </w:tcBorders>
            <w:shd w:val="clear" w:color="auto" w:fill="C6EFCE"/>
            <w:noWrap/>
          </w:tcPr>
          <w:p w14:paraId="7ED749FC" w14:textId="77777777" w:rsidR="0023462A" w:rsidRDefault="00A550FA">
            <w:pPr>
              <w:pStyle w:val="P68B1DB1-Normal66"/>
              <w:spacing w:after="120" w:line="240" w:lineRule="auto"/>
              <w:ind w:left="52"/>
              <w:textAlignment w:val="baseline"/>
              <w:rPr>
                <w:noProof/>
              </w:rPr>
            </w:pPr>
            <w:r>
              <w:rPr>
                <w:noProof/>
              </w:rPr>
              <w:t xml:space="preserve">Publication d’un examen indépendant des règles nationales de lutte contre l’évasion fiscale sur le site web du ministère des finances. </w:t>
            </w:r>
          </w:p>
          <w:p w14:paraId="243E32DF" w14:textId="77777777" w:rsidR="0023462A" w:rsidRDefault="00A550FA">
            <w:pPr>
              <w:pStyle w:val="P68B1DB1-Normal66"/>
              <w:spacing w:after="120" w:line="240" w:lineRule="auto"/>
              <w:ind w:left="52"/>
              <w:textAlignment w:val="baseline"/>
              <w:rPr>
                <w:noProof/>
              </w:rPr>
            </w:pPr>
            <w:r>
              <w:rPr>
                <w:noProof/>
              </w:rPr>
              <w:t>L’examen analyse l’état d’avancement des règles nationales de lutte contre l’évasion fiscale et fournit des propositions et des recommandations concrètes visant à améliorer l’efficacité des règles fiscales en ce qui concerne les entités écrans.</w:t>
            </w:r>
          </w:p>
          <w:p w14:paraId="6134E229" w14:textId="6EAC8BAE" w:rsidR="0023462A" w:rsidRDefault="00A550FA">
            <w:pPr>
              <w:pStyle w:val="P68B1DB1-Normal66"/>
              <w:spacing w:after="120" w:line="240" w:lineRule="auto"/>
              <w:ind w:left="52"/>
              <w:textAlignment w:val="baseline"/>
              <w:rPr>
                <w:rFonts w:eastAsia="Times New Roman"/>
                <w:noProof/>
              </w:rPr>
            </w:pPr>
            <w:r>
              <w:rPr>
                <w:noProof/>
              </w:rPr>
              <w:t xml:space="preserve">L’examen formule également des recommandations sur les exigences minimales en matière de substance aux fins de l’impôt sur les sociétés et sur les conséquences fiscales en cas de non-respect des exigences minimales en matière de substance. </w:t>
            </w:r>
          </w:p>
        </w:tc>
      </w:tr>
      <w:tr w:rsidR="0023462A" w14:paraId="697AC01F" w14:textId="77777777" w:rsidTr="009C289F">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145BD4" w14:textId="2E01F68E" w:rsidR="0023462A" w:rsidRDefault="00A550FA">
            <w:pPr>
              <w:pStyle w:val="P68B1DB1-Normal66"/>
              <w:spacing w:after="120" w:line="240" w:lineRule="auto"/>
              <w:rPr>
                <w:noProof/>
              </w:rPr>
            </w:pPr>
            <w:r>
              <w:rPr>
                <w:noProof/>
              </w:rPr>
              <w:t>91</w:t>
            </w:r>
          </w:p>
        </w:tc>
        <w:tc>
          <w:tcPr>
            <w:tcW w:w="1559" w:type="dxa"/>
            <w:tcBorders>
              <w:top w:val="single" w:sz="4" w:space="0" w:color="auto"/>
              <w:left w:val="nil"/>
              <w:bottom w:val="single" w:sz="4" w:space="0" w:color="auto"/>
              <w:right w:val="single" w:sz="4" w:space="0" w:color="auto"/>
            </w:tcBorders>
            <w:shd w:val="clear" w:color="auto" w:fill="C6EFCE"/>
            <w:noWrap/>
            <w:vAlign w:val="center"/>
          </w:tcPr>
          <w:p w14:paraId="1313B474" w14:textId="7A2324B5" w:rsidR="0023462A" w:rsidRDefault="00A550FA">
            <w:pPr>
              <w:pStyle w:val="P68B1DB1-Normal66"/>
              <w:spacing w:after="120" w:line="240" w:lineRule="auto"/>
              <w:rPr>
                <w:noProof/>
              </w:rPr>
            </w:pPr>
            <w:r>
              <w:rPr>
                <w:noProof/>
              </w:rPr>
              <w:t>C8.R28 Renforcement de la réglementation en matière de prix de transfert</w:t>
            </w:r>
          </w:p>
        </w:tc>
        <w:tc>
          <w:tcPr>
            <w:tcW w:w="709" w:type="dxa"/>
            <w:tcBorders>
              <w:top w:val="single" w:sz="4" w:space="0" w:color="auto"/>
              <w:left w:val="nil"/>
              <w:bottom w:val="single" w:sz="4" w:space="0" w:color="auto"/>
              <w:right w:val="single" w:sz="4" w:space="0" w:color="auto"/>
            </w:tcBorders>
            <w:shd w:val="clear" w:color="auto" w:fill="C6EFCE"/>
            <w:noWrap/>
            <w:vAlign w:val="center"/>
          </w:tcPr>
          <w:p w14:paraId="75FE70D9" w14:textId="3249A767" w:rsidR="0023462A" w:rsidRDefault="00A550FA">
            <w:pPr>
              <w:pStyle w:val="P68B1DB1-Normal66"/>
              <w:spacing w:after="120" w:line="240" w:lineRule="auto"/>
              <w:rPr>
                <w:noProof/>
              </w:rPr>
            </w:pPr>
            <w:r>
              <w:rPr>
                <w:noProof/>
              </w:rPr>
              <w:t>Étape</w:t>
            </w:r>
          </w:p>
        </w:tc>
        <w:tc>
          <w:tcPr>
            <w:tcW w:w="1417" w:type="dxa"/>
            <w:tcBorders>
              <w:top w:val="single" w:sz="4" w:space="0" w:color="auto"/>
              <w:left w:val="nil"/>
              <w:bottom w:val="single" w:sz="4" w:space="0" w:color="auto"/>
              <w:right w:val="single" w:sz="4" w:space="0" w:color="auto"/>
            </w:tcBorders>
            <w:shd w:val="clear" w:color="auto" w:fill="C6EFCE"/>
            <w:noWrap/>
            <w:vAlign w:val="center"/>
          </w:tcPr>
          <w:p w14:paraId="3D3C2334" w14:textId="4EA7E39F" w:rsidR="0023462A" w:rsidRDefault="00A550FA">
            <w:pPr>
              <w:pStyle w:val="P68B1DB1-Normal66"/>
              <w:spacing w:after="120" w:line="240" w:lineRule="auto"/>
              <w:rPr>
                <w:noProof/>
              </w:rPr>
            </w:pPr>
            <w:r>
              <w:rPr>
                <w:noProof/>
              </w:rPr>
              <w:t>Entrée en vigueur d’un ou de plusieurs actes juridiques visant à renforcer les règles en matière de prix de transfert</w:t>
            </w:r>
          </w:p>
        </w:tc>
        <w:tc>
          <w:tcPr>
            <w:tcW w:w="1701" w:type="dxa"/>
            <w:tcBorders>
              <w:top w:val="single" w:sz="4" w:space="0" w:color="auto"/>
              <w:left w:val="nil"/>
              <w:bottom w:val="single" w:sz="4" w:space="0" w:color="auto"/>
              <w:right w:val="single" w:sz="4" w:space="0" w:color="auto"/>
            </w:tcBorders>
            <w:shd w:val="clear" w:color="auto" w:fill="C6EFCE"/>
            <w:noWrap/>
            <w:vAlign w:val="center"/>
          </w:tcPr>
          <w:p w14:paraId="471F4ACC" w14:textId="3E06BCEA" w:rsidR="0023462A" w:rsidRDefault="00A550FA">
            <w:pPr>
              <w:pStyle w:val="P68B1DB1-Normal66"/>
              <w:spacing w:after="120" w:line="240" w:lineRule="auto"/>
              <w:rPr>
                <w:noProof/>
              </w:rPr>
            </w:pPr>
            <w:r>
              <w:rPr>
                <w:noProof/>
              </w:rPr>
              <w:t>Dispositions de l'acte ou des actes juridiques indiquant leur entrée en vigueur</w:t>
            </w:r>
          </w:p>
        </w:tc>
        <w:tc>
          <w:tcPr>
            <w:tcW w:w="1418" w:type="dxa"/>
            <w:tcBorders>
              <w:top w:val="single" w:sz="4" w:space="0" w:color="auto"/>
              <w:left w:val="nil"/>
              <w:bottom w:val="single" w:sz="4" w:space="0" w:color="auto"/>
              <w:right w:val="single" w:sz="4" w:space="0" w:color="auto"/>
            </w:tcBorders>
            <w:shd w:val="clear" w:color="auto" w:fill="C6EFCE"/>
            <w:noWrap/>
            <w:vAlign w:val="center"/>
          </w:tcPr>
          <w:p w14:paraId="168543D6" w14:textId="77777777" w:rsidR="0023462A" w:rsidRDefault="0023462A">
            <w:pPr>
              <w:spacing w:after="120" w:line="240" w:lineRule="auto"/>
              <w:rPr>
                <w:rFonts w:ascii="Times New Roman" w:eastAsia="Calibri" w:hAnsi="Times New Roman" w:cs="Times New Roman"/>
                <w:noProof/>
                <w:sz w:val="18"/>
                <w:szCs w:val="18"/>
              </w:rPr>
            </w:pPr>
          </w:p>
        </w:tc>
        <w:tc>
          <w:tcPr>
            <w:tcW w:w="1417" w:type="dxa"/>
            <w:tcBorders>
              <w:top w:val="single" w:sz="4" w:space="0" w:color="auto"/>
              <w:left w:val="nil"/>
              <w:bottom w:val="single" w:sz="4" w:space="0" w:color="auto"/>
              <w:right w:val="single" w:sz="4" w:space="0" w:color="auto"/>
            </w:tcBorders>
            <w:shd w:val="clear" w:color="auto" w:fill="C6EFCE"/>
            <w:noWrap/>
            <w:vAlign w:val="center"/>
          </w:tcPr>
          <w:p w14:paraId="11882669" w14:textId="77777777" w:rsidR="0023462A" w:rsidRDefault="0023462A">
            <w:pPr>
              <w:spacing w:after="120" w:line="240" w:lineRule="auto"/>
              <w:rPr>
                <w:rFonts w:ascii="Times New Roman" w:eastAsia="Calibri" w:hAnsi="Times New Roman" w:cs="Times New Roman"/>
                <w:noProof/>
                <w:sz w:val="18"/>
                <w:szCs w:val="18"/>
              </w:rPr>
            </w:pPr>
          </w:p>
        </w:tc>
        <w:tc>
          <w:tcPr>
            <w:tcW w:w="993" w:type="dxa"/>
            <w:tcBorders>
              <w:top w:val="single" w:sz="4" w:space="0" w:color="auto"/>
              <w:left w:val="nil"/>
              <w:bottom w:val="single" w:sz="4" w:space="0" w:color="auto"/>
              <w:right w:val="single" w:sz="4" w:space="0" w:color="auto"/>
            </w:tcBorders>
            <w:shd w:val="clear" w:color="auto" w:fill="C6EFCE"/>
            <w:noWrap/>
            <w:vAlign w:val="center"/>
          </w:tcPr>
          <w:p w14:paraId="2F36506E" w14:textId="77777777" w:rsidR="0023462A" w:rsidRDefault="0023462A">
            <w:pPr>
              <w:spacing w:after="120" w:line="240" w:lineRule="auto"/>
              <w:rPr>
                <w:rFonts w:ascii="Times New Roman" w:eastAsia="Calibri" w:hAnsi="Times New Roman" w:cs="Times New Roman"/>
                <w:noProof/>
                <w:sz w:val="18"/>
                <w:szCs w:val="18"/>
              </w:rPr>
            </w:pPr>
          </w:p>
        </w:tc>
        <w:tc>
          <w:tcPr>
            <w:tcW w:w="1134" w:type="dxa"/>
            <w:tcBorders>
              <w:top w:val="single" w:sz="4" w:space="0" w:color="auto"/>
              <w:left w:val="nil"/>
              <w:bottom w:val="single" w:sz="4" w:space="0" w:color="auto"/>
              <w:right w:val="single" w:sz="4" w:space="0" w:color="auto"/>
            </w:tcBorders>
            <w:shd w:val="clear" w:color="auto" w:fill="C6EFCE"/>
            <w:noWrap/>
            <w:vAlign w:val="center"/>
          </w:tcPr>
          <w:p w14:paraId="51B84DF9" w14:textId="31F4CE8A" w:rsidR="0023462A" w:rsidRDefault="00A550FA">
            <w:pPr>
              <w:pStyle w:val="P68B1DB1-Normal20"/>
              <w:spacing w:after="120" w:line="240" w:lineRule="auto"/>
              <w:rPr>
                <w:rFonts w:cs="Times New Roman"/>
                <w:noProof/>
                <w:szCs w:val="18"/>
              </w:rPr>
            </w:pPr>
            <w:r>
              <w:rPr>
                <w:noProof/>
              </w:rPr>
              <w:t>T2</w:t>
            </w:r>
          </w:p>
        </w:tc>
        <w:tc>
          <w:tcPr>
            <w:tcW w:w="708" w:type="dxa"/>
            <w:tcBorders>
              <w:top w:val="single" w:sz="4" w:space="0" w:color="auto"/>
              <w:left w:val="nil"/>
              <w:bottom w:val="single" w:sz="4" w:space="0" w:color="auto"/>
              <w:right w:val="single" w:sz="4" w:space="0" w:color="auto"/>
            </w:tcBorders>
            <w:shd w:val="clear" w:color="auto" w:fill="C6EFCE"/>
            <w:noWrap/>
            <w:vAlign w:val="center"/>
          </w:tcPr>
          <w:p w14:paraId="26942446" w14:textId="075425AE" w:rsidR="0023462A" w:rsidRDefault="00A550FA">
            <w:pPr>
              <w:pStyle w:val="P68B1DB1-Normal20"/>
              <w:spacing w:after="120" w:line="240" w:lineRule="auto"/>
              <w:rPr>
                <w:rFonts w:cs="Times New Roman"/>
                <w:noProof/>
                <w:szCs w:val="18"/>
              </w:rPr>
            </w:pPr>
            <w:r>
              <w:rPr>
                <w:noProof/>
              </w:rPr>
              <w:t>2026</w:t>
            </w:r>
          </w:p>
        </w:tc>
        <w:tc>
          <w:tcPr>
            <w:tcW w:w="3713" w:type="dxa"/>
            <w:tcBorders>
              <w:top w:val="single" w:sz="4" w:space="0" w:color="auto"/>
              <w:left w:val="nil"/>
              <w:bottom w:val="single" w:sz="4" w:space="0" w:color="auto"/>
              <w:right w:val="single" w:sz="4" w:space="0" w:color="auto"/>
            </w:tcBorders>
            <w:shd w:val="clear" w:color="auto" w:fill="C6EFCE"/>
            <w:noWrap/>
          </w:tcPr>
          <w:p w14:paraId="047E82D1" w14:textId="77777777" w:rsidR="0023462A" w:rsidRDefault="00A550FA">
            <w:pPr>
              <w:pStyle w:val="P68B1DB1-Normal66"/>
              <w:spacing w:after="120" w:line="240" w:lineRule="auto"/>
              <w:ind w:left="52"/>
              <w:jc w:val="both"/>
              <w:textAlignment w:val="baseline"/>
              <w:rPr>
                <w:noProof/>
              </w:rPr>
            </w:pPr>
            <w:r>
              <w:rPr>
                <w:noProof/>
              </w:rPr>
              <w:t xml:space="preserve">Entrée en vigueur d’un ou de plusieurs actes juridiques introduisant de nouvelles obligations de déclaration en matière de prix de transfert. Le ou les actes juridiques comprennent des exigences détaillées pour la nouvelle déclaration des données relatives aux prix de transfert. </w:t>
            </w:r>
          </w:p>
          <w:p w14:paraId="1C404A9A" w14:textId="53AA8946" w:rsidR="0023462A" w:rsidRDefault="00A550FA">
            <w:pPr>
              <w:pStyle w:val="P68B1DB1-Normal66"/>
              <w:spacing w:after="120" w:line="240" w:lineRule="auto"/>
              <w:rPr>
                <w:noProof/>
              </w:rPr>
            </w:pPr>
            <w:r>
              <w:rPr>
                <w:noProof/>
              </w:rPr>
              <w:t>Le champ d'application du ou des actes juridiques couvre les transactions entre entreprises associées d'une valeur égale ou supérieure à 150 millions de HUF.</w:t>
            </w:r>
          </w:p>
        </w:tc>
      </w:tr>
      <w:tr w:rsidR="0023462A" w14:paraId="4D978F8F" w14:textId="77777777" w:rsidTr="009C289F">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vAlign w:val="center"/>
          </w:tcPr>
          <w:p w14:paraId="37D64ABA" w14:textId="087FBD01" w:rsidR="0023462A" w:rsidRDefault="00A550FA">
            <w:pPr>
              <w:pStyle w:val="P68B1DB1-Normal66"/>
              <w:spacing w:after="120" w:line="240" w:lineRule="auto"/>
              <w:rPr>
                <w:noProof/>
              </w:rPr>
            </w:pPr>
            <w:r>
              <w:rPr>
                <w:noProof/>
              </w:rPr>
              <w:t>92</w:t>
            </w:r>
          </w:p>
        </w:tc>
        <w:tc>
          <w:tcPr>
            <w:tcW w:w="1559" w:type="dxa"/>
            <w:tcBorders>
              <w:top w:val="nil"/>
              <w:left w:val="nil"/>
              <w:bottom w:val="single" w:sz="4" w:space="0" w:color="auto"/>
              <w:right w:val="single" w:sz="4" w:space="0" w:color="auto"/>
            </w:tcBorders>
            <w:shd w:val="clear" w:color="auto" w:fill="C6EFCE"/>
            <w:noWrap/>
            <w:vAlign w:val="center"/>
          </w:tcPr>
          <w:p w14:paraId="32FD8B00" w14:textId="51063F59" w:rsidR="0023462A" w:rsidRDefault="00A550FA">
            <w:pPr>
              <w:pStyle w:val="P68B1DB1-Normal66"/>
              <w:spacing w:after="120" w:line="240" w:lineRule="auto"/>
              <w:rPr>
                <w:noProof/>
              </w:rPr>
            </w:pPr>
            <w:r>
              <w:rPr>
                <w:noProof/>
              </w:rPr>
              <w:t>C8.R29 Élargissement du champ d’application des règles de non-déductibilité pour les paiements sortants</w:t>
            </w:r>
          </w:p>
        </w:tc>
        <w:tc>
          <w:tcPr>
            <w:tcW w:w="709" w:type="dxa"/>
            <w:tcBorders>
              <w:top w:val="nil"/>
              <w:left w:val="nil"/>
              <w:bottom w:val="single" w:sz="4" w:space="0" w:color="auto"/>
              <w:right w:val="single" w:sz="4" w:space="0" w:color="auto"/>
            </w:tcBorders>
            <w:shd w:val="clear" w:color="auto" w:fill="C6EFCE"/>
            <w:noWrap/>
            <w:vAlign w:val="center"/>
          </w:tcPr>
          <w:p w14:paraId="43CA5924" w14:textId="7167798D" w:rsidR="0023462A" w:rsidRDefault="00A550FA">
            <w:pPr>
              <w:pStyle w:val="P68B1DB1-Normal66"/>
              <w:spacing w:after="120" w:line="240" w:lineRule="auto"/>
              <w:rPr>
                <w:noProof/>
              </w:rPr>
            </w:pPr>
            <w:r>
              <w:rPr>
                <w:noProof/>
              </w:rPr>
              <w:t>Étape</w:t>
            </w:r>
          </w:p>
        </w:tc>
        <w:tc>
          <w:tcPr>
            <w:tcW w:w="1417" w:type="dxa"/>
            <w:tcBorders>
              <w:top w:val="nil"/>
              <w:left w:val="nil"/>
              <w:bottom w:val="single" w:sz="4" w:space="0" w:color="auto"/>
              <w:right w:val="single" w:sz="4" w:space="0" w:color="auto"/>
            </w:tcBorders>
            <w:shd w:val="clear" w:color="auto" w:fill="C6EFCE"/>
            <w:noWrap/>
            <w:vAlign w:val="center"/>
          </w:tcPr>
          <w:p w14:paraId="44CA8143" w14:textId="29AEFD2D" w:rsidR="0023462A" w:rsidRDefault="00A550FA">
            <w:pPr>
              <w:pStyle w:val="P68B1DB1-Normal66"/>
              <w:spacing w:after="120" w:line="240" w:lineRule="auto"/>
              <w:rPr>
                <w:noProof/>
              </w:rPr>
            </w:pPr>
            <w:r>
              <w:rPr>
                <w:noProof/>
              </w:rPr>
              <w:t>Entrée en vigueur d’un ou de plusieurs actes juridiques visant à élargir les règles de non-déductibilité pour les paiements sortants</w:t>
            </w:r>
          </w:p>
        </w:tc>
        <w:tc>
          <w:tcPr>
            <w:tcW w:w="1701" w:type="dxa"/>
            <w:tcBorders>
              <w:top w:val="nil"/>
              <w:left w:val="nil"/>
              <w:bottom w:val="single" w:sz="4" w:space="0" w:color="auto"/>
              <w:right w:val="single" w:sz="4" w:space="0" w:color="auto"/>
            </w:tcBorders>
            <w:shd w:val="clear" w:color="auto" w:fill="C6EFCE"/>
            <w:noWrap/>
            <w:vAlign w:val="center"/>
          </w:tcPr>
          <w:p w14:paraId="27CDB03F" w14:textId="39337101" w:rsidR="0023462A" w:rsidRDefault="00A550FA">
            <w:pPr>
              <w:pStyle w:val="P68B1DB1-Normal66"/>
              <w:spacing w:after="120" w:line="240" w:lineRule="auto"/>
              <w:rPr>
                <w:noProof/>
              </w:rPr>
            </w:pPr>
            <w:r>
              <w:rPr>
                <w:noProof/>
              </w:rPr>
              <w:t>Dispositions de l'acte ou des actes juridiques indiquant leur entrée en vigueur</w:t>
            </w:r>
          </w:p>
        </w:tc>
        <w:tc>
          <w:tcPr>
            <w:tcW w:w="1418" w:type="dxa"/>
            <w:tcBorders>
              <w:top w:val="nil"/>
              <w:left w:val="nil"/>
              <w:bottom w:val="single" w:sz="4" w:space="0" w:color="auto"/>
              <w:right w:val="single" w:sz="4" w:space="0" w:color="auto"/>
            </w:tcBorders>
            <w:shd w:val="clear" w:color="auto" w:fill="C6EFCE"/>
            <w:noWrap/>
            <w:vAlign w:val="center"/>
          </w:tcPr>
          <w:p w14:paraId="18EF309D" w14:textId="77777777" w:rsidR="0023462A" w:rsidRDefault="0023462A">
            <w:pPr>
              <w:spacing w:after="120" w:line="240" w:lineRule="auto"/>
              <w:rPr>
                <w:rFonts w:ascii="Times New Roman" w:eastAsia="Calibri" w:hAnsi="Times New Roman" w:cs="Times New Roman"/>
                <w:noProof/>
                <w:sz w:val="18"/>
                <w:szCs w:val="18"/>
              </w:rPr>
            </w:pPr>
          </w:p>
        </w:tc>
        <w:tc>
          <w:tcPr>
            <w:tcW w:w="1417" w:type="dxa"/>
            <w:tcBorders>
              <w:top w:val="nil"/>
              <w:left w:val="nil"/>
              <w:bottom w:val="single" w:sz="4" w:space="0" w:color="auto"/>
              <w:right w:val="single" w:sz="4" w:space="0" w:color="auto"/>
            </w:tcBorders>
            <w:shd w:val="clear" w:color="auto" w:fill="C6EFCE"/>
            <w:noWrap/>
            <w:vAlign w:val="center"/>
          </w:tcPr>
          <w:p w14:paraId="2B28B4B4" w14:textId="77777777" w:rsidR="0023462A" w:rsidRDefault="0023462A">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vAlign w:val="center"/>
          </w:tcPr>
          <w:p w14:paraId="53A923AC" w14:textId="77777777" w:rsidR="0023462A" w:rsidRDefault="0023462A">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1ACA65DD" w14:textId="3334616F" w:rsidR="0023462A" w:rsidRDefault="00A550FA">
            <w:pPr>
              <w:pStyle w:val="P68B1DB1-Normal20"/>
              <w:spacing w:after="120" w:line="240" w:lineRule="auto"/>
              <w:rPr>
                <w:rFonts w:cs="Times New Roman"/>
                <w:noProof/>
                <w:szCs w:val="18"/>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61B283BC" w14:textId="7B8A9DA9" w:rsidR="0023462A" w:rsidRDefault="00A550FA">
            <w:pPr>
              <w:pStyle w:val="P68B1DB1-Normal20"/>
              <w:spacing w:after="120" w:line="240" w:lineRule="auto"/>
              <w:rPr>
                <w:rFonts w:cs="Times New Roman"/>
                <w:noProof/>
                <w:szCs w:val="18"/>
              </w:rPr>
            </w:pPr>
            <w:r>
              <w:rPr>
                <w:noProof/>
              </w:rPr>
              <w:t>2026</w:t>
            </w:r>
          </w:p>
        </w:tc>
        <w:tc>
          <w:tcPr>
            <w:tcW w:w="3713" w:type="dxa"/>
            <w:tcBorders>
              <w:top w:val="nil"/>
              <w:left w:val="nil"/>
              <w:bottom w:val="single" w:sz="4" w:space="0" w:color="auto"/>
              <w:right w:val="single" w:sz="4" w:space="0" w:color="auto"/>
            </w:tcBorders>
            <w:shd w:val="clear" w:color="auto" w:fill="C6EFCE"/>
            <w:noWrap/>
          </w:tcPr>
          <w:p w14:paraId="234895BE" w14:textId="77777777" w:rsidR="0023462A" w:rsidRDefault="00A550FA">
            <w:pPr>
              <w:pStyle w:val="P68B1DB1-Normal66"/>
              <w:spacing w:after="120" w:line="240" w:lineRule="auto"/>
              <w:ind w:left="52"/>
              <w:jc w:val="both"/>
              <w:textAlignment w:val="baseline"/>
              <w:rPr>
                <w:noProof/>
              </w:rPr>
            </w:pPr>
            <w:r>
              <w:rPr>
                <w:noProof/>
              </w:rPr>
              <w:t xml:space="preserve">Entrée en vigueur d’un ou de plusieurs actes juridiques étendant les règles de non-déductibilité pour les paiements sortants afin de couvrir toutes les transactions de paiements de redevances et d’intérêts sortants dans les pays et territoires qui figurent sur la liste de l’UE des pays et territoires non coopératifs ou qui sont considérés comme des pays et territoires à impôt nul ou à faible impôt (y compris tout pays et territoire dont le taux légal d’imposition des sociétés est inférieur au taux légal hongrois d’imposition des sociétés). </w:t>
            </w:r>
          </w:p>
          <w:p w14:paraId="1874A2D5" w14:textId="368958CE" w:rsidR="0023462A" w:rsidRDefault="00A550FA">
            <w:pPr>
              <w:pStyle w:val="P68B1DB1-Normal66"/>
              <w:spacing w:after="120" w:line="240" w:lineRule="auto"/>
              <w:rPr>
                <w:noProof/>
              </w:rPr>
            </w:pPr>
            <w:r>
              <w:rPr>
                <w:noProof/>
              </w:rPr>
              <w:t>Le ou les actes juridiques déterminent les critères d’application d’une conséquence fiscale en tenant compte des raisons commerciales qui sous-tendent l’opération et du traitement fiscal de l’opération afin de couvrir les cas de double non-imposition. Elle identifie également les conséquences fiscales appropriées pour atténuer le risque ciblé.</w:t>
            </w:r>
          </w:p>
        </w:tc>
      </w:tr>
      <w:tr w:rsidR="0023462A" w14:paraId="03942E2B" w14:textId="77777777" w:rsidTr="009C289F">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vAlign w:val="center"/>
          </w:tcPr>
          <w:p w14:paraId="4314E43D" w14:textId="120D3191" w:rsidR="0023462A" w:rsidRDefault="00A550FA">
            <w:pPr>
              <w:pStyle w:val="P68B1DB1-Normal66"/>
              <w:spacing w:after="120" w:line="240" w:lineRule="auto"/>
              <w:rPr>
                <w:noProof/>
              </w:rPr>
            </w:pPr>
            <w:r>
              <w:rPr>
                <w:noProof/>
              </w:rPr>
              <w:t>93</w:t>
            </w:r>
          </w:p>
        </w:tc>
        <w:tc>
          <w:tcPr>
            <w:tcW w:w="1559" w:type="dxa"/>
            <w:tcBorders>
              <w:top w:val="nil"/>
              <w:left w:val="nil"/>
              <w:bottom w:val="single" w:sz="4" w:space="0" w:color="auto"/>
              <w:right w:val="single" w:sz="4" w:space="0" w:color="auto"/>
            </w:tcBorders>
            <w:shd w:val="clear" w:color="auto" w:fill="C6EFCE"/>
            <w:noWrap/>
            <w:vAlign w:val="center"/>
          </w:tcPr>
          <w:p w14:paraId="1384BEE5" w14:textId="5A2F8098" w:rsidR="0023462A" w:rsidRDefault="00A550FA">
            <w:pPr>
              <w:pStyle w:val="P68B1DB1-Normal66"/>
              <w:spacing w:after="120" w:line="240" w:lineRule="auto"/>
              <w:rPr>
                <w:noProof/>
              </w:rPr>
            </w:pPr>
            <w:r>
              <w:rPr>
                <w:noProof/>
              </w:rPr>
              <w:t>C8.R29 Élargissement du champ d’application des règles de non-déductibilité pour les paiements sortants</w:t>
            </w:r>
          </w:p>
        </w:tc>
        <w:tc>
          <w:tcPr>
            <w:tcW w:w="709" w:type="dxa"/>
            <w:tcBorders>
              <w:top w:val="nil"/>
              <w:left w:val="nil"/>
              <w:bottom w:val="single" w:sz="4" w:space="0" w:color="auto"/>
              <w:right w:val="single" w:sz="4" w:space="0" w:color="auto"/>
            </w:tcBorders>
            <w:shd w:val="clear" w:color="auto" w:fill="C6EFCE"/>
            <w:noWrap/>
            <w:vAlign w:val="center"/>
          </w:tcPr>
          <w:p w14:paraId="669C1CA6" w14:textId="62CDAEF4" w:rsidR="0023462A" w:rsidRDefault="00A550FA">
            <w:pPr>
              <w:pStyle w:val="P68B1DB1-Normal66"/>
              <w:spacing w:after="120" w:line="240" w:lineRule="auto"/>
              <w:rPr>
                <w:noProof/>
              </w:rPr>
            </w:pPr>
            <w:r>
              <w:rPr>
                <w:noProof/>
              </w:rPr>
              <w:t>Étape</w:t>
            </w:r>
          </w:p>
        </w:tc>
        <w:tc>
          <w:tcPr>
            <w:tcW w:w="1417" w:type="dxa"/>
            <w:tcBorders>
              <w:top w:val="nil"/>
              <w:left w:val="nil"/>
              <w:bottom w:val="single" w:sz="4" w:space="0" w:color="auto"/>
              <w:right w:val="single" w:sz="4" w:space="0" w:color="auto"/>
            </w:tcBorders>
            <w:shd w:val="clear" w:color="auto" w:fill="C6EFCE"/>
            <w:noWrap/>
            <w:vAlign w:val="center"/>
          </w:tcPr>
          <w:p w14:paraId="0E03F4C2" w14:textId="07BD9F49" w:rsidR="0023462A" w:rsidRDefault="00A550FA">
            <w:pPr>
              <w:pStyle w:val="P68B1DB1-Normal66"/>
              <w:spacing w:after="120" w:line="240" w:lineRule="auto"/>
              <w:rPr>
                <w:noProof/>
              </w:rPr>
            </w:pPr>
            <w:r>
              <w:rPr>
                <w:noProof/>
              </w:rPr>
              <w:t>Commande d’une évaluation indépendante de l’efficacité de l’ensemble des règles nationales relatives à la planification fiscale agressive</w:t>
            </w:r>
          </w:p>
        </w:tc>
        <w:tc>
          <w:tcPr>
            <w:tcW w:w="1701" w:type="dxa"/>
            <w:tcBorders>
              <w:top w:val="nil"/>
              <w:left w:val="nil"/>
              <w:bottom w:val="single" w:sz="4" w:space="0" w:color="auto"/>
              <w:right w:val="single" w:sz="4" w:space="0" w:color="auto"/>
            </w:tcBorders>
            <w:shd w:val="clear" w:color="auto" w:fill="C6EFCE"/>
            <w:noWrap/>
            <w:vAlign w:val="center"/>
          </w:tcPr>
          <w:p w14:paraId="1094626E" w14:textId="77777777" w:rsidR="0023462A" w:rsidRDefault="00A550FA">
            <w:pPr>
              <w:pStyle w:val="P68B1DB1-Normal66"/>
              <w:spacing w:after="120" w:line="240" w:lineRule="auto"/>
              <w:ind w:left="52"/>
              <w:textAlignment w:val="baseline"/>
              <w:rPr>
                <w:noProof/>
              </w:rPr>
            </w:pPr>
            <w:r>
              <w:rPr>
                <w:noProof/>
              </w:rPr>
              <w:t>Rapport intermédiaire de l'évaluation</w:t>
            </w:r>
          </w:p>
          <w:p w14:paraId="48D171E5" w14:textId="77777777" w:rsidR="0023462A" w:rsidRDefault="0023462A">
            <w:pPr>
              <w:spacing w:after="120" w:line="240" w:lineRule="auto"/>
              <w:rPr>
                <w:rFonts w:ascii="Times New Roman" w:hAnsi="Times New Roman" w:cs="Times New Roman"/>
                <w:noProof/>
                <w:sz w:val="18"/>
                <w:szCs w:val="18"/>
              </w:rPr>
            </w:pPr>
          </w:p>
        </w:tc>
        <w:tc>
          <w:tcPr>
            <w:tcW w:w="1418" w:type="dxa"/>
            <w:tcBorders>
              <w:top w:val="nil"/>
              <w:left w:val="nil"/>
              <w:bottom w:val="single" w:sz="4" w:space="0" w:color="auto"/>
              <w:right w:val="single" w:sz="4" w:space="0" w:color="auto"/>
            </w:tcBorders>
            <w:shd w:val="clear" w:color="auto" w:fill="C6EFCE"/>
            <w:noWrap/>
            <w:vAlign w:val="center"/>
          </w:tcPr>
          <w:p w14:paraId="260B399B" w14:textId="77777777" w:rsidR="0023462A" w:rsidRDefault="0023462A">
            <w:pPr>
              <w:spacing w:after="120" w:line="240" w:lineRule="auto"/>
              <w:rPr>
                <w:rFonts w:ascii="Times New Roman" w:eastAsia="Calibri" w:hAnsi="Times New Roman" w:cs="Times New Roman"/>
                <w:noProof/>
                <w:sz w:val="18"/>
                <w:szCs w:val="18"/>
              </w:rPr>
            </w:pPr>
          </w:p>
        </w:tc>
        <w:tc>
          <w:tcPr>
            <w:tcW w:w="1417" w:type="dxa"/>
            <w:tcBorders>
              <w:top w:val="nil"/>
              <w:left w:val="nil"/>
              <w:bottom w:val="single" w:sz="4" w:space="0" w:color="auto"/>
              <w:right w:val="single" w:sz="4" w:space="0" w:color="auto"/>
            </w:tcBorders>
            <w:shd w:val="clear" w:color="auto" w:fill="C6EFCE"/>
            <w:noWrap/>
            <w:vAlign w:val="center"/>
          </w:tcPr>
          <w:p w14:paraId="17ADB9DD" w14:textId="77777777" w:rsidR="0023462A" w:rsidRDefault="0023462A">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vAlign w:val="center"/>
          </w:tcPr>
          <w:p w14:paraId="7EC022DB" w14:textId="77777777" w:rsidR="0023462A" w:rsidRDefault="0023462A">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2C062804" w14:textId="2790BE33" w:rsidR="0023462A" w:rsidRDefault="00A550FA">
            <w:pPr>
              <w:pStyle w:val="P68B1DB1-Normal66"/>
              <w:spacing w:after="120" w:line="240" w:lineRule="auto"/>
              <w:rPr>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0339F00F" w14:textId="76DD72C1" w:rsidR="0023462A" w:rsidRDefault="00A550FA">
            <w:pPr>
              <w:pStyle w:val="P68B1DB1-Normal66"/>
              <w:spacing w:after="120" w:line="240" w:lineRule="auto"/>
              <w:rPr>
                <w:noProof/>
              </w:rPr>
            </w:pPr>
            <w:r>
              <w:rPr>
                <w:noProof/>
              </w:rPr>
              <w:t>2026</w:t>
            </w:r>
          </w:p>
        </w:tc>
        <w:tc>
          <w:tcPr>
            <w:tcW w:w="3713" w:type="dxa"/>
            <w:tcBorders>
              <w:top w:val="nil"/>
              <w:left w:val="nil"/>
              <w:bottom w:val="single" w:sz="4" w:space="0" w:color="auto"/>
              <w:right w:val="single" w:sz="4" w:space="0" w:color="auto"/>
            </w:tcBorders>
            <w:shd w:val="clear" w:color="auto" w:fill="C6EFCE"/>
            <w:noWrap/>
          </w:tcPr>
          <w:p w14:paraId="60BB1151" w14:textId="0D094000" w:rsidR="0023462A" w:rsidRDefault="00A550FA">
            <w:pPr>
              <w:pStyle w:val="P68B1DB1-Normal66"/>
              <w:spacing w:after="120" w:line="240" w:lineRule="auto"/>
              <w:rPr>
                <w:noProof/>
              </w:rPr>
            </w:pPr>
            <w:r>
              <w:rPr>
                <w:noProof/>
              </w:rPr>
              <w:t xml:space="preserve">Un rapport intermédiaire sur l’état d’avancement d’une évaluation indépendante, réalisée par l’OCDE et commandée par la Hongrie, est soumis à la Commission en ce qui concerne l’efficacité de l’ensemble des règles nationales relatives aux sociétés écrans et aux paiements d’intérêts et de redevances sortants entre les sociétés établies en Hongrie et les sociétés établies dans des pays et territoires qui figurent sur la liste de l’UE des pays et territoires non coopératifs ou qui sont considérés comme des pays et territoires à taux d’imposition nul ou à faible taux d’imposition. L’engagement d’agir sur la base des résultats de l’évaluation indépendante est soumis par la publication d’une lettre officielle du ministre des finances à la Commission. </w:t>
            </w:r>
          </w:p>
        </w:tc>
      </w:tr>
      <w:tr w:rsidR="0023462A" w14:paraId="700D666E" w14:textId="77777777" w:rsidTr="009C289F">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vAlign w:val="center"/>
          </w:tcPr>
          <w:p w14:paraId="749655EA" w14:textId="2601DC76" w:rsidR="0023462A" w:rsidRDefault="00A550FA">
            <w:pPr>
              <w:pStyle w:val="P68B1DB1-Normal66"/>
              <w:spacing w:after="120" w:line="240" w:lineRule="auto"/>
              <w:rPr>
                <w:noProof/>
              </w:rPr>
            </w:pPr>
            <w:r>
              <w:rPr>
                <w:noProof/>
              </w:rPr>
              <w:t>94</w:t>
            </w:r>
          </w:p>
        </w:tc>
        <w:tc>
          <w:tcPr>
            <w:tcW w:w="1559" w:type="dxa"/>
            <w:tcBorders>
              <w:top w:val="nil"/>
              <w:left w:val="nil"/>
              <w:bottom w:val="single" w:sz="4" w:space="0" w:color="auto"/>
              <w:right w:val="single" w:sz="4" w:space="0" w:color="auto"/>
            </w:tcBorders>
            <w:shd w:val="clear" w:color="auto" w:fill="C6EFCE"/>
            <w:noWrap/>
            <w:vAlign w:val="center"/>
          </w:tcPr>
          <w:p w14:paraId="466ADFDA" w14:textId="7571905E" w:rsidR="0023462A" w:rsidRDefault="00A550FA">
            <w:pPr>
              <w:pStyle w:val="P68B1DB1-Normal66"/>
              <w:spacing w:after="120" w:line="240" w:lineRule="auto"/>
              <w:rPr>
                <w:noProof/>
              </w:rPr>
            </w:pPr>
            <w:r>
              <w:rPr>
                <w:noProof/>
              </w:rPr>
              <w:t>C8.R30 Transformation numérique des procédures de conformité fiscale</w:t>
            </w:r>
          </w:p>
        </w:tc>
        <w:tc>
          <w:tcPr>
            <w:tcW w:w="709" w:type="dxa"/>
            <w:tcBorders>
              <w:top w:val="nil"/>
              <w:left w:val="nil"/>
              <w:bottom w:val="single" w:sz="4" w:space="0" w:color="auto"/>
              <w:right w:val="single" w:sz="4" w:space="0" w:color="auto"/>
            </w:tcBorders>
            <w:shd w:val="clear" w:color="auto" w:fill="C6EFCE"/>
            <w:noWrap/>
            <w:vAlign w:val="center"/>
          </w:tcPr>
          <w:p w14:paraId="0D1A9321" w14:textId="2ECFE79E" w:rsidR="0023462A" w:rsidRDefault="00A550FA">
            <w:pPr>
              <w:pStyle w:val="P68B1DB1-Normal66"/>
              <w:spacing w:after="120" w:line="240" w:lineRule="auto"/>
              <w:rPr>
                <w:noProof/>
              </w:rPr>
            </w:pPr>
            <w:r>
              <w:rPr>
                <w:noProof/>
              </w:rPr>
              <w:t>Étape</w:t>
            </w:r>
          </w:p>
        </w:tc>
        <w:tc>
          <w:tcPr>
            <w:tcW w:w="1417" w:type="dxa"/>
            <w:tcBorders>
              <w:top w:val="nil"/>
              <w:left w:val="nil"/>
              <w:bottom w:val="single" w:sz="4" w:space="0" w:color="auto"/>
              <w:right w:val="single" w:sz="4" w:space="0" w:color="auto"/>
            </w:tcBorders>
            <w:shd w:val="clear" w:color="auto" w:fill="C6EFCE"/>
            <w:noWrap/>
            <w:vAlign w:val="center"/>
          </w:tcPr>
          <w:p w14:paraId="4F8AFFCD" w14:textId="78F56D37" w:rsidR="0023462A" w:rsidRDefault="00A550FA">
            <w:pPr>
              <w:pStyle w:val="P68B1DB1-Normal66"/>
              <w:spacing w:after="120" w:line="240" w:lineRule="auto"/>
              <w:rPr>
                <w:noProof/>
              </w:rPr>
            </w:pPr>
            <w:r>
              <w:rPr>
                <w:noProof/>
              </w:rPr>
              <w:t>Services numériques liés aux solutions ePayroll, eReceipt et eVAT</w:t>
            </w:r>
          </w:p>
        </w:tc>
        <w:tc>
          <w:tcPr>
            <w:tcW w:w="1701" w:type="dxa"/>
            <w:tcBorders>
              <w:top w:val="nil"/>
              <w:left w:val="nil"/>
              <w:bottom w:val="single" w:sz="4" w:space="0" w:color="auto"/>
              <w:right w:val="single" w:sz="4" w:space="0" w:color="auto"/>
            </w:tcBorders>
            <w:shd w:val="clear" w:color="auto" w:fill="C6EFCE"/>
            <w:noWrap/>
            <w:vAlign w:val="center"/>
          </w:tcPr>
          <w:p w14:paraId="228438C3" w14:textId="7A6BC87E" w:rsidR="0023462A" w:rsidRDefault="00A550FA">
            <w:pPr>
              <w:pStyle w:val="P68B1DB1-Normal66"/>
              <w:spacing w:after="120" w:line="240" w:lineRule="auto"/>
              <w:rPr>
                <w:noProof/>
              </w:rPr>
            </w:pPr>
            <w:r>
              <w:rPr>
                <w:noProof/>
              </w:rPr>
              <w:t>Dispositions de l’acte ou des actes juridiques indiquant leur entrée en vigueur et le lancement du projet pilote et l’accessibilité de la plateforme aux utilisateurs</w:t>
            </w:r>
          </w:p>
        </w:tc>
        <w:tc>
          <w:tcPr>
            <w:tcW w:w="1418" w:type="dxa"/>
            <w:tcBorders>
              <w:top w:val="nil"/>
              <w:left w:val="nil"/>
              <w:bottom w:val="single" w:sz="4" w:space="0" w:color="auto"/>
              <w:right w:val="single" w:sz="4" w:space="0" w:color="auto"/>
            </w:tcBorders>
            <w:shd w:val="clear" w:color="auto" w:fill="C6EFCE"/>
            <w:noWrap/>
            <w:vAlign w:val="center"/>
          </w:tcPr>
          <w:p w14:paraId="458249C9" w14:textId="77777777" w:rsidR="0023462A" w:rsidRDefault="0023462A">
            <w:pPr>
              <w:spacing w:after="120" w:line="240" w:lineRule="auto"/>
              <w:rPr>
                <w:rFonts w:ascii="Times New Roman" w:eastAsia="Calibri" w:hAnsi="Times New Roman" w:cs="Times New Roman"/>
                <w:noProof/>
                <w:sz w:val="18"/>
                <w:szCs w:val="18"/>
              </w:rPr>
            </w:pPr>
          </w:p>
        </w:tc>
        <w:tc>
          <w:tcPr>
            <w:tcW w:w="1417" w:type="dxa"/>
            <w:tcBorders>
              <w:top w:val="nil"/>
              <w:left w:val="nil"/>
              <w:bottom w:val="single" w:sz="4" w:space="0" w:color="auto"/>
              <w:right w:val="single" w:sz="4" w:space="0" w:color="auto"/>
            </w:tcBorders>
            <w:shd w:val="clear" w:color="auto" w:fill="C6EFCE"/>
            <w:noWrap/>
            <w:vAlign w:val="center"/>
          </w:tcPr>
          <w:p w14:paraId="32557FA8" w14:textId="77777777" w:rsidR="0023462A" w:rsidRDefault="0023462A">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vAlign w:val="center"/>
          </w:tcPr>
          <w:p w14:paraId="150F2F7E" w14:textId="77777777" w:rsidR="0023462A" w:rsidRDefault="0023462A">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029DB7FD" w14:textId="13F7912C" w:rsidR="0023462A" w:rsidRDefault="00A550FA">
            <w:pPr>
              <w:pStyle w:val="P68B1DB1-Normal66"/>
              <w:spacing w:after="120" w:line="240" w:lineRule="auto"/>
              <w:rPr>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77A815C3" w14:textId="1B890128" w:rsidR="0023462A" w:rsidRDefault="00A550FA">
            <w:pPr>
              <w:pStyle w:val="P68B1DB1-Normal66"/>
              <w:spacing w:after="120" w:line="240" w:lineRule="auto"/>
              <w:rPr>
                <w:noProof/>
              </w:rPr>
            </w:pPr>
            <w:r>
              <w:rPr>
                <w:noProof/>
              </w:rPr>
              <w:t>2026</w:t>
            </w:r>
          </w:p>
        </w:tc>
        <w:tc>
          <w:tcPr>
            <w:tcW w:w="3713" w:type="dxa"/>
            <w:tcBorders>
              <w:top w:val="nil"/>
              <w:left w:val="nil"/>
              <w:bottom w:val="single" w:sz="4" w:space="0" w:color="auto"/>
              <w:right w:val="single" w:sz="4" w:space="0" w:color="auto"/>
            </w:tcBorders>
            <w:shd w:val="clear" w:color="auto" w:fill="C6EFCE"/>
            <w:noWrap/>
          </w:tcPr>
          <w:p w14:paraId="71FE0989" w14:textId="0CDBCAA9" w:rsidR="0023462A" w:rsidRDefault="00A550FA">
            <w:pPr>
              <w:pStyle w:val="P68B1DB1-Normal32"/>
              <w:spacing w:after="120" w:line="240" w:lineRule="auto"/>
              <w:ind w:left="52"/>
              <w:textAlignment w:val="baseline"/>
              <w:rPr>
                <w:rFonts w:eastAsia="Times New Roman"/>
                <w:noProof/>
              </w:rPr>
            </w:pPr>
            <w:r>
              <w:rPr>
                <w:noProof/>
              </w:rPr>
              <w:t xml:space="preserve">Entrée en vigueur du ou des actes juridiques nécessaires au déploiement du système «eReceipt». </w:t>
            </w:r>
          </w:p>
          <w:p w14:paraId="39C0BAD7" w14:textId="42B0D2AE" w:rsidR="0023462A" w:rsidRDefault="00A550FA">
            <w:pPr>
              <w:pStyle w:val="P68B1DB1-Normal27"/>
              <w:spacing w:after="120" w:line="240" w:lineRule="auto"/>
              <w:ind w:left="52"/>
              <w:textAlignment w:val="baseline"/>
              <w:rPr>
                <w:noProof/>
              </w:rPr>
            </w:pPr>
            <w:r>
              <w:rPr>
                <w:noProof/>
              </w:rPr>
              <w:t xml:space="preserve">Lancement du projet pilote «ePayroll» (plateforme de fourniture de données sur l’emploi). </w:t>
            </w:r>
          </w:p>
          <w:p w14:paraId="0657C42B" w14:textId="16F014C5" w:rsidR="0023462A" w:rsidRDefault="00A550FA">
            <w:pPr>
              <w:pStyle w:val="P68B1DB1-Normal27"/>
              <w:spacing w:after="120" w:line="240" w:lineRule="auto"/>
              <w:ind w:left="52"/>
              <w:textAlignment w:val="baseline"/>
              <w:rPr>
                <w:noProof/>
              </w:rPr>
            </w:pPr>
            <w:r>
              <w:rPr>
                <w:noProof/>
              </w:rPr>
              <w:t xml:space="preserve">La plateforme «eVAT» sera accessible aux utilisateurs. </w:t>
            </w:r>
          </w:p>
        </w:tc>
      </w:tr>
      <w:tr w:rsidR="0023462A" w14:paraId="7AD48F50" w14:textId="77777777" w:rsidTr="009C289F">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vAlign w:val="center"/>
          </w:tcPr>
          <w:p w14:paraId="1A583A34" w14:textId="753F6CFE" w:rsidR="0023462A" w:rsidRDefault="00A550FA">
            <w:pPr>
              <w:pStyle w:val="P68B1DB1-Normal66"/>
              <w:spacing w:after="120" w:line="240" w:lineRule="auto"/>
              <w:rPr>
                <w:noProof/>
              </w:rPr>
            </w:pPr>
            <w:r>
              <w:rPr>
                <w:noProof/>
              </w:rPr>
              <w:t>95</w:t>
            </w:r>
          </w:p>
        </w:tc>
        <w:tc>
          <w:tcPr>
            <w:tcW w:w="1559" w:type="dxa"/>
            <w:tcBorders>
              <w:top w:val="nil"/>
              <w:left w:val="nil"/>
              <w:bottom w:val="single" w:sz="4" w:space="0" w:color="auto"/>
              <w:right w:val="single" w:sz="4" w:space="0" w:color="auto"/>
            </w:tcBorders>
            <w:shd w:val="clear" w:color="auto" w:fill="C6EFCE"/>
            <w:noWrap/>
            <w:vAlign w:val="center"/>
          </w:tcPr>
          <w:p w14:paraId="45BD8F78" w14:textId="061DDB73" w:rsidR="0023462A" w:rsidRDefault="00A550FA">
            <w:pPr>
              <w:pStyle w:val="P68B1DB1-Normal66"/>
              <w:spacing w:after="120" w:line="240" w:lineRule="auto"/>
              <w:rPr>
                <w:noProof/>
              </w:rPr>
            </w:pPr>
            <w:r>
              <w:rPr>
                <w:noProof/>
              </w:rPr>
              <w:t>C8.R31 Simplifier le système fiscal en réduisant le nombre d'impôts</w:t>
            </w:r>
          </w:p>
        </w:tc>
        <w:tc>
          <w:tcPr>
            <w:tcW w:w="709" w:type="dxa"/>
            <w:tcBorders>
              <w:top w:val="nil"/>
              <w:left w:val="nil"/>
              <w:bottom w:val="single" w:sz="4" w:space="0" w:color="auto"/>
              <w:right w:val="single" w:sz="4" w:space="0" w:color="auto"/>
            </w:tcBorders>
            <w:shd w:val="clear" w:color="auto" w:fill="C6EFCE"/>
            <w:noWrap/>
            <w:vAlign w:val="center"/>
          </w:tcPr>
          <w:p w14:paraId="1435B960" w14:textId="0C148DE4" w:rsidR="0023462A" w:rsidRDefault="00A550FA">
            <w:pPr>
              <w:pStyle w:val="P68B1DB1-Normal66"/>
              <w:spacing w:after="120" w:line="240" w:lineRule="auto"/>
              <w:rPr>
                <w:noProof/>
              </w:rPr>
            </w:pPr>
            <w:r>
              <w:rPr>
                <w:noProof/>
              </w:rPr>
              <w:t>Étape</w:t>
            </w:r>
          </w:p>
        </w:tc>
        <w:tc>
          <w:tcPr>
            <w:tcW w:w="1417" w:type="dxa"/>
            <w:tcBorders>
              <w:top w:val="nil"/>
              <w:left w:val="nil"/>
              <w:bottom w:val="single" w:sz="4" w:space="0" w:color="auto"/>
              <w:right w:val="single" w:sz="4" w:space="0" w:color="auto"/>
            </w:tcBorders>
            <w:shd w:val="clear" w:color="auto" w:fill="C6EFCE"/>
            <w:noWrap/>
            <w:vAlign w:val="center"/>
          </w:tcPr>
          <w:p w14:paraId="6C1555FD" w14:textId="0B942B8A" w:rsidR="0023462A" w:rsidRDefault="00A550FA">
            <w:pPr>
              <w:pStyle w:val="P68B1DB1-Normal66"/>
              <w:spacing w:after="120" w:line="240" w:lineRule="auto"/>
              <w:rPr>
                <w:noProof/>
              </w:rPr>
            </w:pPr>
            <w:r>
              <w:rPr>
                <w:noProof/>
              </w:rPr>
              <w:t>Modification de la taxe de vente au détail</w:t>
            </w:r>
          </w:p>
        </w:tc>
        <w:tc>
          <w:tcPr>
            <w:tcW w:w="1701" w:type="dxa"/>
            <w:tcBorders>
              <w:top w:val="nil"/>
              <w:left w:val="nil"/>
              <w:bottom w:val="single" w:sz="4" w:space="0" w:color="auto"/>
              <w:right w:val="single" w:sz="4" w:space="0" w:color="auto"/>
            </w:tcBorders>
            <w:shd w:val="clear" w:color="auto" w:fill="C6EFCE"/>
            <w:noWrap/>
            <w:vAlign w:val="center"/>
          </w:tcPr>
          <w:p w14:paraId="0990BB02" w14:textId="4E56FA17" w:rsidR="0023462A" w:rsidRDefault="00A550FA">
            <w:pPr>
              <w:pStyle w:val="P68B1DB1-Normal66"/>
              <w:spacing w:after="120" w:line="240" w:lineRule="auto"/>
              <w:rPr>
                <w:noProof/>
              </w:rPr>
            </w:pPr>
            <w:r>
              <w:rPr>
                <w:noProof/>
              </w:rPr>
              <w:t>Dispositions de l’acte ou des actes juridiques indiquant la révision de la taxe sur le secteur du commerce de détail</w:t>
            </w:r>
          </w:p>
        </w:tc>
        <w:tc>
          <w:tcPr>
            <w:tcW w:w="1418" w:type="dxa"/>
            <w:tcBorders>
              <w:top w:val="nil"/>
              <w:left w:val="nil"/>
              <w:bottom w:val="single" w:sz="4" w:space="0" w:color="auto"/>
              <w:right w:val="single" w:sz="4" w:space="0" w:color="auto"/>
            </w:tcBorders>
            <w:shd w:val="clear" w:color="auto" w:fill="C6EFCE"/>
            <w:noWrap/>
            <w:vAlign w:val="center"/>
          </w:tcPr>
          <w:p w14:paraId="1062E504" w14:textId="77777777" w:rsidR="0023462A" w:rsidRDefault="0023462A">
            <w:pPr>
              <w:spacing w:after="120" w:line="240" w:lineRule="auto"/>
              <w:rPr>
                <w:rFonts w:ascii="Times New Roman" w:eastAsia="Calibri" w:hAnsi="Times New Roman" w:cs="Times New Roman"/>
                <w:noProof/>
                <w:sz w:val="18"/>
                <w:szCs w:val="18"/>
              </w:rPr>
            </w:pPr>
          </w:p>
        </w:tc>
        <w:tc>
          <w:tcPr>
            <w:tcW w:w="1417" w:type="dxa"/>
            <w:tcBorders>
              <w:top w:val="nil"/>
              <w:left w:val="nil"/>
              <w:bottom w:val="single" w:sz="4" w:space="0" w:color="auto"/>
              <w:right w:val="single" w:sz="4" w:space="0" w:color="auto"/>
            </w:tcBorders>
            <w:shd w:val="clear" w:color="auto" w:fill="C6EFCE"/>
            <w:noWrap/>
            <w:vAlign w:val="center"/>
          </w:tcPr>
          <w:p w14:paraId="3CF88127" w14:textId="77777777" w:rsidR="0023462A" w:rsidRDefault="0023462A">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vAlign w:val="center"/>
          </w:tcPr>
          <w:p w14:paraId="247F7F93" w14:textId="77777777" w:rsidR="0023462A" w:rsidRDefault="0023462A">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4A4DEC0A" w14:textId="79C51D98" w:rsidR="0023462A" w:rsidRDefault="00A550FA">
            <w:pPr>
              <w:pStyle w:val="P68B1DB1-Normal66"/>
              <w:spacing w:after="120" w:line="240" w:lineRule="auto"/>
              <w:rPr>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2A6519F8" w14:textId="1A0D36E0" w:rsidR="0023462A" w:rsidRDefault="00A550FA">
            <w:pPr>
              <w:pStyle w:val="P68B1DB1-Normal66"/>
              <w:spacing w:after="120" w:line="240" w:lineRule="auto"/>
              <w:rPr>
                <w:noProof/>
              </w:rPr>
            </w:pPr>
            <w:r>
              <w:rPr>
                <w:noProof/>
              </w:rPr>
              <w:t>2026</w:t>
            </w:r>
          </w:p>
        </w:tc>
        <w:tc>
          <w:tcPr>
            <w:tcW w:w="3713" w:type="dxa"/>
            <w:tcBorders>
              <w:top w:val="nil"/>
              <w:left w:val="nil"/>
              <w:bottom w:val="single" w:sz="4" w:space="0" w:color="auto"/>
              <w:right w:val="single" w:sz="4" w:space="0" w:color="auto"/>
            </w:tcBorders>
            <w:shd w:val="clear" w:color="auto" w:fill="C6EFCE"/>
            <w:noWrap/>
          </w:tcPr>
          <w:p w14:paraId="03A20CE0" w14:textId="07FEDD29" w:rsidR="0023462A" w:rsidRDefault="00A550FA">
            <w:pPr>
              <w:pStyle w:val="P68B1DB1-Normal66"/>
              <w:spacing w:after="120" w:line="240" w:lineRule="auto"/>
              <w:rPr>
                <w:noProof/>
              </w:rPr>
            </w:pPr>
            <w:r>
              <w:rPr>
                <w:noProof/>
              </w:rPr>
              <w:t xml:space="preserve">Entrée en vigueur d’un ou de plusieurs actes juridiques supprimant les restrictions imposées aux entreprises de détail sous contrôle étranger qui restructurent leurs activités commerciales en tant qu’entreprises de détail nationales. </w:t>
            </w:r>
          </w:p>
        </w:tc>
      </w:tr>
      <w:tr w:rsidR="0023462A" w14:paraId="3CFDCA0E" w14:textId="77777777" w:rsidTr="009C289F">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vAlign w:val="center"/>
          </w:tcPr>
          <w:p w14:paraId="3986850C" w14:textId="22290574" w:rsidR="0023462A" w:rsidRDefault="00A550FA">
            <w:pPr>
              <w:pStyle w:val="P68B1DB1-Normal66"/>
              <w:spacing w:after="120" w:line="240" w:lineRule="auto"/>
              <w:rPr>
                <w:noProof/>
              </w:rPr>
            </w:pPr>
            <w:r>
              <w:rPr>
                <w:noProof/>
              </w:rPr>
              <w:t>96</w:t>
            </w:r>
          </w:p>
        </w:tc>
        <w:tc>
          <w:tcPr>
            <w:tcW w:w="1559" w:type="dxa"/>
            <w:tcBorders>
              <w:top w:val="nil"/>
              <w:left w:val="nil"/>
              <w:bottom w:val="single" w:sz="4" w:space="0" w:color="auto"/>
              <w:right w:val="single" w:sz="4" w:space="0" w:color="auto"/>
            </w:tcBorders>
            <w:shd w:val="clear" w:color="auto" w:fill="C6EFCE"/>
            <w:noWrap/>
            <w:vAlign w:val="center"/>
          </w:tcPr>
          <w:p w14:paraId="78AAE822" w14:textId="447A5186" w:rsidR="0023462A" w:rsidRDefault="00A550FA">
            <w:pPr>
              <w:pStyle w:val="P68B1DB1-Normal66"/>
              <w:spacing w:after="120" w:line="240" w:lineRule="auto"/>
              <w:rPr>
                <w:noProof/>
              </w:rPr>
            </w:pPr>
            <w:r>
              <w:rPr>
                <w:noProof/>
              </w:rPr>
              <w:t>C8.R31 Simplifier le système fiscal en réduisant le nombre d'impôts</w:t>
            </w:r>
          </w:p>
        </w:tc>
        <w:tc>
          <w:tcPr>
            <w:tcW w:w="709" w:type="dxa"/>
            <w:tcBorders>
              <w:top w:val="nil"/>
              <w:left w:val="nil"/>
              <w:bottom w:val="single" w:sz="4" w:space="0" w:color="auto"/>
              <w:right w:val="single" w:sz="4" w:space="0" w:color="auto"/>
            </w:tcBorders>
            <w:shd w:val="clear" w:color="auto" w:fill="C6EFCE"/>
            <w:noWrap/>
            <w:vAlign w:val="center"/>
          </w:tcPr>
          <w:p w14:paraId="4F986B31" w14:textId="56682A72" w:rsidR="0023462A" w:rsidRDefault="00A550FA">
            <w:pPr>
              <w:pStyle w:val="P68B1DB1-Normal66"/>
              <w:spacing w:after="120" w:line="240" w:lineRule="auto"/>
              <w:rPr>
                <w:noProof/>
              </w:rPr>
            </w:pPr>
            <w:r>
              <w:rPr>
                <w:noProof/>
              </w:rPr>
              <w:t>Étape</w:t>
            </w:r>
          </w:p>
        </w:tc>
        <w:tc>
          <w:tcPr>
            <w:tcW w:w="1417" w:type="dxa"/>
            <w:tcBorders>
              <w:top w:val="nil"/>
              <w:left w:val="nil"/>
              <w:bottom w:val="single" w:sz="4" w:space="0" w:color="auto"/>
              <w:right w:val="single" w:sz="4" w:space="0" w:color="auto"/>
            </w:tcBorders>
            <w:shd w:val="clear" w:color="auto" w:fill="C6EFCE"/>
            <w:noWrap/>
            <w:vAlign w:val="center"/>
          </w:tcPr>
          <w:p w14:paraId="255526F8" w14:textId="753148A1" w:rsidR="0023462A" w:rsidRDefault="00A550FA">
            <w:pPr>
              <w:pStyle w:val="P68B1DB1-Normal66"/>
              <w:spacing w:after="120" w:line="240" w:lineRule="auto"/>
              <w:rPr>
                <w:noProof/>
              </w:rPr>
            </w:pPr>
            <w:r>
              <w:rPr>
                <w:noProof/>
              </w:rPr>
              <w:t>Suppression progressive des avantages fiscaux</w:t>
            </w:r>
          </w:p>
        </w:tc>
        <w:tc>
          <w:tcPr>
            <w:tcW w:w="1701" w:type="dxa"/>
            <w:tcBorders>
              <w:top w:val="nil"/>
              <w:left w:val="nil"/>
              <w:bottom w:val="single" w:sz="4" w:space="0" w:color="auto"/>
              <w:right w:val="single" w:sz="4" w:space="0" w:color="auto"/>
            </w:tcBorders>
            <w:shd w:val="clear" w:color="auto" w:fill="C6EFCE"/>
            <w:noWrap/>
            <w:vAlign w:val="center"/>
          </w:tcPr>
          <w:p w14:paraId="4EC4CEB6" w14:textId="6CBE7250" w:rsidR="0023462A" w:rsidRDefault="00A550FA">
            <w:pPr>
              <w:pStyle w:val="P68B1DB1-Normal66"/>
              <w:spacing w:after="120" w:line="240" w:lineRule="auto"/>
              <w:rPr>
                <w:noProof/>
              </w:rPr>
            </w:pPr>
            <w:r>
              <w:rPr>
                <w:noProof/>
              </w:rPr>
              <w:t>Publication d’un ou de plusieurs actes juridiques au Journal officiel et publication d’une résolution du gouvernement</w:t>
            </w:r>
          </w:p>
        </w:tc>
        <w:tc>
          <w:tcPr>
            <w:tcW w:w="1418" w:type="dxa"/>
            <w:tcBorders>
              <w:top w:val="nil"/>
              <w:left w:val="nil"/>
              <w:bottom w:val="single" w:sz="4" w:space="0" w:color="auto"/>
              <w:right w:val="single" w:sz="4" w:space="0" w:color="auto"/>
            </w:tcBorders>
            <w:shd w:val="clear" w:color="auto" w:fill="C6EFCE"/>
            <w:noWrap/>
            <w:vAlign w:val="center"/>
          </w:tcPr>
          <w:p w14:paraId="6F3AF50E" w14:textId="77777777" w:rsidR="0023462A" w:rsidRDefault="0023462A">
            <w:pPr>
              <w:spacing w:after="120" w:line="240" w:lineRule="auto"/>
              <w:rPr>
                <w:rFonts w:ascii="Times New Roman" w:eastAsia="Calibri" w:hAnsi="Times New Roman" w:cs="Times New Roman"/>
                <w:noProof/>
                <w:sz w:val="18"/>
                <w:szCs w:val="18"/>
              </w:rPr>
            </w:pPr>
          </w:p>
        </w:tc>
        <w:tc>
          <w:tcPr>
            <w:tcW w:w="1417" w:type="dxa"/>
            <w:tcBorders>
              <w:top w:val="nil"/>
              <w:left w:val="nil"/>
              <w:bottom w:val="single" w:sz="4" w:space="0" w:color="auto"/>
              <w:right w:val="single" w:sz="4" w:space="0" w:color="auto"/>
            </w:tcBorders>
            <w:shd w:val="clear" w:color="auto" w:fill="C6EFCE"/>
            <w:noWrap/>
            <w:vAlign w:val="center"/>
          </w:tcPr>
          <w:p w14:paraId="43D80B3A" w14:textId="77777777" w:rsidR="0023462A" w:rsidRDefault="0023462A">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vAlign w:val="center"/>
          </w:tcPr>
          <w:p w14:paraId="523394B3" w14:textId="77777777" w:rsidR="0023462A" w:rsidRDefault="0023462A">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1FDC6EB2" w14:textId="152143F3" w:rsidR="0023462A" w:rsidRDefault="00A550FA">
            <w:pPr>
              <w:pStyle w:val="P68B1DB1-Normal66"/>
              <w:spacing w:after="120" w:line="240" w:lineRule="auto"/>
              <w:rPr>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668F6A12" w14:textId="383878F3" w:rsidR="0023462A" w:rsidRDefault="00A550FA">
            <w:pPr>
              <w:pStyle w:val="P68B1DB1-Normal66"/>
              <w:spacing w:after="120" w:line="240" w:lineRule="auto"/>
              <w:rPr>
                <w:noProof/>
              </w:rPr>
            </w:pPr>
            <w:r>
              <w:rPr>
                <w:noProof/>
              </w:rPr>
              <w:t>2026</w:t>
            </w:r>
          </w:p>
        </w:tc>
        <w:tc>
          <w:tcPr>
            <w:tcW w:w="3713" w:type="dxa"/>
            <w:tcBorders>
              <w:top w:val="nil"/>
              <w:left w:val="nil"/>
              <w:bottom w:val="single" w:sz="4" w:space="0" w:color="auto"/>
              <w:right w:val="single" w:sz="4" w:space="0" w:color="auto"/>
            </w:tcBorders>
            <w:shd w:val="clear" w:color="auto" w:fill="C6EFCE"/>
            <w:noWrap/>
          </w:tcPr>
          <w:p w14:paraId="28C0DF4A" w14:textId="209E90A1" w:rsidR="0023462A" w:rsidRDefault="00A550FA">
            <w:pPr>
              <w:pStyle w:val="P68B1DB1-Normal27"/>
              <w:spacing w:after="120" w:line="240" w:lineRule="auto"/>
              <w:ind w:left="52"/>
              <w:textAlignment w:val="baseline"/>
              <w:rPr>
                <w:noProof/>
              </w:rPr>
            </w:pPr>
            <w:r>
              <w:rPr>
                <w:noProof/>
              </w:rPr>
              <w:t xml:space="preserve">Adoption et publication au Journal officiel d’un ou de plusieurs actes juridiques réduisant le nombre d’avantages fiscaux dans le cadre du régime de l’impôt sur les sociétés. </w:t>
            </w:r>
          </w:p>
          <w:p w14:paraId="0A42D6BA" w14:textId="34460FF0" w:rsidR="0023462A" w:rsidRDefault="00A550FA">
            <w:pPr>
              <w:pStyle w:val="P68B1DB1-Normal32"/>
              <w:spacing w:after="120" w:line="240" w:lineRule="auto"/>
              <w:textAlignment w:val="baseline"/>
              <w:rPr>
                <w:noProof/>
              </w:rPr>
            </w:pPr>
            <w:r>
              <w:rPr>
                <w:noProof/>
              </w:rPr>
              <w:t>Entrée en vigueur d’un ou de plusieurs actes juridiques relatifs à l’impôt sur le revenu des personnes physiques qui garantissent la suppression progressive des avantages fiscaux liés à l’utilisation de fiducies.</w:t>
            </w:r>
          </w:p>
          <w:p w14:paraId="26E5125A" w14:textId="594EDD3A" w:rsidR="0023462A" w:rsidRDefault="00A550FA">
            <w:pPr>
              <w:pStyle w:val="P68B1DB1-Normal32"/>
              <w:spacing w:after="120" w:line="240" w:lineRule="auto"/>
              <w:rPr>
                <w:noProof/>
              </w:rPr>
            </w:pPr>
            <w:r>
              <w:rPr>
                <w:noProof/>
              </w:rPr>
              <w:t xml:space="preserve">Publication d'une résolution du gouvernement ordonnant un examen interne du système actuel d'impôt sur le revenu des sociétés, y compris les taux d'imposition, dans le but d'augmenter les recettes de l'impôt sur le revenu des sociétés, tout en maintenant la compétitivité du système d'impôt sur le revenu des sociétés. </w:t>
            </w:r>
          </w:p>
        </w:tc>
      </w:tr>
      <w:tr w:rsidR="0023462A" w14:paraId="28FF0495" w14:textId="77777777" w:rsidTr="009C289F">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vAlign w:val="center"/>
          </w:tcPr>
          <w:p w14:paraId="01B2D78E" w14:textId="5ADFE7E0" w:rsidR="0023462A" w:rsidRDefault="00A550FA">
            <w:pPr>
              <w:pStyle w:val="P68B1DB1-Normal66"/>
              <w:spacing w:after="120" w:line="240" w:lineRule="auto"/>
              <w:rPr>
                <w:noProof/>
              </w:rPr>
            </w:pPr>
            <w:r>
              <w:rPr>
                <w:noProof/>
              </w:rPr>
              <w:t>97</w:t>
            </w:r>
          </w:p>
        </w:tc>
        <w:tc>
          <w:tcPr>
            <w:tcW w:w="1559" w:type="dxa"/>
            <w:tcBorders>
              <w:top w:val="nil"/>
              <w:left w:val="nil"/>
              <w:bottom w:val="single" w:sz="4" w:space="0" w:color="auto"/>
              <w:right w:val="single" w:sz="4" w:space="0" w:color="auto"/>
            </w:tcBorders>
            <w:shd w:val="clear" w:color="auto" w:fill="C6EFCE"/>
            <w:noWrap/>
            <w:vAlign w:val="center"/>
          </w:tcPr>
          <w:p w14:paraId="450400B5" w14:textId="5FA12859" w:rsidR="0023462A" w:rsidRDefault="00A550FA">
            <w:pPr>
              <w:pStyle w:val="P68B1DB1-Normal66"/>
              <w:spacing w:after="120" w:line="240" w:lineRule="auto"/>
              <w:rPr>
                <w:noProof/>
              </w:rPr>
            </w:pPr>
            <w:r>
              <w:rPr>
                <w:noProof/>
              </w:rPr>
              <w:t>C8.R31 Simplifier le système fiscal en réduisant le nombre d'impôts</w:t>
            </w:r>
          </w:p>
        </w:tc>
        <w:tc>
          <w:tcPr>
            <w:tcW w:w="709" w:type="dxa"/>
            <w:tcBorders>
              <w:top w:val="nil"/>
              <w:left w:val="nil"/>
              <w:bottom w:val="single" w:sz="4" w:space="0" w:color="auto"/>
              <w:right w:val="single" w:sz="4" w:space="0" w:color="auto"/>
            </w:tcBorders>
            <w:shd w:val="clear" w:color="auto" w:fill="C6EFCE"/>
            <w:noWrap/>
            <w:vAlign w:val="center"/>
          </w:tcPr>
          <w:p w14:paraId="459BFA58" w14:textId="7843CA49" w:rsidR="0023462A" w:rsidRDefault="00A550FA">
            <w:pPr>
              <w:pStyle w:val="P68B1DB1-Normal66"/>
              <w:spacing w:after="120" w:line="240" w:lineRule="auto"/>
              <w:rPr>
                <w:noProof/>
              </w:rPr>
            </w:pPr>
            <w:r>
              <w:rPr>
                <w:noProof/>
              </w:rPr>
              <w:t>Étape</w:t>
            </w:r>
          </w:p>
        </w:tc>
        <w:tc>
          <w:tcPr>
            <w:tcW w:w="1417" w:type="dxa"/>
            <w:tcBorders>
              <w:top w:val="nil"/>
              <w:left w:val="nil"/>
              <w:bottom w:val="single" w:sz="4" w:space="0" w:color="auto"/>
              <w:right w:val="single" w:sz="4" w:space="0" w:color="auto"/>
            </w:tcBorders>
            <w:shd w:val="clear" w:color="auto" w:fill="C6EFCE"/>
            <w:noWrap/>
            <w:vAlign w:val="center"/>
          </w:tcPr>
          <w:p w14:paraId="0BDFE39B" w14:textId="56C317F5" w:rsidR="0023462A" w:rsidRDefault="00A550FA">
            <w:pPr>
              <w:pStyle w:val="P68B1DB1-Normal66"/>
              <w:spacing w:after="120" w:line="240" w:lineRule="auto"/>
              <w:rPr>
                <w:noProof/>
              </w:rPr>
            </w:pPr>
            <w:r>
              <w:rPr>
                <w:noProof/>
              </w:rPr>
              <w:t>Adoption d’un ou de plusieurs actes juridiques réduisant le nombre d’impôts</w:t>
            </w:r>
          </w:p>
        </w:tc>
        <w:tc>
          <w:tcPr>
            <w:tcW w:w="1701" w:type="dxa"/>
            <w:tcBorders>
              <w:top w:val="nil"/>
              <w:left w:val="nil"/>
              <w:bottom w:val="single" w:sz="4" w:space="0" w:color="auto"/>
              <w:right w:val="single" w:sz="4" w:space="0" w:color="auto"/>
            </w:tcBorders>
            <w:shd w:val="clear" w:color="auto" w:fill="C6EFCE"/>
            <w:noWrap/>
            <w:vAlign w:val="center"/>
          </w:tcPr>
          <w:p w14:paraId="272B586C" w14:textId="2DE7CF31" w:rsidR="0023462A" w:rsidRDefault="00A550FA">
            <w:pPr>
              <w:pStyle w:val="P68B1DB1-Normal66"/>
              <w:spacing w:after="120" w:line="240" w:lineRule="auto"/>
              <w:rPr>
                <w:noProof/>
              </w:rPr>
            </w:pPr>
            <w:r>
              <w:rPr>
                <w:noProof/>
              </w:rPr>
              <w:t>Publication d'un ou de plusieurs actes juridiques au Journal officiel</w:t>
            </w:r>
          </w:p>
        </w:tc>
        <w:tc>
          <w:tcPr>
            <w:tcW w:w="1418" w:type="dxa"/>
            <w:tcBorders>
              <w:top w:val="nil"/>
              <w:left w:val="nil"/>
              <w:bottom w:val="single" w:sz="4" w:space="0" w:color="auto"/>
              <w:right w:val="single" w:sz="4" w:space="0" w:color="auto"/>
            </w:tcBorders>
            <w:shd w:val="clear" w:color="auto" w:fill="C6EFCE"/>
            <w:noWrap/>
            <w:vAlign w:val="center"/>
          </w:tcPr>
          <w:p w14:paraId="44EBFA08" w14:textId="77777777" w:rsidR="0023462A" w:rsidRDefault="0023462A">
            <w:pPr>
              <w:spacing w:after="120" w:line="240" w:lineRule="auto"/>
              <w:rPr>
                <w:rFonts w:ascii="Times New Roman" w:eastAsia="Calibri" w:hAnsi="Times New Roman" w:cs="Times New Roman"/>
                <w:noProof/>
                <w:sz w:val="18"/>
                <w:szCs w:val="18"/>
              </w:rPr>
            </w:pPr>
          </w:p>
        </w:tc>
        <w:tc>
          <w:tcPr>
            <w:tcW w:w="1417" w:type="dxa"/>
            <w:tcBorders>
              <w:top w:val="nil"/>
              <w:left w:val="nil"/>
              <w:bottom w:val="single" w:sz="4" w:space="0" w:color="auto"/>
              <w:right w:val="single" w:sz="4" w:space="0" w:color="auto"/>
            </w:tcBorders>
            <w:shd w:val="clear" w:color="auto" w:fill="C6EFCE"/>
            <w:noWrap/>
            <w:vAlign w:val="center"/>
          </w:tcPr>
          <w:p w14:paraId="2BE3D3BB" w14:textId="77777777" w:rsidR="0023462A" w:rsidRDefault="0023462A">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vAlign w:val="center"/>
          </w:tcPr>
          <w:p w14:paraId="5E3E8A11" w14:textId="77777777" w:rsidR="0023462A" w:rsidRDefault="0023462A">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2043A5EA" w14:textId="5F71D957" w:rsidR="0023462A" w:rsidRDefault="00A550FA">
            <w:pPr>
              <w:pStyle w:val="P68B1DB1-Normal66"/>
              <w:spacing w:after="120" w:line="240" w:lineRule="auto"/>
              <w:rPr>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5E40BF86" w14:textId="2DABC004" w:rsidR="0023462A" w:rsidRDefault="00A550FA">
            <w:pPr>
              <w:pStyle w:val="P68B1DB1-Normal66"/>
              <w:spacing w:after="120" w:line="240" w:lineRule="auto"/>
              <w:rPr>
                <w:noProof/>
              </w:rPr>
            </w:pPr>
            <w:r>
              <w:rPr>
                <w:noProof/>
              </w:rPr>
              <w:t>2026</w:t>
            </w:r>
          </w:p>
        </w:tc>
        <w:tc>
          <w:tcPr>
            <w:tcW w:w="3713" w:type="dxa"/>
            <w:tcBorders>
              <w:top w:val="nil"/>
              <w:left w:val="nil"/>
              <w:bottom w:val="single" w:sz="4" w:space="0" w:color="auto"/>
              <w:right w:val="single" w:sz="4" w:space="0" w:color="auto"/>
            </w:tcBorders>
            <w:shd w:val="clear" w:color="auto" w:fill="C6EFCE"/>
            <w:noWrap/>
          </w:tcPr>
          <w:p w14:paraId="75005663" w14:textId="26997F2E" w:rsidR="0023462A" w:rsidRDefault="00A550FA">
            <w:pPr>
              <w:pStyle w:val="P68B1DB1-Normal32"/>
              <w:spacing w:after="120" w:line="240" w:lineRule="auto"/>
              <w:rPr>
                <w:noProof/>
              </w:rPr>
            </w:pPr>
            <w:r>
              <w:rPr>
                <w:noProof/>
              </w:rPr>
              <w:t xml:space="preserve">Adoption et publication au Journal officiel d'un ou de plusieurs actes juridiques réduisant le nombre d'impôts. Le ou les actes juridiques permettent de réduire le nombre d’impôts de 54 qui étaient en vigueur au 1er janvier 2023 à 49 au maximum. Les taxes sectorielles temporaires et la taxe de service public couvertes par le R36 ne sont pas comptabilisées dans les taxes en vigueur au 1er janvier 2023 et ne contribuent pas non plus à la réduction proposée du nombre de taxes. </w:t>
            </w:r>
          </w:p>
        </w:tc>
      </w:tr>
      <w:tr w:rsidR="0023462A" w14:paraId="0219E66A" w14:textId="77777777" w:rsidTr="009C289F">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vAlign w:val="center"/>
          </w:tcPr>
          <w:p w14:paraId="0E1F2B3F" w14:textId="5B61E116" w:rsidR="0023462A" w:rsidRDefault="00A550FA">
            <w:pPr>
              <w:pStyle w:val="P68B1DB1-Normal66"/>
              <w:spacing w:after="120" w:line="240" w:lineRule="auto"/>
              <w:rPr>
                <w:noProof/>
              </w:rPr>
            </w:pPr>
            <w:r>
              <w:rPr>
                <w:noProof/>
              </w:rPr>
              <w:t>98</w:t>
            </w:r>
          </w:p>
        </w:tc>
        <w:tc>
          <w:tcPr>
            <w:tcW w:w="1559" w:type="dxa"/>
            <w:tcBorders>
              <w:top w:val="nil"/>
              <w:left w:val="nil"/>
              <w:bottom w:val="single" w:sz="4" w:space="0" w:color="auto"/>
              <w:right w:val="single" w:sz="4" w:space="0" w:color="auto"/>
            </w:tcBorders>
            <w:shd w:val="clear" w:color="auto" w:fill="C6EFCE"/>
            <w:noWrap/>
            <w:vAlign w:val="center"/>
          </w:tcPr>
          <w:p w14:paraId="5CCAD2B9" w14:textId="4222BAFD" w:rsidR="0023462A" w:rsidRDefault="00A550FA">
            <w:pPr>
              <w:pStyle w:val="P68B1DB1-Normal66"/>
              <w:spacing w:after="120" w:line="240" w:lineRule="auto"/>
              <w:rPr>
                <w:noProof/>
              </w:rPr>
            </w:pPr>
            <w:r>
              <w:rPr>
                <w:noProof/>
              </w:rPr>
              <w:t>C8.R31 Simplifier le système fiscal en réduisant le nombre d'impôts</w:t>
            </w:r>
          </w:p>
        </w:tc>
        <w:tc>
          <w:tcPr>
            <w:tcW w:w="709" w:type="dxa"/>
            <w:tcBorders>
              <w:top w:val="nil"/>
              <w:left w:val="nil"/>
              <w:bottom w:val="single" w:sz="4" w:space="0" w:color="auto"/>
              <w:right w:val="single" w:sz="4" w:space="0" w:color="auto"/>
            </w:tcBorders>
            <w:shd w:val="clear" w:color="auto" w:fill="C6EFCE"/>
            <w:noWrap/>
            <w:vAlign w:val="center"/>
          </w:tcPr>
          <w:p w14:paraId="6C02F4F2" w14:textId="1570BA0A" w:rsidR="0023462A" w:rsidRDefault="00A550FA">
            <w:pPr>
              <w:pStyle w:val="P68B1DB1-Normal66"/>
              <w:spacing w:after="120" w:line="240" w:lineRule="auto"/>
              <w:rPr>
                <w:noProof/>
              </w:rPr>
            </w:pPr>
            <w:r>
              <w:rPr>
                <w:noProof/>
              </w:rPr>
              <w:t>Étape</w:t>
            </w:r>
          </w:p>
        </w:tc>
        <w:tc>
          <w:tcPr>
            <w:tcW w:w="1417" w:type="dxa"/>
            <w:tcBorders>
              <w:top w:val="nil"/>
              <w:left w:val="nil"/>
              <w:bottom w:val="single" w:sz="4" w:space="0" w:color="auto"/>
              <w:right w:val="single" w:sz="4" w:space="0" w:color="auto"/>
            </w:tcBorders>
            <w:shd w:val="clear" w:color="auto" w:fill="C6EFCE"/>
            <w:noWrap/>
            <w:vAlign w:val="center"/>
          </w:tcPr>
          <w:p w14:paraId="487BDDC7" w14:textId="1C40E289" w:rsidR="0023462A" w:rsidRDefault="00A550FA">
            <w:pPr>
              <w:pStyle w:val="P68B1DB1-Normal66"/>
              <w:spacing w:after="120" w:line="240" w:lineRule="auto"/>
              <w:rPr>
                <w:noProof/>
              </w:rPr>
            </w:pPr>
            <w:r>
              <w:rPr>
                <w:noProof/>
              </w:rPr>
              <w:t>Rapport sur les possibilités de simplification et de consolidation d'un autre ensemble de règles relatives à l'impôt sur le revenu des personnes physiques</w:t>
            </w:r>
          </w:p>
        </w:tc>
        <w:tc>
          <w:tcPr>
            <w:tcW w:w="1701" w:type="dxa"/>
            <w:tcBorders>
              <w:top w:val="nil"/>
              <w:left w:val="nil"/>
              <w:bottom w:val="single" w:sz="4" w:space="0" w:color="auto"/>
              <w:right w:val="single" w:sz="4" w:space="0" w:color="auto"/>
            </w:tcBorders>
            <w:shd w:val="clear" w:color="auto" w:fill="C6EFCE"/>
            <w:noWrap/>
            <w:vAlign w:val="center"/>
          </w:tcPr>
          <w:p w14:paraId="52F7EA7E" w14:textId="61DE7AFA" w:rsidR="0023462A" w:rsidRDefault="00A550FA">
            <w:pPr>
              <w:pStyle w:val="P68B1DB1-Normal66"/>
              <w:spacing w:after="120" w:line="240" w:lineRule="auto"/>
              <w:rPr>
                <w:noProof/>
              </w:rPr>
            </w:pPr>
            <w:r>
              <w:rPr>
                <w:noProof/>
              </w:rPr>
              <w:t>Publication du rapport</w:t>
            </w:r>
          </w:p>
        </w:tc>
        <w:tc>
          <w:tcPr>
            <w:tcW w:w="1418" w:type="dxa"/>
            <w:tcBorders>
              <w:top w:val="nil"/>
              <w:left w:val="nil"/>
              <w:bottom w:val="single" w:sz="4" w:space="0" w:color="auto"/>
              <w:right w:val="single" w:sz="4" w:space="0" w:color="auto"/>
            </w:tcBorders>
            <w:shd w:val="clear" w:color="auto" w:fill="C6EFCE"/>
            <w:noWrap/>
            <w:vAlign w:val="center"/>
          </w:tcPr>
          <w:p w14:paraId="0BEBBD64" w14:textId="77777777" w:rsidR="0023462A" w:rsidRDefault="0023462A">
            <w:pPr>
              <w:spacing w:after="120" w:line="240" w:lineRule="auto"/>
              <w:rPr>
                <w:rFonts w:ascii="Times New Roman" w:eastAsia="Calibri" w:hAnsi="Times New Roman" w:cs="Times New Roman"/>
                <w:noProof/>
                <w:sz w:val="18"/>
                <w:szCs w:val="18"/>
              </w:rPr>
            </w:pPr>
          </w:p>
        </w:tc>
        <w:tc>
          <w:tcPr>
            <w:tcW w:w="1417" w:type="dxa"/>
            <w:tcBorders>
              <w:top w:val="nil"/>
              <w:left w:val="nil"/>
              <w:bottom w:val="single" w:sz="4" w:space="0" w:color="auto"/>
              <w:right w:val="single" w:sz="4" w:space="0" w:color="auto"/>
            </w:tcBorders>
            <w:shd w:val="clear" w:color="auto" w:fill="C6EFCE"/>
            <w:noWrap/>
            <w:vAlign w:val="center"/>
          </w:tcPr>
          <w:p w14:paraId="6DCD6218" w14:textId="77777777" w:rsidR="0023462A" w:rsidRDefault="0023462A">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vAlign w:val="center"/>
          </w:tcPr>
          <w:p w14:paraId="7B391878" w14:textId="77777777" w:rsidR="0023462A" w:rsidRDefault="0023462A">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586CA735" w14:textId="7CB95CA4" w:rsidR="0023462A" w:rsidRDefault="00A550FA">
            <w:pPr>
              <w:pStyle w:val="P68B1DB1-Normal20"/>
              <w:spacing w:after="120" w:line="240" w:lineRule="auto"/>
              <w:rPr>
                <w:rFonts w:cs="Times New Roman"/>
                <w:noProof/>
                <w:szCs w:val="18"/>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5B578095" w14:textId="6E23EB66" w:rsidR="0023462A" w:rsidRDefault="00A550FA">
            <w:pPr>
              <w:pStyle w:val="P68B1DB1-Normal20"/>
              <w:spacing w:after="120" w:line="240" w:lineRule="auto"/>
              <w:rPr>
                <w:rFonts w:cs="Times New Roman"/>
                <w:noProof/>
                <w:szCs w:val="18"/>
              </w:rPr>
            </w:pPr>
            <w:r>
              <w:rPr>
                <w:noProof/>
              </w:rPr>
              <w:t>2026</w:t>
            </w:r>
          </w:p>
        </w:tc>
        <w:tc>
          <w:tcPr>
            <w:tcW w:w="3713" w:type="dxa"/>
            <w:tcBorders>
              <w:top w:val="nil"/>
              <w:left w:val="nil"/>
              <w:bottom w:val="single" w:sz="4" w:space="0" w:color="auto"/>
              <w:right w:val="single" w:sz="4" w:space="0" w:color="auto"/>
            </w:tcBorders>
            <w:shd w:val="clear" w:color="auto" w:fill="C6EFCE"/>
            <w:noWrap/>
          </w:tcPr>
          <w:p w14:paraId="3A98C05B" w14:textId="77777777" w:rsidR="0023462A" w:rsidRDefault="00A550FA">
            <w:pPr>
              <w:pStyle w:val="P68B1DB1-Normal66"/>
              <w:spacing w:after="120" w:line="240" w:lineRule="auto"/>
              <w:ind w:left="52"/>
              <w:textAlignment w:val="baseline"/>
              <w:rPr>
                <w:rFonts w:eastAsia="Times New Roman"/>
                <w:noProof/>
              </w:rPr>
            </w:pPr>
            <w:r>
              <w:rPr>
                <w:noProof/>
              </w:rPr>
              <w:t>Publication d’un rapport sur la manière dont les règles relatives à l’impôt sur le revenu des personnes physiques pourraient être simplifiées et consolidées, en vue d’éliminer les dépenses fiscales inefficaces, de faciliter le choix des règles fiscales pour les contribuables et de réduire les incitations faussées ou injustifiées.</w:t>
            </w:r>
          </w:p>
          <w:p w14:paraId="46ECB649" w14:textId="11184538" w:rsidR="0023462A" w:rsidRDefault="00A550FA">
            <w:pPr>
              <w:pStyle w:val="P68B1DB1-Normal66"/>
              <w:spacing w:after="120" w:line="240" w:lineRule="auto"/>
              <w:rPr>
                <w:noProof/>
              </w:rPr>
            </w:pPr>
            <w:r>
              <w:rPr>
                <w:noProof/>
              </w:rPr>
              <w:t>Le rapport est publié sur le site internet du ministère des finances.</w:t>
            </w:r>
          </w:p>
        </w:tc>
      </w:tr>
      <w:tr w:rsidR="0023462A" w14:paraId="1F160D54" w14:textId="77777777" w:rsidTr="009C289F">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vAlign w:val="center"/>
          </w:tcPr>
          <w:p w14:paraId="7511FA5D" w14:textId="388FEAC4" w:rsidR="0023462A" w:rsidRDefault="00A550FA">
            <w:pPr>
              <w:pStyle w:val="P68B1DB1-Normal66"/>
              <w:spacing w:after="120" w:line="240" w:lineRule="auto"/>
              <w:rPr>
                <w:noProof/>
              </w:rPr>
            </w:pPr>
            <w:r>
              <w:rPr>
                <w:noProof/>
              </w:rPr>
              <w:t>99</w:t>
            </w:r>
          </w:p>
        </w:tc>
        <w:tc>
          <w:tcPr>
            <w:tcW w:w="1559" w:type="dxa"/>
            <w:tcBorders>
              <w:top w:val="nil"/>
              <w:left w:val="nil"/>
              <w:bottom w:val="single" w:sz="4" w:space="0" w:color="auto"/>
              <w:right w:val="single" w:sz="4" w:space="0" w:color="auto"/>
            </w:tcBorders>
            <w:shd w:val="clear" w:color="auto" w:fill="C6EFCE"/>
            <w:noWrap/>
            <w:vAlign w:val="center"/>
          </w:tcPr>
          <w:p w14:paraId="64F41552" w14:textId="7B5CD505" w:rsidR="0023462A" w:rsidRDefault="00A550FA">
            <w:pPr>
              <w:pStyle w:val="P68B1DB1-Normal66"/>
              <w:spacing w:after="120" w:line="240" w:lineRule="auto"/>
              <w:ind w:left="52"/>
              <w:rPr>
                <w:rFonts w:eastAsia="Times New Roman"/>
                <w:noProof/>
              </w:rPr>
            </w:pPr>
            <w:r>
              <w:rPr>
                <w:noProof/>
              </w:rPr>
              <w:t>C8.R32 Réforme de la taxe sur les gazoducs de service public</w:t>
            </w:r>
          </w:p>
          <w:p w14:paraId="4DBEA79D" w14:textId="77777777" w:rsidR="0023462A" w:rsidRDefault="0023462A">
            <w:pPr>
              <w:spacing w:after="120" w:line="240" w:lineRule="auto"/>
              <w:rPr>
                <w:rFonts w:ascii="Times New Roman" w:hAnsi="Times New Roman" w:cs="Times New Roman"/>
                <w:noProof/>
                <w:sz w:val="18"/>
                <w:szCs w:val="18"/>
              </w:rPr>
            </w:pPr>
          </w:p>
        </w:tc>
        <w:tc>
          <w:tcPr>
            <w:tcW w:w="709" w:type="dxa"/>
            <w:tcBorders>
              <w:top w:val="nil"/>
              <w:left w:val="nil"/>
              <w:bottom w:val="single" w:sz="4" w:space="0" w:color="auto"/>
              <w:right w:val="single" w:sz="4" w:space="0" w:color="auto"/>
            </w:tcBorders>
            <w:shd w:val="clear" w:color="auto" w:fill="C6EFCE"/>
            <w:noWrap/>
            <w:vAlign w:val="center"/>
          </w:tcPr>
          <w:p w14:paraId="2631062E" w14:textId="02E2E29A" w:rsidR="0023462A" w:rsidRDefault="00A550FA">
            <w:pPr>
              <w:pStyle w:val="P68B1DB1-Normal66"/>
              <w:spacing w:after="120" w:line="240" w:lineRule="auto"/>
              <w:rPr>
                <w:noProof/>
              </w:rPr>
            </w:pPr>
            <w:r>
              <w:rPr>
                <w:noProof/>
              </w:rPr>
              <w:t>Étape</w:t>
            </w:r>
          </w:p>
        </w:tc>
        <w:tc>
          <w:tcPr>
            <w:tcW w:w="1417" w:type="dxa"/>
            <w:tcBorders>
              <w:top w:val="nil"/>
              <w:left w:val="nil"/>
              <w:bottom w:val="single" w:sz="4" w:space="0" w:color="auto"/>
              <w:right w:val="single" w:sz="4" w:space="0" w:color="auto"/>
            </w:tcBorders>
            <w:shd w:val="clear" w:color="auto" w:fill="C6EFCE"/>
            <w:noWrap/>
            <w:vAlign w:val="center"/>
          </w:tcPr>
          <w:p w14:paraId="41C6EBE0" w14:textId="551BF26E" w:rsidR="0023462A" w:rsidRDefault="00A550FA">
            <w:pPr>
              <w:pStyle w:val="P68B1DB1-Normal66"/>
              <w:spacing w:after="120" w:line="240" w:lineRule="auto"/>
              <w:rPr>
                <w:noProof/>
              </w:rPr>
            </w:pPr>
            <w:r>
              <w:rPr>
                <w:noProof/>
              </w:rPr>
              <w:t>Entrée en vigueur du ou des actes juridiques relatifs à la taxe sur les gazoducs </w:t>
            </w:r>
          </w:p>
        </w:tc>
        <w:tc>
          <w:tcPr>
            <w:tcW w:w="1701" w:type="dxa"/>
            <w:tcBorders>
              <w:top w:val="nil"/>
              <w:left w:val="nil"/>
              <w:bottom w:val="single" w:sz="4" w:space="0" w:color="auto"/>
              <w:right w:val="single" w:sz="4" w:space="0" w:color="auto"/>
            </w:tcBorders>
            <w:shd w:val="clear" w:color="auto" w:fill="C6EFCE"/>
            <w:noWrap/>
            <w:vAlign w:val="center"/>
          </w:tcPr>
          <w:p w14:paraId="0753D010" w14:textId="2C30408E" w:rsidR="0023462A" w:rsidRDefault="00A550FA">
            <w:pPr>
              <w:pStyle w:val="P68B1DB1-Normal66"/>
              <w:spacing w:after="120" w:line="240" w:lineRule="auto"/>
              <w:rPr>
                <w:noProof/>
              </w:rPr>
            </w:pPr>
            <w:r>
              <w:rPr>
                <w:noProof/>
              </w:rPr>
              <w:t>Dispositions de l'acte ou des actes juridiques indiquant leur entrée en vigueur</w:t>
            </w:r>
          </w:p>
        </w:tc>
        <w:tc>
          <w:tcPr>
            <w:tcW w:w="1418" w:type="dxa"/>
            <w:tcBorders>
              <w:top w:val="nil"/>
              <w:left w:val="nil"/>
              <w:bottom w:val="single" w:sz="4" w:space="0" w:color="auto"/>
              <w:right w:val="single" w:sz="4" w:space="0" w:color="auto"/>
            </w:tcBorders>
            <w:shd w:val="clear" w:color="auto" w:fill="C6EFCE"/>
            <w:noWrap/>
            <w:vAlign w:val="center"/>
          </w:tcPr>
          <w:p w14:paraId="3561A791" w14:textId="77777777" w:rsidR="0023462A" w:rsidRDefault="0023462A">
            <w:pPr>
              <w:spacing w:after="120" w:line="240" w:lineRule="auto"/>
              <w:rPr>
                <w:rFonts w:ascii="Times New Roman" w:eastAsia="Calibri" w:hAnsi="Times New Roman" w:cs="Times New Roman"/>
                <w:noProof/>
                <w:sz w:val="18"/>
                <w:szCs w:val="18"/>
              </w:rPr>
            </w:pPr>
          </w:p>
        </w:tc>
        <w:tc>
          <w:tcPr>
            <w:tcW w:w="1417" w:type="dxa"/>
            <w:tcBorders>
              <w:top w:val="nil"/>
              <w:left w:val="nil"/>
              <w:bottom w:val="single" w:sz="4" w:space="0" w:color="auto"/>
              <w:right w:val="single" w:sz="4" w:space="0" w:color="auto"/>
            </w:tcBorders>
            <w:shd w:val="clear" w:color="auto" w:fill="C6EFCE"/>
            <w:noWrap/>
            <w:vAlign w:val="center"/>
          </w:tcPr>
          <w:p w14:paraId="7E663087" w14:textId="77777777" w:rsidR="0023462A" w:rsidRDefault="0023462A">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vAlign w:val="center"/>
          </w:tcPr>
          <w:p w14:paraId="3160967E" w14:textId="77777777" w:rsidR="0023462A" w:rsidRDefault="0023462A">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617A2588" w14:textId="77596696" w:rsidR="0023462A" w:rsidRDefault="00A550FA">
            <w:pPr>
              <w:pStyle w:val="P68B1DB1-Normal20"/>
              <w:spacing w:after="120" w:line="240" w:lineRule="auto"/>
              <w:rPr>
                <w:rFonts w:cs="Times New Roman"/>
                <w:noProof/>
                <w:szCs w:val="18"/>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25FEB05E" w14:textId="3BC18D31" w:rsidR="0023462A" w:rsidRDefault="00A550FA">
            <w:pPr>
              <w:pStyle w:val="P68B1DB1-Normal20"/>
              <w:spacing w:after="120" w:line="240" w:lineRule="auto"/>
              <w:rPr>
                <w:rFonts w:cs="Times New Roman"/>
                <w:noProof/>
                <w:szCs w:val="18"/>
              </w:rPr>
            </w:pPr>
            <w:r>
              <w:rPr>
                <w:noProof/>
              </w:rPr>
              <w:t>2026</w:t>
            </w:r>
          </w:p>
        </w:tc>
        <w:tc>
          <w:tcPr>
            <w:tcW w:w="3713" w:type="dxa"/>
            <w:tcBorders>
              <w:top w:val="nil"/>
              <w:left w:val="nil"/>
              <w:bottom w:val="single" w:sz="4" w:space="0" w:color="auto"/>
              <w:right w:val="single" w:sz="4" w:space="0" w:color="auto"/>
            </w:tcBorders>
            <w:shd w:val="clear" w:color="auto" w:fill="C6EFCE"/>
            <w:noWrap/>
          </w:tcPr>
          <w:p w14:paraId="7659C110" w14:textId="77777777" w:rsidR="0023462A" w:rsidRDefault="00A550FA">
            <w:pPr>
              <w:pStyle w:val="P68B1DB1-Normal66"/>
              <w:spacing w:after="120" w:line="240" w:lineRule="auto"/>
              <w:ind w:left="52"/>
              <w:textAlignment w:val="baseline"/>
              <w:rPr>
                <w:noProof/>
              </w:rPr>
            </w:pPr>
            <w:r>
              <w:rPr>
                <w:noProof/>
              </w:rPr>
              <w:t xml:space="preserve">Entrée en vigueur d'un ou de plusieurs actes juridiques relatifs à la simplification de la taxation des services publics </w:t>
            </w:r>
          </w:p>
          <w:p w14:paraId="6C5077FF" w14:textId="77777777" w:rsidR="0023462A" w:rsidRDefault="00A550FA">
            <w:pPr>
              <w:pStyle w:val="P68B1DB1-ListParagraph67"/>
              <w:numPr>
                <w:ilvl w:val="0"/>
                <w:numId w:val="148"/>
              </w:numPr>
              <w:spacing w:after="120" w:line="240" w:lineRule="auto"/>
              <w:contextualSpacing w:val="0"/>
              <w:textAlignment w:val="baseline"/>
              <w:rPr>
                <w:noProof/>
              </w:rPr>
            </w:pPr>
            <w:r>
              <w:rPr>
                <w:noProof/>
              </w:rPr>
              <w:t xml:space="preserve">abroger la loi no CLXVIII de 2012 relative à la taxe sur les pipelines de services publics, ou </w:t>
            </w:r>
          </w:p>
          <w:p w14:paraId="66187522" w14:textId="77777777" w:rsidR="0023462A" w:rsidRDefault="00A550FA">
            <w:pPr>
              <w:pStyle w:val="P68B1DB1-ListParagraph67"/>
              <w:numPr>
                <w:ilvl w:val="0"/>
                <w:numId w:val="148"/>
              </w:numPr>
              <w:spacing w:after="120" w:line="240" w:lineRule="auto"/>
              <w:contextualSpacing w:val="0"/>
              <w:textAlignment w:val="baseline"/>
              <w:rPr>
                <w:rFonts w:eastAsia="Times New Roman"/>
                <w:noProof/>
              </w:rPr>
            </w:pPr>
            <w:r>
              <w:rPr>
                <w:noProof/>
              </w:rPr>
              <w:t xml:space="preserve">modifier la loi no CLXVIII de 2012 relative à la taxe sur les pipelines de services publics </w:t>
            </w:r>
          </w:p>
          <w:p w14:paraId="36C0D772" w14:textId="53529129" w:rsidR="0023462A" w:rsidRDefault="00A550FA">
            <w:pPr>
              <w:pStyle w:val="P68B1DB1-Normal66"/>
              <w:spacing w:after="120" w:line="240" w:lineRule="auto"/>
              <w:rPr>
                <w:noProof/>
              </w:rPr>
            </w:pPr>
            <w:r>
              <w:rPr>
                <w:noProof/>
              </w:rPr>
              <w:t>afin d’introduire une règle fiscale permettant aux propriétaires de services publics de décharger ou de créditer la taxe détaillée due sur leurs lignes (eau et eaux usées, lignes électriques, conduites de gaz naturel et câbles de télécommunication) situées dans des zones publiques pour le montant qu’ils investissent dans l’entretien ou la modernisation de ces lignes.</w:t>
            </w:r>
          </w:p>
        </w:tc>
      </w:tr>
      <w:tr w:rsidR="0023462A" w14:paraId="45B5E55F" w14:textId="77777777" w:rsidTr="009C289F">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vAlign w:val="center"/>
          </w:tcPr>
          <w:p w14:paraId="41BAD408" w14:textId="3DA00B95" w:rsidR="0023462A" w:rsidRDefault="00A550FA">
            <w:pPr>
              <w:pStyle w:val="P68B1DB1-Normal66"/>
              <w:spacing w:after="120" w:line="240" w:lineRule="auto"/>
              <w:rPr>
                <w:noProof/>
              </w:rPr>
            </w:pPr>
            <w:r>
              <w:rPr>
                <w:noProof/>
              </w:rPr>
              <w:t>100</w:t>
            </w:r>
          </w:p>
        </w:tc>
        <w:tc>
          <w:tcPr>
            <w:tcW w:w="1559" w:type="dxa"/>
            <w:tcBorders>
              <w:top w:val="nil"/>
              <w:left w:val="nil"/>
              <w:bottom w:val="single" w:sz="4" w:space="0" w:color="auto"/>
              <w:right w:val="single" w:sz="4" w:space="0" w:color="auto"/>
            </w:tcBorders>
            <w:shd w:val="clear" w:color="auto" w:fill="C6EFCE"/>
            <w:noWrap/>
            <w:vAlign w:val="center"/>
          </w:tcPr>
          <w:p w14:paraId="3765026F" w14:textId="44B10F44" w:rsidR="0023462A" w:rsidRDefault="00A550FA">
            <w:pPr>
              <w:pStyle w:val="P68B1DB1-Normal66"/>
              <w:spacing w:after="120" w:line="240" w:lineRule="auto"/>
              <w:rPr>
                <w:noProof/>
              </w:rPr>
            </w:pPr>
            <w:r>
              <w:rPr>
                <w:noProof/>
              </w:rPr>
              <w:t>C8.R33 Renforcer l'efficacité des dépenses publiques en procédant à des réexamens des dépenses</w:t>
            </w:r>
          </w:p>
        </w:tc>
        <w:tc>
          <w:tcPr>
            <w:tcW w:w="709" w:type="dxa"/>
            <w:tcBorders>
              <w:top w:val="nil"/>
              <w:left w:val="nil"/>
              <w:bottom w:val="single" w:sz="4" w:space="0" w:color="auto"/>
              <w:right w:val="single" w:sz="4" w:space="0" w:color="auto"/>
            </w:tcBorders>
            <w:shd w:val="clear" w:color="auto" w:fill="C6EFCE"/>
            <w:noWrap/>
            <w:vAlign w:val="center"/>
          </w:tcPr>
          <w:p w14:paraId="391B39C3" w14:textId="456814AA" w:rsidR="0023462A" w:rsidRDefault="00A550FA">
            <w:pPr>
              <w:pStyle w:val="P68B1DB1-Normal66"/>
              <w:spacing w:after="120" w:line="240" w:lineRule="auto"/>
              <w:rPr>
                <w:noProof/>
              </w:rPr>
            </w:pPr>
            <w:r>
              <w:rPr>
                <w:noProof/>
              </w:rPr>
              <w:t>Étape</w:t>
            </w:r>
          </w:p>
        </w:tc>
        <w:tc>
          <w:tcPr>
            <w:tcW w:w="1417" w:type="dxa"/>
            <w:tcBorders>
              <w:top w:val="nil"/>
              <w:left w:val="nil"/>
              <w:bottom w:val="single" w:sz="4" w:space="0" w:color="auto"/>
              <w:right w:val="single" w:sz="4" w:space="0" w:color="auto"/>
            </w:tcBorders>
            <w:shd w:val="clear" w:color="auto" w:fill="C6EFCE"/>
            <w:noWrap/>
            <w:vAlign w:val="center"/>
          </w:tcPr>
          <w:p w14:paraId="6483B4B8" w14:textId="44ED944D" w:rsidR="0023462A" w:rsidRDefault="00A550FA">
            <w:pPr>
              <w:pStyle w:val="P68B1DB1-Normal66"/>
              <w:spacing w:after="120" w:line="240" w:lineRule="auto"/>
              <w:rPr>
                <w:noProof/>
              </w:rPr>
            </w:pPr>
            <w:r>
              <w:rPr>
                <w:noProof/>
              </w:rPr>
              <w:t>Mise en place du processus d'examen des dépenses et d'examen des dépenses</w:t>
            </w:r>
          </w:p>
        </w:tc>
        <w:tc>
          <w:tcPr>
            <w:tcW w:w="1701" w:type="dxa"/>
            <w:tcBorders>
              <w:top w:val="nil"/>
              <w:left w:val="nil"/>
              <w:bottom w:val="single" w:sz="4" w:space="0" w:color="auto"/>
              <w:right w:val="single" w:sz="4" w:space="0" w:color="auto"/>
            </w:tcBorders>
            <w:shd w:val="clear" w:color="auto" w:fill="C6EFCE"/>
            <w:noWrap/>
            <w:vAlign w:val="center"/>
          </w:tcPr>
          <w:p w14:paraId="2BB8F09B" w14:textId="695F1FF1" w:rsidR="0023462A" w:rsidRDefault="00A550FA">
            <w:pPr>
              <w:pStyle w:val="P68B1DB1-Normal66"/>
              <w:spacing w:after="120" w:line="240" w:lineRule="auto"/>
              <w:rPr>
                <w:noProof/>
              </w:rPr>
            </w:pPr>
            <w:r>
              <w:rPr>
                <w:noProof/>
              </w:rPr>
              <w:t>Publication d'une résolution gouvernementale, d'un contrat signé avec un ou plusieurs experts internationaux et réalisation de deux examens des dépenses</w:t>
            </w:r>
          </w:p>
        </w:tc>
        <w:tc>
          <w:tcPr>
            <w:tcW w:w="1418" w:type="dxa"/>
            <w:tcBorders>
              <w:top w:val="nil"/>
              <w:left w:val="nil"/>
              <w:bottom w:val="single" w:sz="4" w:space="0" w:color="auto"/>
              <w:right w:val="single" w:sz="4" w:space="0" w:color="auto"/>
            </w:tcBorders>
            <w:shd w:val="clear" w:color="auto" w:fill="C6EFCE"/>
            <w:noWrap/>
            <w:vAlign w:val="center"/>
          </w:tcPr>
          <w:p w14:paraId="70F32427" w14:textId="77777777" w:rsidR="0023462A" w:rsidRDefault="0023462A">
            <w:pPr>
              <w:spacing w:after="120" w:line="240" w:lineRule="auto"/>
              <w:rPr>
                <w:rFonts w:ascii="Times New Roman" w:eastAsia="Calibri" w:hAnsi="Times New Roman" w:cs="Times New Roman"/>
                <w:noProof/>
                <w:sz w:val="18"/>
                <w:szCs w:val="18"/>
              </w:rPr>
            </w:pPr>
          </w:p>
        </w:tc>
        <w:tc>
          <w:tcPr>
            <w:tcW w:w="1417" w:type="dxa"/>
            <w:tcBorders>
              <w:top w:val="nil"/>
              <w:left w:val="nil"/>
              <w:bottom w:val="single" w:sz="4" w:space="0" w:color="auto"/>
              <w:right w:val="single" w:sz="4" w:space="0" w:color="auto"/>
            </w:tcBorders>
            <w:shd w:val="clear" w:color="auto" w:fill="C6EFCE"/>
            <w:noWrap/>
            <w:vAlign w:val="center"/>
          </w:tcPr>
          <w:p w14:paraId="3ABECEB3" w14:textId="77777777" w:rsidR="0023462A" w:rsidRDefault="0023462A">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vAlign w:val="center"/>
          </w:tcPr>
          <w:p w14:paraId="450C7D79" w14:textId="77777777" w:rsidR="0023462A" w:rsidRDefault="0023462A">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0B3659A3" w14:textId="015955D1" w:rsidR="0023462A" w:rsidRDefault="00A550FA">
            <w:pPr>
              <w:pStyle w:val="P68B1DB1-Normal66"/>
              <w:spacing w:after="120" w:line="240" w:lineRule="auto"/>
              <w:rPr>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3F196B0D" w14:textId="5B3DF0AA" w:rsidR="0023462A" w:rsidRDefault="00A550FA">
            <w:pPr>
              <w:pStyle w:val="P68B1DB1-Normal66"/>
              <w:spacing w:after="120" w:line="240" w:lineRule="auto"/>
              <w:rPr>
                <w:noProof/>
              </w:rPr>
            </w:pPr>
            <w:r>
              <w:rPr>
                <w:noProof/>
              </w:rPr>
              <w:t>2026</w:t>
            </w:r>
          </w:p>
        </w:tc>
        <w:tc>
          <w:tcPr>
            <w:tcW w:w="3713" w:type="dxa"/>
            <w:tcBorders>
              <w:top w:val="nil"/>
              <w:left w:val="nil"/>
              <w:bottom w:val="single" w:sz="4" w:space="0" w:color="auto"/>
              <w:right w:val="single" w:sz="4" w:space="0" w:color="auto"/>
            </w:tcBorders>
            <w:shd w:val="clear" w:color="auto" w:fill="C6EFCE"/>
            <w:noWrap/>
            <w:vAlign w:val="center"/>
          </w:tcPr>
          <w:p w14:paraId="72469D5F" w14:textId="77777777" w:rsidR="0023462A" w:rsidRDefault="00A550FA">
            <w:pPr>
              <w:pStyle w:val="P68B1DB1-ListParagraph67"/>
              <w:numPr>
                <w:ilvl w:val="0"/>
                <w:numId w:val="149"/>
              </w:numPr>
              <w:spacing w:after="120" w:line="240" w:lineRule="auto"/>
              <w:contextualSpacing w:val="0"/>
              <w:textAlignment w:val="baseline"/>
              <w:rPr>
                <w:rFonts w:eastAsia="Times New Roman"/>
                <w:noProof/>
              </w:rPr>
            </w:pPr>
            <w:r>
              <w:rPr>
                <w:noProof/>
              </w:rPr>
              <w:t>Publication d'une ou de plusieurs résolutions du gouvernement sur le lancement d'un processus d'examen des dépenses.</w:t>
            </w:r>
          </w:p>
          <w:p w14:paraId="1A10353C" w14:textId="77777777" w:rsidR="0023462A" w:rsidRDefault="00A550FA">
            <w:pPr>
              <w:pStyle w:val="P68B1DB1-Normal66"/>
              <w:spacing w:after="120" w:line="240" w:lineRule="auto"/>
              <w:ind w:left="52"/>
              <w:textAlignment w:val="baseline"/>
              <w:rPr>
                <w:rFonts w:eastAsia="Times New Roman"/>
                <w:noProof/>
              </w:rPr>
            </w:pPr>
            <w:r>
              <w:rPr>
                <w:noProof/>
              </w:rPr>
              <w:t>La ou les résolutions précisent:</w:t>
            </w:r>
          </w:p>
          <w:p w14:paraId="7AD6EBAD" w14:textId="77777777" w:rsidR="0023462A" w:rsidRDefault="00A550FA">
            <w:pPr>
              <w:pStyle w:val="P68B1DB1-Normal32"/>
              <w:numPr>
                <w:ilvl w:val="0"/>
                <w:numId w:val="13"/>
              </w:numPr>
              <w:spacing w:after="120" w:line="240" w:lineRule="auto"/>
              <w:ind w:left="412"/>
              <w:textAlignment w:val="baseline"/>
              <w:rPr>
                <w:rFonts w:eastAsia="Times New Roman"/>
                <w:noProof/>
              </w:rPr>
            </w:pPr>
            <w:r>
              <w:rPr>
                <w:noProof/>
              </w:rPr>
              <w:t>les objectifs et cibles détaillés;</w:t>
            </w:r>
          </w:p>
          <w:p w14:paraId="221C447C" w14:textId="77777777" w:rsidR="0023462A" w:rsidRDefault="00A550FA">
            <w:pPr>
              <w:pStyle w:val="P68B1DB1-Normal32"/>
              <w:numPr>
                <w:ilvl w:val="0"/>
                <w:numId w:val="13"/>
              </w:numPr>
              <w:spacing w:after="120" w:line="240" w:lineRule="auto"/>
              <w:ind w:left="412"/>
              <w:textAlignment w:val="baseline"/>
              <w:rPr>
                <w:rFonts w:eastAsia="Times New Roman"/>
                <w:noProof/>
              </w:rPr>
            </w:pPr>
            <w:r>
              <w:rPr>
                <w:noProof/>
              </w:rPr>
              <w:t>la méthodologie de l'examen;</w:t>
            </w:r>
          </w:p>
          <w:p w14:paraId="317C0D9C" w14:textId="77777777" w:rsidR="0023462A" w:rsidRDefault="00A550FA">
            <w:pPr>
              <w:pStyle w:val="P68B1DB1-Normal32"/>
              <w:numPr>
                <w:ilvl w:val="0"/>
                <w:numId w:val="13"/>
              </w:numPr>
              <w:spacing w:after="120" w:line="240" w:lineRule="auto"/>
              <w:ind w:left="412"/>
              <w:textAlignment w:val="baseline"/>
              <w:rPr>
                <w:rFonts w:eastAsia="Times New Roman"/>
                <w:noProof/>
              </w:rPr>
            </w:pPr>
            <w:r>
              <w:rPr>
                <w:noProof/>
              </w:rPr>
              <w:t>un mécanisme permettant d’intégrer les résultats des réexamens des dépenses dans le processus budgétaire, au moyen de la circulaire budgétaire.</w:t>
            </w:r>
          </w:p>
          <w:p w14:paraId="7F22D4DD" w14:textId="77777777" w:rsidR="0023462A" w:rsidRDefault="00A550FA">
            <w:pPr>
              <w:pStyle w:val="P68B1DB1-Normal66"/>
              <w:spacing w:after="120" w:line="240" w:lineRule="auto"/>
              <w:textAlignment w:val="baseline"/>
              <w:rPr>
                <w:rFonts w:eastAsia="Times New Roman"/>
                <w:noProof/>
              </w:rPr>
            </w:pPr>
            <w:r>
              <w:rPr>
                <w:noProof/>
              </w:rPr>
              <w:t>La méthodologie définit des objectifs concrets en matière d'économies et d'efficacité pour des domaines de dépenses spécifiques.</w:t>
            </w:r>
          </w:p>
          <w:p w14:paraId="764D0F27" w14:textId="7E1F320C" w:rsidR="0023462A" w:rsidRDefault="00A550FA">
            <w:pPr>
              <w:pStyle w:val="P68B1DB1-ListParagraph43"/>
              <w:numPr>
                <w:ilvl w:val="0"/>
                <w:numId w:val="149"/>
              </w:numPr>
              <w:spacing w:after="120" w:line="240" w:lineRule="auto"/>
              <w:contextualSpacing w:val="0"/>
              <w:rPr>
                <w:rFonts w:eastAsia="Times New Roman"/>
                <w:noProof/>
              </w:rPr>
            </w:pPr>
            <w:r>
              <w:rPr>
                <w:noProof/>
              </w:rPr>
              <w:t>Le gouvernement coordonne et effectue deux examens des dépenses dans au moins deux domaines de dépenses.</w:t>
            </w:r>
          </w:p>
          <w:p w14:paraId="4D2CAB56" w14:textId="0DCFF418" w:rsidR="0023462A" w:rsidRDefault="00A550FA">
            <w:pPr>
              <w:pStyle w:val="P68B1DB1-ListParagraph43"/>
              <w:numPr>
                <w:ilvl w:val="0"/>
                <w:numId w:val="149"/>
              </w:numPr>
              <w:spacing w:after="120" w:line="240" w:lineRule="auto"/>
              <w:rPr>
                <w:noProof/>
              </w:rPr>
            </w:pPr>
            <w:r>
              <w:rPr>
                <w:noProof/>
              </w:rPr>
              <w:t>Le gouvernement fera appel à un expert international pour fournir une assistance technique dans la réalisation d'examens des dépenses en vue de la production de deux examens futurs des dépenses.</w:t>
            </w:r>
          </w:p>
        </w:tc>
      </w:tr>
      <w:tr w:rsidR="0023462A" w14:paraId="3BCE85AA" w14:textId="77777777" w:rsidTr="009C289F">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vAlign w:val="center"/>
          </w:tcPr>
          <w:p w14:paraId="66D47042" w14:textId="35E5CDAA" w:rsidR="0023462A" w:rsidRDefault="00A550FA">
            <w:pPr>
              <w:pStyle w:val="P68B1DB1-Normal66"/>
              <w:spacing w:after="120" w:line="240" w:lineRule="auto"/>
              <w:rPr>
                <w:noProof/>
              </w:rPr>
            </w:pPr>
            <w:r>
              <w:rPr>
                <w:noProof/>
              </w:rPr>
              <w:t>101</w:t>
            </w:r>
          </w:p>
        </w:tc>
        <w:tc>
          <w:tcPr>
            <w:tcW w:w="1559" w:type="dxa"/>
            <w:tcBorders>
              <w:top w:val="nil"/>
              <w:left w:val="nil"/>
              <w:bottom w:val="single" w:sz="4" w:space="0" w:color="auto"/>
              <w:right w:val="single" w:sz="4" w:space="0" w:color="auto"/>
            </w:tcBorders>
            <w:shd w:val="clear" w:color="auto" w:fill="C6EFCE"/>
            <w:noWrap/>
            <w:vAlign w:val="center"/>
          </w:tcPr>
          <w:p w14:paraId="7EE37EAC" w14:textId="3772BF64" w:rsidR="0023462A" w:rsidRDefault="00A550FA">
            <w:pPr>
              <w:pStyle w:val="P68B1DB1-Normal66"/>
              <w:spacing w:after="120" w:line="240" w:lineRule="auto"/>
              <w:rPr>
                <w:noProof/>
              </w:rPr>
            </w:pPr>
            <w:r>
              <w:rPr>
                <w:noProof/>
              </w:rPr>
              <w:t>C8.R34 Amélioration du cadre budgétaire national</w:t>
            </w:r>
          </w:p>
        </w:tc>
        <w:tc>
          <w:tcPr>
            <w:tcW w:w="709" w:type="dxa"/>
            <w:tcBorders>
              <w:top w:val="nil"/>
              <w:left w:val="nil"/>
              <w:bottom w:val="single" w:sz="4" w:space="0" w:color="auto"/>
              <w:right w:val="single" w:sz="4" w:space="0" w:color="auto"/>
            </w:tcBorders>
            <w:shd w:val="clear" w:color="auto" w:fill="C6EFCE"/>
            <w:noWrap/>
            <w:vAlign w:val="center"/>
          </w:tcPr>
          <w:p w14:paraId="787F7F7F" w14:textId="47C76EA4" w:rsidR="0023462A" w:rsidRDefault="00A550FA">
            <w:pPr>
              <w:pStyle w:val="P68B1DB1-Normal66"/>
              <w:spacing w:after="120" w:line="240" w:lineRule="auto"/>
              <w:rPr>
                <w:noProof/>
              </w:rPr>
            </w:pPr>
            <w:r>
              <w:rPr>
                <w:noProof/>
              </w:rPr>
              <w:t>Étape</w:t>
            </w:r>
          </w:p>
        </w:tc>
        <w:tc>
          <w:tcPr>
            <w:tcW w:w="1417" w:type="dxa"/>
            <w:tcBorders>
              <w:top w:val="nil"/>
              <w:left w:val="nil"/>
              <w:bottom w:val="single" w:sz="4" w:space="0" w:color="auto"/>
              <w:right w:val="single" w:sz="4" w:space="0" w:color="auto"/>
            </w:tcBorders>
            <w:shd w:val="clear" w:color="auto" w:fill="C6EFCE"/>
            <w:noWrap/>
            <w:vAlign w:val="center"/>
          </w:tcPr>
          <w:p w14:paraId="4E4B2472" w14:textId="7DD3E866" w:rsidR="0023462A" w:rsidRDefault="00A550FA">
            <w:pPr>
              <w:pStyle w:val="P68B1DB1-Normal66"/>
              <w:spacing w:after="120" w:line="240" w:lineRule="auto"/>
              <w:rPr>
                <w:noProof/>
              </w:rPr>
            </w:pPr>
            <w:r>
              <w:rPr>
                <w:noProof/>
              </w:rPr>
              <w:t xml:space="preserve">Renforcement du contrôle budgétaire </w:t>
            </w:r>
          </w:p>
        </w:tc>
        <w:tc>
          <w:tcPr>
            <w:tcW w:w="1701" w:type="dxa"/>
            <w:tcBorders>
              <w:top w:val="nil"/>
              <w:left w:val="nil"/>
              <w:bottom w:val="single" w:sz="4" w:space="0" w:color="auto"/>
              <w:right w:val="single" w:sz="4" w:space="0" w:color="auto"/>
            </w:tcBorders>
            <w:shd w:val="clear" w:color="auto" w:fill="C6EFCE"/>
            <w:noWrap/>
            <w:vAlign w:val="center"/>
          </w:tcPr>
          <w:p w14:paraId="33C20640" w14:textId="306F68E1" w:rsidR="0023462A" w:rsidRDefault="00A550FA">
            <w:pPr>
              <w:pStyle w:val="P68B1DB1-Normal66"/>
              <w:spacing w:after="120" w:line="240" w:lineRule="auto"/>
              <w:rPr>
                <w:noProof/>
              </w:rPr>
            </w:pPr>
            <w:r>
              <w:rPr>
                <w:noProof/>
              </w:rPr>
              <w:t>Dispositions du ou des actes juridiques indiquant leur entrée en vigueur et publication de la ou des résolutions du gouvernement</w:t>
            </w:r>
          </w:p>
        </w:tc>
        <w:tc>
          <w:tcPr>
            <w:tcW w:w="1418" w:type="dxa"/>
            <w:tcBorders>
              <w:top w:val="nil"/>
              <w:left w:val="nil"/>
              <w:bottom w:val="single" w:sz="4" w:space="0" w:color="auto"/>
              <w:right w:val="single" w:sz="4" w:space="0" w:color="auto"/>
            </w:tcBorders>
            <w:shd w:val="clear" w:color="auto" w:fill="C6EFCE"/>
            <w:noWrap/>
            <w:vAlign w:val="center"/>
          </w:tcPr>
          <w:p w14:paraId="3576A11D" w14:textId="77777777" w:rsidR="0023462A" w:rsidRDefault="0023462A">
            <w:pPr>
              <w:spacing w:after="120" w:line="240" w:lineRule="auto"/>
              <w:rPr>
                <w:rFonts w:ascii="Times New Roman" w:eastAsia="Calibri" w:hAnsi="Times New Roman" w:cs="Times New Roman"/>
                <w:noProof/>
                <w:sz w:val="18"/>
                <w:szCs w:val="18"/>
              </w:rPr>
            </w:pPr>
          </w:p>
        </w:tc>
        <w:tc>
          <w:tcPr>
            <w:tcW w:w="1417" w:type="dxa"/>
            <w:tcBorders>
              <w:top w:val="nil"/>
              <w:left w:val="nil"/>
              <w:bottom w:val="single" w:sz="4" w:space="0" w:color="auto"/>
              <w:right w:val="single" w:sz="4" w:space="0" w:color="auto"/>
            </w:tcBorders>
            <w:shd w:val="clear" w:color="auto" w:fill="C6EFCE"/>
            <w:noWrap/>
            <w:vAlign w:val="center"/>
          </w:tcPr>
          <w:p w14:paraId="230FA38A" w14:textId="77777777" w:rsidR="0023462A" w:rsidRDefault="0023462A">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vAlign w:val="center"/>
          </w:tcPr>
          <w:p w14:paraId="2A019BFB" w14:textId="77777777" w:rsidR="0023462A" w:rsidRDefault="0023462A">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1AC9C487" w14:textId="3D17518F" w:rsidR="0023462A" w:rsidRDefault="00A550FA">
            <w:pPr>
              <w:pStyle w:val="P68B1DB1-Normal66"/>
              <w:spacing w:after="120" w:line="240" w:lineRule="auto"/>
              <w:rPr>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49852870" w14:textId="42A0C247" w:rsidR="0023462A" w:rsidRDefault="00A550FA">
            <w:pPr>
              <w:pStyle w:val="P68B1DB1-Normal66"/>
              <w:spacing w:after="120" w:line="240" w:lineRule="auto"/>
              <w:rPr>
                <w:noProof/>
              </w:rPr>
            </w:pPr>
            <w:r>
              <w:rPr>
                <w:noProof/>
              </w:rPr>
              <w:t>2026</w:t>
            </w:r>
          </w:p>
        </w:tc>
        <w:tc>
          <w:tcPr>
            <w:tcW w:w="3713" w:type="dxa"/>
            <w:tcBorders>
              <w:top w:val="nil"/>
              <w:left w:val="nil"/>
              <w:bottom w:val="single" w:sz="4" w:space="0" w:color="auto"/>
              <w:right w:val="single" w:sz="4" w:space="0" w:color="auto"/>
            </w:tcBorders>
            <w:shd w:val="clear" w:color="auto" w:fill="C6EFCE"/>
            <w:noWrap/>
            <w:vAlign w:val="center"/>
          </w:tcPr>
          <w:p w14:paraId="2C49E3C7" w14:textId="77777777" w:rsidR="0023462A" w:rsidRDefault="00A550FA">
            <w:pPr>
              <w:pStyle w:val="P68B1DB1-Normal66"/>
              <w:spacing w:after="120" w:line="240" w:lineRule="auto"/>
              <w:rPr>
                <w:noProof/>
              </w:rPr>
            </w:pPr>
            <w:r>
              <w:rPr>
                <w:noProof/>
              </w:rPr>
              <w:t xml:space="preserve">Entrée en vigueur du ou des actes juridiques: </w:t>
            </w:r>
          </w:p>
          <w:p w14:paraId="29B415CC" w14:textId="77777777" w:rsidR="0023462A" w:rsidRDefault="00A550FA">
            <w:pPr>
              <w:pStyle w:val="P68B1DB1-ListParagraph43"/>
              <w:numPr>
                <w:ilvl w:val="0"/>
                <w:numId w:val="150"/>
              </w:numPr>
              <w:spacing w:after="120" w:line="240" w:lineRule="auto"/>
              <w:contextualSpacing w:val="0"/>
              <w:rPr>
                <w:noProof/>
              </w:rPr>
            </w:pPr>
            <w:r>
              <w:rPr>
                <w:noProof/>
              </w:rPr>
              <w:t>introduire un délai contraignant pour la présentation du projet de loi budgétaire annuelle au Parlement et charger le gouvernement d’élaborer et de publier une circulaire budgétaire chaque année;</w:t>
            </w:r>
          </w:p>
          <w:p w14:paraId="7CB4F80A" w14:textId="0B5CB1D7" w:rsidR="0023462A" w:rsidRDefault="00A550FA">
            <w:pPr>
              <w:pStyle w:val="P68B1DB1-ListParagraph67"/>
              <w:numPr>
                <w:ilvl w:val="0"/>
                <w:numId w:val="150"/>
              </w:numPr>
              <w:spacing w:after="120" w:line="240" w:lineRule="auto"/>
              <w:contextualSpacing w:val="0"/>
              <w:rPr>
                <w:noProof/>
              </w:rPr>
            </w:pPr>
            <w:r>
              <w:rPr>
                <w:noProof/>
              </w:rPr>
              <w:t>limiter l'utilisation des crédits non alloués à l'intérieur du budget;</w:t>
            </w:r>
          </w:p>
          <w:p w14:paraId="459C9C08" w14:textId="77777777" w:rsidR="0023462A" w:rsidRDefault="00A550FA">
            <w:pPr>
              <w:pStyle w:val="P68B1DB1-ListParagraph67"/>
              <w:numPr>
                <w:ilvl w:val="0"/>
                <w:numId w:val="150"/>
              </w:numPr>
              <w:spacing w:after="120" w:line="240" w:lineRule="auto"/>
              <w:contextualSpacing w:val="0"/>
              <w:rPr>
                <w:noProof/>
              </w:rPr>
            </w:pPr>
            <w:r>
              <w:rPr>
                <w:noProof/>
              </w:rPr>
              <w:t>limiter les pouvoirs du gouvernement en matière de réaffectations et de décisions budgétaires en cours d’exercice et accroître leur transparence;</w:t>
            </w:r>
          </w:p>
          <w:p w14:paraId="241AB740" w14:textId="77777777" w:rsidR="0023462A" w:rsidRDefault="00A550FA">
            <w:pPr>
              <w:pStyle w:val="P68B1DB1-ListParagraph43"/>
              <w:numPr>
                <w:ilvl w:val="0"/>
                <w:numId w:val="150"/>
              </w:numPr>
              <w:spacing w:after="120" w:line="240" w:lineRule="auto"/>
              <w:contextualSpacing w:val="0"/>
              <w:rPr>
                <w:noProof/>
              </w:rPr>
            </w:pPr>
            <w:r>
              <w:rPr>
                <w:noProof/>
              </w:rPr>
              <w:t>modifier la loi sur la stabilité économique définissant la création d'une ligne budgétaire distincte pour les dépenses opérationnelles du conseil budgétaire, qui sera suffisante pour faciliter le recrutement de personnel supplémentaire.</w:t>
            </w:r>
          </w:p>
          <w:p w14:paraId="2FF4CBA5" w14:textId="77777777" w:rsidR="0023462A" w:rsidRDefault="00A550FA">
            <w:pPr>
              <w:pStyle w:val="P68B1DB1-Normal66"/>
              <w:spacing w:after="120" w:line="240" w:lineRule="auto"/>
              <w:rPr>
                <w:noProof/>
              </w:rPr>
            </w:pPr>
            <w:r>
              <w:rPr>
                <w:noProof/>
              </w:rPr>
              <w:t>Publication d'une ou de plusieurs résolutions gouvernementales:</w:t>
            </w:r>
          </w:p>
          <w:p w14:paraId="1A28CA45" w14:textId="5D827ADC" w:rsidR="0023462A" w:rsidRDefault="00A550FA">
            <w:pPr>
              <w:pStyle w:val="P68B1DB1-ListParagraph43"/>
              <w:numPr>
                <w:ilvl w:val="0"/>
                <w:numId w:val="150"/>
              </w:numPr>
              <w:spacing w:after="120" w:line="240" w:lineRule="auto"/>
              <w:contextualSpacing w:val="0"/>
              <w:rPr>
                <w:noProof/>
              </w:rPr>
            </w:pPr>
            <w:r>
              <w:rPr>
                <w:noProof/>
              </w:rPr>
              <w:t xml:space="preserve">d’accorder des responsabilités supplémentaires au ministère des finances en matière de contrôle des dépenses, notamment en exigeant l’approbation préalable du ministre des finances de tout nouvel engagement financier supérieur à 250 millions de HUF et des acquisitions d’actifs supérieures à 100 millions de HUF, si elles ne sont pas fondées sur des obligations juridiques ou contractuelles spécifiques; </w:t>
            </w:r>
          </w:p>
          <w:p w14:paraId="146D2FC6" w14:textId="6E58E3C0" w:rsidR="0023462A" w:rsidRDefault="00A550FA">
            <w:pPr>
              <w:pStyle w:val="P68B1DB1-ListParagraph43"/>
              <w:numPr>
                <w:ilvl w:val="0"/>
                <w:numId w:val="150"/>
              </w:numPr>
              <w:spacing w:after="120" w:line="240" w:lineRule="auto"/>
              <w:contextualSpacing w:val="0"/>
              <w:rPr>
                <w:noProof/>
              </w:rPr>
            </w:pPr>
            <w:r>
              <w:rPr>
                <w:noProof/>
              </w:rPr>
              <w:t>d’accorder des pouvoirs de surveillance financière supplémentaires au ministère des finances sur les neuf plus grandes entreprises publiques, notamment en exigeant le consentement préalable du ministre des finances pour l’approbation et la modification des plans d’entreprise annuels des entreprises et en introduisant des exigences en matière de rapports mensuels.</w:t>
            </w:r>
          </w:p>
        </w:tc>
      </w:tr>
      <w:tr w:rsidR="0023462A" w14:paraId="13A15382" w14:textId="77777777" w:rsidTr="009C289F">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vAlign w:val="center"/>
          </w:tcPr>
          <w:p w14:paraId="61171FAB" w14:textId="02D1DA27" w:rsidR="0023462A" w:rsidRDefault="00A550FA">
            <w:pPr>
              <w:pStyle w:val="P68B1DB1-Normal66"/>
              <w:spacing w:after="120" w:line="240" w:lineRule="auto"/>
              <w:rPr>
                <w:noProof/>
              </w:rPr>
            </w:pPr>
            <w:r>
              <w:rPr>
                <w:noProof/>
              </w:rPr>
              <w:t>102</w:t>
            </w:r>
          </w:p>
        </w:tc>
        <w:tc>
          <w:tcPr>
            <w:tcW w:w="1559" w:type="dxa"/>
            <w:tcBorders>
              <w:top w:val="nil"/>
              <w:left w:val="nil"/>
              <w:bottom w:val="single" w:sz="4" w:space="0" w:color="auto"/>
              <w:right w:val="single" w:sz="4" w:space="0" w:color="auto"/>
            </w:tcBorders>
            <w:shd w:val="clear" w:color="auto" w:fill="C6EFCE"/>
            <w:noWrap/>
            <w:vAlign w:val="center"/>
          </w:tcPr>
          <w:p w14:paraId="4F26D0BE" w14:textId="7A7F8887" w:rsidR="0023462A" w:rsidRDefault="00A550FA">
            <w:pPr>
              <w:pStyle w:val="P68B1DB1-Normal66"/>
              <w:spacing w:after="120" w:line="240" w:lineRule="auto"/>
              <w:rPr>
                <w:noProof/>
              </w:rPr>
            </w:pPr>
            <w:r>
              <w:rPr>
                <w:noProof/>
              </w:rPr>
              <w:t>C8.R34 Amélioration du cadre budgétaire national</w:t>
            </w:r>
          </w:p>
        </w:tc>
        <w:tc>
          <w:tcPr>
            <w:tcW w:w="709" w:type="dxa"/>
            <w:tcBorders>
              <w:top w:val="nil"/>
              <w:left w:val="nil"/>
              <w:bottom w:val="single" w:sz="4" w:space="0" w:color="auto"/>
              <w:right w:val="single" w:sz="4" w:space="0" w:color="auto"/>
            </w:tcBorders>
            <w:shd w:val="clear" w:color="auto" w:fill="C6EFCE"/>
            <w:noWrap/>
            <w:vAlign w:val="center"/>
          </w:tcPr>
          <w:p w14:paraId="1F22D8E6" w14:textId="529A07B3" w:rsidR="0023462A" w:rsidRDefault="00A550FA">
            <w:pPr>
              <w:pStyle w:val="P68B1DB1-Normal66"/>
              <w:spacing w:after="120" w:line="240" w:lineRule="auto"/>
              <w:rPr>
                <w:noProof/>
              </w:rPr>
            </w:pPr>
            <w:r>
              <w:rPr>
                <w:noProof/>
              </w:rPr>
              <w:t>Étape</w:t>
            </w:r>
          </w:p>
        </w:tc>
        <w:tc>
          <w:tcPr>
            <w:tcW w:w="1417" w:type="dxa"/>
            <w:tcBorders>
              <w:top w:val="nil"/>
              <w:left w:val="nil"/>
              <w:bottom w:val="single" w:sz="4" w:space="0" w:color="auto"/>
              <w:right w:val="single" w:sz="4" w:space="0" w:color="auto"/>
            </w:tcBorders>
            <w:shd w:val="clear" w:color="auto" w:fill="C6EFCE"/>
            <w:noWrap/>
            <w:vAlign w:val="center"/>
          </w:tcPr>
          <w:p w14:paraId="16E7BB29" w14:textId="7A263FCE" w:rsidR="0023462A" w:rsidRDefault="00A550FA">
            <w:pPr>
              <w:pStyle w:val="P68B1DB1-Normal66"/>
              <w:spacing w:after="120" w:line="240" w:lineRule="auto"/>
              <w:rPr>
                <w:noProof/>
              </w:rPr>
            </w:pPr>
            <w:r>
              <w:rPr>
                <w:noProof/>
              </w:rPr>
              <w:t>Lancement d’un réexamen du cadre budgétaire soutenu par une consultation publique spécifique</w:t>
            </w:r>
          </w:p>
        </w:tc>
        <w:tc>
          <w:tcPr>
            <w:tcW w:w="1701" w:type="dxa"/>
            <w:tcBorders>
              <w:top w:val="nil"/>
              <w:left w:val="nil"/>
              <w:bottom w:val="single" w:sz="4" w:space="0" w:color="auto"/>
              <w:right w:val="single" w:sz="4" w:space="0" w:color="auto"/>
            </w:tcBorders>
            <w:shd w:val="clear" w:color="auto" w:fill="C6EFCE"/>
            <w:noWrap/>
            <w:vAlign w:val="center"/>
          </w:tcPr>
          <w:p w14:paraId="5303D1EF" w14:textId="286AC39D" w:rsidR="0023462A" w:rsidRDefault="00A550FA">
            <w:pPr>
              <w:pStyle w:val="P68B1DB1-Normal66"/>
              <w:spacing w:after="120" w:line="240" w:lineRule="auto"/>
              <w:rPr>
                <w:noProof/>
              </w:rPr>
            </w:pPr>
            <w:r>
              <w:rPr>
                <w:noProof/>
              </w:rPr>
              <w:t>Publication d'une résolution gouvernementale</w:t>
            </w:r>
          </w:p>
        </w:tc>
        <w:tc>
          <w:tcPr>
            <w:tcW w:w="1418" w:type="dxa"/>
            <w:tcBorders>
              <w:top w:val="nil"/>
              <w:left w:val="nil"/>
              <w:bottom w:val="single" w:sz="4" w:space="0" w:color="auto"/>
              <w:right w:val="single" w:sz="4" w:space="0" w:color="auto"/>
            </w:tcBorders>
            <w:shd w:val="clear" w:color="auto" w:fill="C6EFCE"/>
            <w:noWrap/>
            <w:vAlign w:val="center"/>
          </w:tcPr>
          <w:p w14:paraId="5499A6F3" w14:textId="77777777" w:rsidR="0023462A" w:rsidRDefault="0023462A">
            <w:pPr>
              <w:spacing w:after="120" w:line="240" w:lineRule="auto"/>
              <w:rPr>
                <w:rFonts w:ascii="Times New Roman" w:eastAsia="Calibri" w:hAnsi="Times New Roman" w:cs="Times New Roman"/>
                <w:noProof/>
                <w:sz w:val="18"/>
                <w:szCs w:val="18"/>
              </w:rPr>
            </w:pPr>
          </w:p>
        </w:tc>
        <w:tc>
          <w:tcPr>
            <w:tcW w:w="1417" w:type="dxa"/>
            <w:tcBorders>
              <w:top w:val="nil"/>
              <w:left w:val="nil"/>
              <w:bottom w:val="single" w:sz="4" w:space="0" w:color="auto"/>
              <w:right w:val="single" w:sz="4" w:space="0" w:color="auto"/>
            </w:tcBorders>
            <w:shd w:val="clear" w:color="auto" w:fill="C6EFCE"/>
            <w:noWrap/>
            <w:vAlign w:val="center"/>
          </w:tcPr>
          <w:p w14:paraId="25A68C0D" w14:textId="77777777" w:rsidR="0023462A" w:rsidRDefault="0023462A">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vAlign w:val="center"/>
          </w:tcPr>
          <w:p w14:paraId="0157850D" w14:textId="77777777" w:rsidR="0023462A" w:rsidRDefault="0023462A">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1597EB4A" w14:textId="22DF2897" w:rsidR="0023462A" w:rsidRDefault="00A550FA">
            <w:pPr>
              <w:pStyle w:val="P68B1DB1-Normal66"/>
              <w:spacing w:after="120" w:line="240" w:lineRule="auto"/>
              <w:rPr>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002A25C4" w14:textId="6624F86D" w:rsidR="0023462A" w:rsidRDefault="00A550FA">
            <w:pPr>
              <w:pStyle w:val="P68B1DB1-Normal66"/>
              <w:spacing w:after="120" w:line="240" w:lineRule="auto"/>
              <w:rPr>
                <w:noProof/>
              </w:rPr>
            </w:pPr>
            <w:r>
              <w:rPr>
                <w:noProof/>
              </w:rPr>
              <w:t>2026</w:t>
            </w:r>
          </w:p>
        </w:tc>
        <w:tc>
          <w:tcPr>
            <w:tcW w:w="3713" w:type="dxa"/>
            <w:tcBorders>
              <w:top w:val="nil"/>
              <w:left w:val="nil"/>
              <w:bottom w:val="single" w:sz="4" w:space="0" w:color="auto"/>
              <w:right w:val="single" w:sz="4" w:space="0" w:color="auto"/>
            </w:tcBorders>
            <w:shd w:val="clear" w:color="auto" w:fill="C6EFCE"/>
            <w:noWrap/>
            <w:vAlign w:val="center"/>
          </w:tcPr>
          <w:p w14:paraId="335B6A0E" w14:textId="77777777" w:rsidR="0023462A" w:rsidRDefault="00A550FA">
            <w:pPr>
              <w:pStyle w:val="P68B1DB1-Normal66"/>
              <w:spacing w:after="120" w:line="240" w:lineRule="auto"/>
              <w:rPr>
                <w:noProof/>
              </w:rPr>
            </w:pPr>
            <w:r>
              <w:rPr>
                <w:noProof/>
              </w:rPr>
              <w:t xml:space="preserve">Publication d'une résolution gouvernementale sur la création du secrétariat technique chargé de l'examen du cadre budgétaire au Ministère des finances. </w:t>
            </w:r>
          </w:p>
          <w:p w14:paraId="6BF791CD" w14:textId="74FB1256" w:rsidR="0023462A" w:rsidRDefault="00A550FA">
            <w:pPr>
              <w:pStyle w:val="P68B1DB1-Normal66"/>
              <w:spacing w:after="120" w:line="240" w:lineRule="auto"/>
              <w:rPr>
                <w:noProof/>
              </w:rPr>
            </w:pPr>
            <w:r>
              <w:rPr>
                <w:noProof/>
              </w:rPr>
              <w:t xml:space="preserve">La résolution précise le calendrier et la portée du réexamen, qui couvre la conception du cadre budgétaire à moyen terme et des règles budgétaires nationales, la structure institutionnelle, les garanties d’indépendance et le mandat du conseil budgétaire, ainsi que les procédures budgétaires et les outils de gestion des finances publiques régissant l’élaboration et l’exécution de la loi budgétaire annuelle, y compris le rôle des réexamens des dépenses. La résolution indique que les résultats du réexamen éclairent les modifications du cadre juridique au cours de la durée du prochain plan budgétaire et structurel à moyen terme de la Hongrie. </w:t>
            </w:r>
          </w:p>
        </w:tc>
      </w:tr>
      <w:tr w:rsidR="0023462A" w14:paraId="1D378AAB" w14:textId="77777777" w:rsidTr="009C289F">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vAlign w:val="center"/>
          </w:tcPr>
          <w:p w14:paraId="3FE76378" w14:textId="3335110B" w:rsidR="0023462A" w:rsidRDefault="00A550FA">
            <w:pPr>
              <w:pStyle w:val="P68B1DB1-Normal66"/>
              <w:spacing w:after="120" w:line="240" w:lineRule="auto"/>
              <w:rPr>
                <w:noProof/>
              </w:rPr>
            </w:pPr>
            <w:r>
              <w:rPr>
                <w:noProof/>
              </w:rPr>
              <w:t>103</w:t>
            </w:r>
          </w:p>
        </w:tc>
        <w:tc>
          <w:tcPr>
            <w:tcW w:w="1559" w:type="dxa"/>
            <w:tcBorders>
              <w:top w:val="nil"/>
              <w:left w:val="nil"/>
              <w:bottom w:val="single" w:sz="4" w:space="0" w:color="auto"/>
              <w:right w:val="single" w:sz="4" w:space="0" w:color="auto"/>
            </w:tcBorders>
            <w:shd w:val="clear" w:color="auto" w:fill="C6EFCE"/>
            <w:noWrap/>
            <w:vAlign w:val="center"/>
          </w:tcPr>
          <w:p w14:paraId="2ADFD01B" w14:textId="6A52B1D2" w:rsidR="0023462A" w:rsidRDefault="00A550FA">
            <w:pPr>
              <w:pStyle w:val="P68B1DB1-Normal66"/>
              <w:spacing w:after="120" w:line="240" w:lineRule="auto"/>
              <w:rPr>
                <w:noProof/>
              </w:rPr>
            </w:pPr>
            <w:r>
              <w:rPr>
                <w:noProof/>
              </w:rPr>
              <w:t>C8.R35 Réforme des prêts bonifiés</w:t>
            </w:r>
          </w:p>
        </w:tc>
        <w:tc>
          <w:tcPr>
            <w:tcW w:w="709" w:type="dxa"/>
            <w:tcBorders>
              <w:top w:val="nil"/>
              <w:left w:val="nil"/>
              <w:bottom w:val="single" w:sz="4" w:space="0" w:color="auto"/>
              <w:right w:val="single" w:sz="4" w:space="0" w:color="auto"/>
            </w:tcBorders>
            <w:shd w:val="clear" w:color="auto" w:fill="C6EFCE"/>
            <w:noWrap/>
            <w:vAlign w:val="center"/>
          </w:tcPr>
          <w:p w14:paraId="673F69A8" w14:textId="63DC5D9C" w:rsidR="0023462A" w:rsidRDefault="00A550FA">
            <w:pPr>
              <w:pStyle w:val="P68B1DB1-Normal66"/>
              <w:spacing w:after="120" w:line="240" w:lineRule="auto"/>
              <w:rPr>
                <w:noProof/>
              </w:rPr>
            </w:pPr>
            <w:r>
              <w:rPr>
                <w:noProof/>
              </w:rPr>
              <w:t>Étape</w:t>
            </w:r>
          </w:p>
        </w:tc>
        <w:tc>
          <w:tcPr>
            <w:tcW w:w="1417" w:type="dxa"/>
            <w:tcBorders>
              <w:top w:val="nil"/>
              <w:left w:val="nil"/>
              <w:bottom w:val="single" w:sz="4" w:space="0" w:color="auto"/>
              <w:right w:val="single" w:sz="4" w:space="0" w:color="auto"/>
            </w:tcBorders>
            <w:shd w:val="clear" w:color="auto" w:fill="C6EFCE"/>
            <w:noWrap/>
            <w:vAlign w:val="center"/>
          </w:tcPr>
          <w:p w14:paraId="06C547AC" w14:textId="45878D49" w:rsidR="0023462A" w:rsidRDefault="00A550FA">
            <w:pPr>
              <w:pStyle w:val="P68B1DB1-Normal66"/>
              <w:spacing w:after="120" w:line="240" w:lineRule="auto"/>
              <w:rPr>
                <w:noProof/>
              </w:rPr>
            </w:pPr>
            <w:r>
              <w:rPr>
                <w:noProof/>
              </w:rPr>
              <w:t>Réforme du régime de prêts bonifiés et réforme des garanties publiques</w:t>
            </w:r>
          </w:p>
        </w:tc>
        <w:tc>
          <w:tcPr>
            <w:tcW w:w="1701" w:type="dxa"/>
            <w:tcBorders>
              <w:top w:val="nil"/>
              <w:left w:val="nil"/>
              <w:bottom w:val="single" w:sz="4" w:space="0" w:color="auto"/>
              <w:right w:val="single" w:sz="4" w:space="0" w:color="auto"/>
            </w:tcBorders>
            <w:shd w:val="clear" w:color="auto" w:fill="C6EFCE"/>
            <w:noWrap/>
            <w:vAlign w:val="center"/>
          </w:tcPr>
          <w:p w14:paraId="595B4BB4" w14:textId="5ADC7817" w:rsidR="0023462A" w:rsidRDefault="00A550FA">
            <w:pPr>
              <w:pStyle w:val="P68B1DB1-Normal66"/>
              <w:spacing w:after="120" w:line="240" w:lineRule="auto"/>
              <w:rPr>
                <w:noProof/>
              </w:rPr>
            </w:pPr>
            <w:r>
              <w:rPr>
                <w:noProof/>
              </w:rPr>
              <w:t>Dispositions de l’acte ou des actes juridiques indiquant leur entrée en vigueur et publication d’une ou de plusieurs résolutions gouvernementales</w:t>
            </w:r>
          </w:p>
        </w:tc>
        <w:tc>
          <w:tcPr>
            <w:tcW w:w="1418" w:type="dxa"/>
            <w:tcBorders>
              <w:top w:val="nil"/>
              <w:left w:val="nil"/>
              <w:bottom w:val="single" w:sz="4" w:space="0" w:color="auto"/>
              <w:right w:val="single" w:sz="4" w:space="0" w:color="auto"/>
            </w:tcBorders>
            <w:shd w:val="clear" w:color="auto" w:fill="C6EFCE"/>
            <w:noWrap/>
            <w:vAlign w:val="center"/>
          </w:tcPr>
          <w:p w14:paraId="1E741767" w14:textId="77777777" w:rsidR="0023462A" w:rsidRDefault="0023462A">
            <w:pPr>
              <w:spacing w:after="120" w:line="240" w:lineRule="auto"/>
              <w:rPr>
                <w:rFonts w:ascii="Times New Roman" w:eastAsia="Calibri" w:hAnsi="Times New Roman" w:cs="Times New Roman"/>
                <w:noProof/>
                <w:sz w:val="18"/>
                <w:szCs w:val="18"/>
              </w:rPr>
            </w:pPr>
          </w:p>
        </w:tc>
        <w:tc>
          <w:tcPr>
            <w:tcW w:w="1417" w:type="dxa"/>
            <w:tcBorders>
              <w:top w:val="nil"/>
              <w:left w:val="nil"/>
              <w:bottom w:val="single" w:sz="4" w:space="0" w:color="auto"/>
              <w:right w:val="single" w:sz="4" w:space="0" w:color="auto"/>
            </w:tcBorders>
            <w:shd w:val="clear" w:color="auto" w:fill="C6EFCE"/>
            <w:noWrap/>
            <w:vAlign w:val="center"/>
          </w:tcPr>
          <w:p w14:paraId="66B28A2E" w14:textId="77777777" w:rsidR="0023462A" w:rsidRDefault="0023462A">
            <w:pPr>
              <w:spacing w:after="120" w:line="240" w:lineRule="auto"/>
              <w:rPr>
                <w:rFonts w:ascii="Times New Roman" w:eastAsia="Calibri" w:hAnsi="Times New Roman" w:cs="Times New Roman"/>
                <w:noProof/>
                <w:sz w:val="18"/>
                <w:szCs w:val="18"/>
              </w:rPr>
            </w:pPr>
          </w:p>
        </w:tc>
        <w:tc>
          <w:tcPr>
            <w:tcW w:w="993" w:type="dxa"/>
            <w:tcBorders>
              <w:top w:val="nil"/>
              <w:left w:val="nil"/>
              <w:bottom w:val="single" w:sz="4" w:space="0" w:color="auto"/>
              <w:right w:val="single" w:sz="4" w:space="0" w:color="auto"/>
            </w:tcBorders>
            <w:shd w:val="clear" w:color="auto" w:fill="C6EFCE"/>
            <w:noWrap/>
            <w:vAlign w:val="center"/>
          </w:tcPr>
          <w:p w14:paraId="6A6BF6A7" w14:textId="77777777" w:rsidR="0023462A" w:rsidRDefault="0023462A">
            <w:pPr>
              <w:spacing w:after="120" w:line="240" w:lineRule="auto"/>
              <w:rPr>
                <w:rFonts w:ascii="Times New Roman" w:eastAsia="Calibri"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4AE24CBE" w14:textId="59C2AC11" w:rsidR="0023462A" w:rsidRDefault="00A550FA">
            <w:pPr>
              <w:pStyle w:val="P68B1DB1-Normal66"/>
              <w:spacing w:after="120" w:line="240" w:lineRule="auto"/>
              <w:rPr>
                <w:noProof/>
              </w:rPr>
            </w:pPr>
            <w:r>
              <w:rPr>
                <w:noProof/>
              </w:rPr>
              <w:t>T2</w:t>
            </w:r>
          </w:p>
        </w:tc>
        <w:tc>
          <w:tcPr>
            <w:tcW w:w="708" w:type="dxa"/>
            <w:tcBorders>
              <w:top w:val="nil"/>
              <w:left w:val="nil"/>
              <w:bottom w:val="single" w:sz="4" w:space="0" w:color="auto"/>
              <w:right w:val="single" w:sz="4" w:space="0" w:color="auto"/>
            </w:tcBorders>
            <w:shd w:val="clear" w:color="auto" w:fill="C6EFCE"/>
            <w:noWrap/>
            <w:vAlign w:val="center"/>
          </w:tcPr>
          <w:p w14:paraId="66A6FA53" w14:textId="1C4FE876" w:rsidR="0023462A" w:rsidRDefault="00A550FA">
            <w:pPr>
              <w:pStyle w:val="P68B1DB1-Normal66"/>
              <w:spacing w:after="120" w:line="240" w:lineRule="auto"/>
              <w:rPr>
                <w:noProof/>
              </w:rPr>
            </w:pPr>
            <w:r>
              <w:rPr>
                <w:noProof/>
              </w:rPr>
              <w:t>2026</w:t>
            </w:r>
          </w:p>
        </w:tc>
        <w:tc>
          <w:tcPr>
            <w:tcW w:w="3713" w:type="dxa"/>
            <w:tcBorders>
              <w:top w:val="nil"/>
              <w:left w:val="nil"/>
              <w:bottom w:val="single" w:sz="4" w:space="0" w:color="auto"/>
              <w:right w:val="single" w:sz="4" w:space="0" w:color="auto"/>
            </w:tcBorders>
            <w:shd w:val="clear" w:color="auto" w:fill="C6EFCE"/>
            <w:noWrap/>
            <w:vAlign w:val="center"/>
          </w:tcPr>
          <w:p w14:paraId="4095BA01" w14:textId="5933273B" w:rsidR="0023462A" w:rsidRDefault="00A550FA">
            <w:pPr>
              <w:pStyle w:val="P68B1DB1-Normal32"/>
              <w:spacing w:after="120" w:line="240" w:lineRule="auto"/>
              <w:rPr>
                <w:noProof/>
              </w:rPr>
            </w:pPr>
            <w:r>
              <w:rPr>
                <w:noProof/>
              </w:rPr>
              <w:t>Publication d'une résolution du gouvernement lançant un réexamen des subventions et garanties publiques sur les prêts au secteur privé, en vue de réduire considérablement le niveau de partage des risques par l'État, de renforcer le rôle de l'évaluation du risque de crédit des banques et d'optimiser les ratios de couverture des garanties au fil du temps.</w:t>
            </w:r>
          </w:p>
          <w:p w14:paraId="4B0D889C" w14:textId="77777777" w:rsidR="0023462A" w:rsidRDefault="00A550FA">
            <w:pPr>
              <w:pStyle w:val="P68B1DB1-Normal32"/>
              <w:spacing w:after="120" w:line="240" w:lineRule="auto"/>
              <w:rPr>
                <w:noProof/>
              </w:rPr>
            </w:pPr>
            <w:r>
              <w:rPr>
                <w:noProof/>
              </w:rPr>
              <w:t xml:space="preserve">Entrée en vigueur du ou des actes juridiques relatifs à la réforme du Széchenyi Card Current Account Loan MAX+, de la Széchenyi Tourism Card MAX+ et du Széchenyi Liquidity Loan MAX+ dans le cadre du programme Széchenyi Card: </w:t>
            </w:r>
          </w:p>
          <w:p w14:paraId="613EB71D" w14:textId="622DF556" w:rsidR="0023462A" w:rsidRDefault="00A550FA">
            <w:pPr>
              <w:pStyle w:val="P68B1DB1-ListParagraph43"/>
              <w:numPr>
                <w:ilvl w:val="0"/>
                <w:numId w:val="151"/>
              </w:numPr>
              <w:spacing w:after="120" w:line="240" w:lineRule="auto"/>
              <w:ind w:left="810"/>
              <w:contextualSpacing w:val="0"/>
              <w:rPr>
                <w:noProof/>
              </w:rPr>
            </w:pPr>
            <w:r>
              <w:rPr>
                <w:noProof/>
              </w:rPr>
              <w:t>relever le taux d'intérêt au niveau du BUBOR à 3 mois;</w:t>
            </w:r>
          </w:p>
          <w:p w14:paraId="3F92A418" w14:textId="0624C711" w:rsidR="0023462A" w:rsidRDefault="00A550FA">
            <w:pPr>
              <w:pStyle w:val="P68B1DB1-ListParagraph43"/>
              <w:numPr>
                <w:ilvl w:val="0"/>
                <w:numId w:val="151"/>
              </w:numPr>
              <w:spacing w:after="120" w:line="240" w:lineRule="auto"/>
              <w:ind w:left="810"/>
              <w:contextualSpacing w:val="0"/>
              <w:rPr>
                <w:noProof/>
              </w:rPr>
            </w:pPr>
            <w:r>
              <w:rPr>
                <w:noProof/>
              </w:rPr>
              <w:t xml:space="preserve">rendre facultatives les garanties obligatoires associées. </w:t>
            </w:r>
          </w:p>
          <w:p w14:paraId="49C8373A" w14:textId="0C233BF6" w:rsidR="0023462A" w:rsidRDefault="00A550FA">
            <w:pPr>
              <w:pStyle w:val="P68B1DB1-Normal32"/>
              <w:spacing w:after="120" w:line="240" w:lineRule="auto"/>
              <w:rPr>
                <w:noProof/>
              </w:rPr>
            </w:pPr>
            <w:r>
              <w:rPr>
                <w:noProof/>
              </w:rPr>
              <w:t>Réaliser un examen par le gouvernement du calendrier d'amortissement de toutes les contre-garanties de l'État dans le but d'aligner la réduction des garanties sur ce calendrier et de limiter l'émission de nouvelles garanties.</w:t>
            </w:r>
          </w:p>
          <w:p w14:paraId="6A49ED1A" w14:textId="77777777" w:rsidR="0023462A" w:rsidRDefault="00A550FA">
            <w:pPr>
              <w:pStyle w:val="P68B1DB1-Normal32"/>
              <w:spacing w:after="120" w:line="240" w:lineRule="auto"/>
              <w:rPr>
                <w:noProof/>
              </w:rPr>
            </w:pPr>
            <w:r>
              <w:rPr>
                <w:noProof/>
              </w:rPr>
              <w:t>Publication d'une résolution gouvernementale fondée sur l'examen du calendrier d'amortissement de toutes les contre-garanties de l'État:</w:t>
            </w:r>
          </w:p>
          <w:p w14:paraId="3119EDDD" w14:textId="6F41B841" w:rsidR="0023462A" w:rsidRDefault="00A550FA">
            <w:pPr>
              <w:pStyle w:val="P68B1DB1-ListParagraph43"/>
              <w:numPr>
                <w:ilvl w:val="0"/>
                <w:numId w:val="162"/>
              </w:numPr>
              <w:spacing w:after="120" w:line="240" w:lineRule="auto"/>
              <w:rPr>
                <w:noProof/>
              </w:rPr>
            </w:pPr>
            <w:r>
              <w:rPr>
                <w:noProof/>
              </w:rPr>
              <w:t>en s’engageant à réduire la part des garanties publiques dans le PIB à la moyenne des États membres de l’Union et en fixant une trajectoire pour cette réduction en diminuant les plafonds annuels maximaux pour chaque instrument et chaque année jusqu’à ce que l’objectif soit atteint;</w:t>
            </w:r>
          </w:p>
          <w:p w14:paraId="6D434735" w14:textId="100ED7F2" w:rsidR="0023462A" w:rsidRDefault="00A550FA">
            <w:pPr>
              <w:pStyle w:val="P68B1DB1-ListParagraph43"/>
              <w:numPr>
                <w:ilvl w:val="0"/>
                <w:numId w:val="162"/>
              </w:numPr>
              <w:spacing w:after="120" w:line="240" w:lineRule="auto"/>
              <w:rPr>
                <w:noProof/>
              </w:rPr>
            </w:pPr>
            <w:r>
              <w:rPr>
                <w:noProof/>
              </w:rPr>
              <w:t xml:space="preserve">la résolution indique que les résultats du réexamen éclairent la trajectoire de réduction définie pendant la durée du prochain plan budgétaire et structurel à moyen terme de la Hongrie. </w:t>
            </w:r>
          </w:p>
          <w:p w14:paraId="2EDE322C" w14:textId="7A56A428" w:rsidR="0023462A" w:rsidRDefault="00A550FA">
            <w:pPr>
              <w:pStyle w:val="P68B1DB1-Normal32"/>
              <w:spacing w:after="120" w:line="240" w:lineRule="auto"/>
              <w:rPr>
                <w:noProof/>
              </w:rPr>
            </w:pPr>
            <w:r>
              <w:rPr>
                <w:noProof/>
              </w:rPr>
              <w:t>Entrée en vigueur d’un ou de plusieurs actes juridiques réduisant le plafond maximal des contre-garanties d’État en 2026 de l’ensemble des 12 800 milliards de HUF à un niveau inférieur calibré sur la base de l’examen.</w:t>
            </w:r>
          </w:p>
        </w:tc>
      </w:tr>
    </w:tbl>
    <w:p w14:paraId="7D583FD5" w14:textId="77777777" w:rsidR="0023462A" w:rsidRDefault="0023462A">
      <w:pPr>
        <w:keepNext/>
        <w:spacing w:after="120" w:line="240" w:lineRule="auto"/>
        <w:jc w:val="both"/>
        <w:rPr>
          <w:rFonts w:ascii="Times New Roman" w:eastAsiaTheme="minorHAnsi" w:hAnsi="Times New Roman" w:cs="Times New Roman"/>
          <w:b/>
          <w:noProof/>
          <w:sz w:val="24"/>
        </w:rPr>
        <w:sectPr w:rsidR="0023462A" w:rsidSect="005E3417">
          <w:headerReference w:type="default" r:id="rId104"/>
          <w:footerReference w:type="default" r:id="rId105"/>
          <w:pgSz w:w="16839" w:h="11907" w:orient="landscape"/>
          <w:pgMar w:top="1134" w:right="1134" w:bottom="1134" w:left="1134" w:header="567" w:footer="567" w:gutter="0"/>
          <w:cols w:space="708"/>
          <w:docGrid w:linePitch="326"/>
        </w:sectPr>
      </w:pPr>
    </w:p>
    <w:p w14:paraId="7D2F9954" w14:textId="2EE7295D" w:rsidR="0023462A" w:rsidRDefault="00A550FA">
      <w:pPr>
        <w:pStyle w:val="P68B1DB1-Normal44"/>
        <w:keepNext/>
        <w:spacing w:after="120" w:line="240" w:lineRule="auto"/>
        <w:jc w:val="both"/>
        <w:outlineLvl w:val="1"/>
        <w:rPr>
          <w:noProof/>
        </w:rPr>
      </w:pPr>
      <w:r>
        <w:rPr>
          <w:noProof/>
        </w:rPr>
        <w:t>I. Élément 9: REPOWEREU</w:t>
      </w:r>
    </w:p>
    <w:p w14:paraId="70F0BF16" w14:textId="275B8ADB" w:rsidR="0023462A" w:rsidRDefault="00A550FA">
      <w:pPr>
        <w:pStyle w:val="P68B1DB1-Normal61"/>
        <w:keepNext/>
        <w:spacing w:after="120" w:line="240" w:lineRule="auto"/>
        <w:jc w:val="both"/>
        <w:rPr>
          <w:noProof/>
        </w:rPr>
      </w:pPr>
      <w:r>
        <w:rPr>
          <w:noProof/>
        </w:rPr>
        <w:t xml:space="preserve">L’objectif du volet REPowerEU du plan hongrois pour la reprise et la résilience est d’accroître la sécurité énergétique et de soutenir la transition énergétique par des incitations à l’adoption du stockage de l’énergie, en augmentant la flexibilité du marché de l’électricité et en soutenant la recherche géothermique. L'objectif est de réduire la consommation de combustibles fossiles en augmentant l'efficacité énergétique et en améliorant l'efficacité énergétique des bâtiments. Le volet vise également à accroître l’efficacité et la flexibilité du marché de l’électricité en soutenant la flexibilité et la numérisation du réseau électrique et en promouvant la création et la connexion de communautés énergétiques, ainsi que la connexion d’agrégateurs et d’installations de stockage d’énergie au réseau. </w:t>
      </w:r>
    </w:p>
    <w:p w14:paraId="5EDF9A83" w14:textId="33388658" w:rsidR="0023462A" w:rsidRDefault="00A550FA">
      <w:pPr>
        <w:pStyle w:val="P68B1DB1-Normal61"/>
        <w:keepNext/>
        <w:spacing w:after="120" w:line="240" w:lineRule="auto"/>
        <w:jc w:val="both"/>
        <w:rPr>
          <w:noProof/>
        </w:rPr>
      </w:pPr>
      <w:r>
        <w:rPr>
          <w:noProof/>
        </w:rPr>
        <w:t xml:space="preserve">Le volet REPowerEU contribue à la mise en œuvre des recommandations par pays, en particulier la recommandation 2022 5, la recommandation 2022 6, la recommandation 2023 4 et la recommandation 2025 4 (Accélérer la diversification de l’approvisionnement en combustibles fossiles afin d’éliminer progressivement la dépendance à l’égard des sources russes […]. Améliorer la flexibilité et la concurrence dans le secteur de l'électricité, en renforçant le marché de l'équilibrage et en stimulant les échanges transfrontaliers d'électricité.). </w:t>
      </w:r>
    </w:p>
    <w:p w14:paraId="4337869B" w14:textId="2973AF2E" w:rsidR="0023462A" w:rsidRDefault="00A550FA">
      <w:pPr>
        <w:pStyle w:val="P68B1DB1-Normal61"/>
        <w:keepNext/>
        <w:spacing w:after="120" w:line="240" w:lineRule="auto"/>
        <w:jc w:val="both"/>
        <w:rPr>
          <w:noProof/>
        </w:rPr>
      </w:pPr>
      <w:r>
        <w:rPr>
          <w:noProof/>
        </w:rPr>
        <w:t>Plusieurs mesures doivent avoir une incidence transfrontière, notamment les investissements dans le développement du réseau électrique et l’instrument financier visant à accroître l’efficacité énergétique des bâtiments résidentiels.</w:t>
      </w:r>
    </w:p>
    <w:p w14:paraId="639D014B" w14:textId="02A7E62F" w:rsidR="0023462A" w:rsidRDefault="00A550FA">
      <w:pPr>
        <w:pStyle w:val="P68B1DB1-Normal61"/>
        <w:keepNext/>
        <w:spacing w:after="120" w:line="240" w:lineRule="auto"/>
        <w:jc w:val="both"/>
        <w:rPr>
          <w:noProof/>
        </w:rPr>
      </w:pPr>
      <w:r>
        <w:rPr>
          <w:noProof/>
        </w:rPr>
        <w:t>Aucune mesure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«ne pas causer de préjudice important» (2021/C58/01).</w:t>
      </w:r>
    </w:p>
    <w:p w14:paraId="5F56BD07" w14:textId="6C8DBEDD" w:rsidR="0023462A" w:rsidRDefault="00A550FA">
      <w:pPr>
        <w:pStyle w:val="P68B1DB1-Heading310"/>
        <w:spacing w:before="0" w:after="120"/>
        <w:rPr>
          <w:bCs/>
          <w:noProof/>
        </w:rPr>
      </w:pPr>
      <w:r>
        <w:rPr>
          <w:noProof/>
        </w:rPr>
        <w:t>I.1. Description des réformes et des investissements pour le soutien financier non remboursable</w:t>
      </w:r>
    </w:p>
    <w:p w14:paraId="1D9E9E85" w14:textId="6139A463" w:rsidR="0023462A" w:rsidRDefault="00A550FA">
      <w:pPr>
        <w:pStyle w:val="P68B1DB1-Heading469"/>
        <w:spacing w:before="0" w:after="120" w:line="240" w:lineRule="auto"/>
        <w:rPr>
          <w:rFonts w:eastAsia="Times New Roman"/>
          <w:b/>
          <w:noProof/>
        </w:rPr>
      </w:pPr>
      <w:r>
        <w:rPr>
          <w:noProof/>
        </w:rPr>
        <w:t>C</w:t>
      </w:r>
      <w:r>
        <w:rPr>
          <w:b/>
          <w:noProof/>
        </w:rPr>
        <w:t xml:space="preserve"> 9.R1 : Fixation des tarifs de réseau</w:t>
      </w:r>
    </w:p>
    <w:p w14:paraId="69341A26" w14:textId="77777777" w:rsidR="0023462A" w:rsidRDefault="00A550FA">
      <w:pPr>
        <w:pStyle w:val="P68B1DB1-Normal34"/>
        <w:spacing w:after="120" w:line="240" w:lineRule="auto"/>
        <w:jc w:val="both"/>
        <w:rPr>
          <w:noProof/>
        </w:rPr>
      </w:pPr>
      <w:r>
        <w:rPr>
          <w:noProof/>
        </w:rPr>
        <w:t>L’objectif de cette mesure est d’établir un nouveau cadre pour la fixation des tarifs du réseau d’électricité afin de garantir l’équité et l’efficacité financière sur l’ensemble du réseau.</w:t>
      </w:r>
    </w:p>
    <w:p w14:paraId="0EDC08BD" w14:textId="39248177" w:rsidR="0023462A" w:rsidRDefault="00A550FA">
      <w:pPr>
        <w:pStyle w:val="P68B1DB1-Normal34"/>
        <w:spacing w:after="120" w:line="240" w:lineRule="auto"/>
        <w:jc w:val="both"/>
        <w:rPr>
          <w:rFonts w:eastAsia="Times New Roman"/>
          <w:noProof/>
        </w:rPr>
      </w:pPr>
      <w:r>
        <w:rPr>
          <w:noProof/>
        </w:rPr>
        <w:t xml:space="preserve">Cette mesure consiste en l’entrée en vigueur d’un ou de plusieurs actes juridiques adoptant la nouvelle méthode de calcul des tarifs de réseau. </w:t>
      </w:r>
    </w:p>
    <w:p w14:paraId="2A47E17A" w14:textId="53AC036D" w:rsidR="0023462A" w:rsidRDefault="00A550FA">
      <w:pPr>
        <w:pStyle w:val="P68B1DB1-Heading469"/>
        <w:spacing w:before="0" w:after="120" w:line="240" w:lineRule="auto"/>
        <w:rPr>
          <w:b/>
          <w:noProof/>
        </w:rPr>
      </w:pPr>
      <w:r>
        <w:rPr>
          <w:noProof/>
        </w:rPr>
        <w:t>C</w:t>
      </w:r>
      <w:r>
        <w:rPr>
          <w:b/>
          <w:noProof/>
        </w:rPr>
        <w:t xml:space="preserve"> 9.R2 : Adaptation du ou des actes juridiques relatifs aux compteurs intelligents</w:t>
      </w:r>
    </w:p>
    <w:p w14:paraId="22A1BC3F" w14:textId="77777777" w:rsidR="0023462A" w:rsidRDefault="00A550FA">
      <w:pPr>
        <w:pStyle w:val="P68B1DB1-Normal34"/>
        <w:tabs>
          <w:tab w:val="num" w:pos="720"/>
        </w:tabs>
        <w:spacing w:after="120" w:line="240" w:lineRule="auto"/>
        <w:jc w:val="both"/>
        <w:rPr>
          <w:rFonts w:eastAsia="Times New Roman"/>
          <w:noProof/>
        </w:rPr>
      </w:pPr>
      <w:r>
        <w:rPr>
          <w:noProof/>
        </w:rPr>
        <w:t>L’objectif de cette mesure est d’améliorer l’utilisation des compteurs intelligents.</w:t>
      </w:r>
    </w:p>
    <w:p w14:paraId="31BF75D5" w14:textId="77777777" w:rsidR="0023462A" w:rsidRDefault="00A550FA">
      <w:pPr>
        <w:pStyle w:val="P68B1DB1-Normal34"/>
        <w:tabs>
          <w:tab w:val="num" w:pos="720"/>
        </w:tabs>
        <w:spacing w:after="120" w:line="240" w:lineRule="auto"/>
        <w:jc w:val="both"/>
        <w:rPr>
          <w:rFonts w:eastAsia="Times New Roman"/>
          <w:noProof/>
        </w:rPr>
      </w:pPr>
      <w:r>
        <w:rPr>
          <w:noProof/>
        </w:rPr>
        <w:t xml:space="preserve">Cette mesure consiste en l’entrée en vigueur d’un ou de plusieurs actes juridiques qui élargissent le champ d’application des utilisateurs tenus d’installer des compteurs intelligents. </w:t>
      </w:r>
    </w:p>
    <w:p w14:paraId="19184805" w14:textId="3713C711" w:rsidR="0023462A" w:rsidRDefault="00A550FA">
      <w:pPr>
        <w:pStyle w:val="P68B1DB1-Heading469"/>
        <w:spacing w:before="0" w:after="120" w:line="240" w:lineRule="auto"/>
        <w:rPr>
          <w:rFonts w:eastAsia="Times New Roman"/>
          <w:b/>
          <w:noProof/>
        </w:rPr>
      </w:pPr>
      <w:r>
        <w:rPr>
          <w:noProof/>
        </w:rPr>
        <w:t>C</w:t>
      </w:r>
      <w:r>
        <w:rPr>
          <w:b/>
          <w:noProof/>
        </w:rPr>
        <w:t xml:space="preserve"> 9.R3 : Renforcement du rôle des agrégateurs</w:t>
      </w:r>
    </w:p>
    <w:p w14:paraId="538FA0E9" w14:textId="77777777" w:rsidR="0023462A" w:rsidRDefault="00A550FA">
      <w:pPr>
        <w:pStyle w:val="P68B1DB1-Normal34"/>
        <w:tabs>
          <w:tab w:val="num" w:pos="720"/>
        </w:tabs>
        <w:spacing w:after="120" w:line="240" w:lineRule="auto"/>
        <w:jc w:val="both"/>
        <w:rPr>
          <w:noProof/>
        </w:rPr>
      </w:pPr>
      <w:r>
        <w:rPr>
          <w:noProof/>
        </w:rPr>
        <w:t xml:space="preserve">L’objectif de cette mesure est de renforcer le rôle des agrégateurs. </w:t>
      </w:r>
    </w:p>
    <w:p w14:paraId="481CF438" w14:textId="7196D91B" w:rsidR="0023462A" w:rsidRDefault="00A550FA">
      <w:pPr>
        <w:pStyle w:val="P68B1DB1-Normal34"/>
        <w:tabs>
          <w:tab w:val="num" w:pos="720"/>
        </w:tabs>
        <w:spacing w:after="120" w:line="240" w:lineRule="auto"/>
        <w:jc w:val="both"/>
        <w:rPr>
          <w:rFonts w:eastAsia="Calibri"/>
          <w:noProof/>
        </w:rPr>
      </w:pPr>
      <w:r>
        <w:rPr>
          <w:noProof/>
        </w:rPr>
        <w:t xml:space="preserve">Cette mesure consiste en l’adoption et la publication au Journal officiel d’un ou de plusieurs actes juridiques qui renforcent le rôle des agrégateurs. </w:t>
      </w:r>
    </w:p>
    <w:p w14:paraId="19D1DF90" w14:textId="09BD3DD2" w:rsidR="0023462A" w:rsidRDefault="00A550FA">
      <w:pPr>
        <w:pStyle w:val="P68B1DB1-Heading469"/>
        <w:spacing w:before="0" w:after="120" w:line="240" w:lineRule="auto"/>
        <w:rPr>
          <w:rFonts w:eastAsia="Times New Roman"/>
          <w:b/>
          <w:noProof/>
        </w:rPr>
      </w:pPr>
      <w:r>
        <w:rPr>
          <w:noProof/>
        </w:rPr>
        <w:t>C</w:t>
      </w:r>
      <w:r>
        <w:rPr>
          <w:b/>
          <w:noProof/>
        </w:rPr>
        <w:t xml:space="preserve"> 9.R4 : Utilisation plus large de la tarification dynamique dans les accords d'achat d'électricité</w:t>
      </w:r>
    </w:p>
    <w:p w14:paraId="237A5B46" w14:textId="77777777" w:rsidR="0023462A" w:rsidRDefault="00A550FA">
      <w:pPr>
        <w:pStyle w:val="P68B1DB1-Normal34"/>
        <w:tabs>
          <w:tab w:val="num" w:pos="720"/>
        </w:tabs>
        <w:spacing w:after="120" w:line="240" w:lineRule="auto"/>
        <w:jc w:val="both"/>
        <w:rPr>
          <w:noProof/>
        </w:rPr>
      </w:pPr>
      <w:r>
        <w:rPr>
          <w:noProof/>
        </w:rPr>
        <w:t>L'objectif de la réforme est d'encourager l'utilisation de contrats de tarification dynamique.</w:t>
      </w:r>
    </w:p>
    <w:p w14:paraId="280C5C9B" w14:textId="621AD8AE" w:rsidR="0023462A" w:rsidRDefault="00A550FA">
      <w:pPr>
        <w:pStyle w:val="P68B1DB1-Normal34"/>
        <w:tabs>
          <w:tab w:val="num" w:pos="720"/>
        </w:tabs>
        <w:spacing w:after="120" w:line="240" w:lineRule="auto"/>
        <w:jc w:val="both"/>
        <w:rPr>
          <w:rFonts w:eastAsia="Times New Roman"/>
          <w:noProof/>
        </w:rPr>
      </w:pPr>
      <w:r>
        <w:rPr>
          <w:noProof/>
        </w:rPr>
        <w:t xml:space="preserve">Cette réforme consiste en l’entrée en vigueur d’un ou de plusieurs actes juridiques qui permettent aux consommateurs résidentiels et aux microentreprises de conclure des contrats d’achat d’électricité volontaires assortis d’une tarification dynamique. </w:t>
      </w:r>
    </w:p>
    <w:p w14:paraId="7D49676B" w14:textId="659207C1" w:rsidR="0023462A" w:rsidRDefault="00A550FA">
      <w:pPr>
        <w:pStyle w:val="P68B1DB1-Heading469"/>
        <w:spacing w:before="0" w:after="120" w:line="240" w:lineRule="auto"/>
        <w:rPr>
          <w:b/>
          <w:noProof/>
        </w:rPr>
      </w:pPr>
      <w:r>
        <w:rPr>
          <w:noProof/>
        </w:rPr>
        <w:t>C</w:t>
      </w:r>
      <w:r>
        <w:rPr>
          <w:b/>
          <w:noProof/>
        </w:rPr>
        <w:t xml:space="preserve"> 9.R5: Ouvrir les marchés des réserves réglementaires pour encourager la concurrence</w:t>
      </w:r>
    </w:p>
    <w:p w14:paraId="04116E28" w14:textId="77777777" w:rsidR="0023462A" w:rsidRDefault="00A550FA">
      <w:pPr>
        <w:pStyle w:val="P68B1DB1-Normal34"/>
        <w:spacing w:after="120" w:line="240" w:lineRule="auto"/>
        <w:jc w:val="both"/>
        <w:rPr>
          <w:noProof/>
        </w:rPr>
      </w:pPr>
      <w:r>
        <w:rPr>
          <w:noProof/>
        </w:rPr>
        <w:t xml:space="preserve">L’objectif de la mesure est d’ouvrir les marchés d’équilibrage à la concurrence. </w:t>
      </w:r>
    </w:p>
    <w:p w14:paraId="2BBBB8CB" w14:textId="77777777" w:rsidR="0023462A" w:rsidRDefault="00A550FA">
      <w:pPr>
        <w:pStyle w:val="P68B1DB1-Normal34"/>
        <w:spacing w:after="120" w:line="240" w:lineRule="auto"/>
        <w:jc w:val="both"/>
        <w:rPr>
          <w:rFonts w:eastAsia="Times New Roman"/>
          <w:strike/>
          <w:noProof/>
        </w:rPr>
      </w:pPr>
      <w:r>
        <w:rPr>
          <w:noProof/>
        </w:rPr>
        <w:t xml:space="preserve">La mesure consiste en l’entrée en vigueur d’un ou de plusieurs actes juridiques qui encouragent la concurrence sur le marché de l’équilibrage. </w:t>
      </w:r>
    </w:p>
    <w:p w14:paraId="5BAD096E" w14:textId="784B45D2" w:rsidR="0023462A" w:rsidRDefault="00A550FA">
      <w:pPr>
        <w:pStyle w:val="P68B1DB1-Heading469"/>
        <w:spacing w:before="0" w:after="120" w:line="240" w:lineRule="auto"/>
        <w:rPr>
          <w:rFonts w:eastAsia="Times New Roman"/>
          <w:b/>
          <w:noProof/>
        </w:rPr>
      </w:pPr>
      <w:r>
        <w:rPr>
          <w:noProof/>
        </w:rPr>
        <w:t>C</w:t>
      </w:r>
      <w:r>
        <w:rPr>
          <w:b/>
          <w:noProof/>
        </w:rPr>
        <w:t xml:space="preserve"> 9.R6: Élargir les communautés énergétiques</w:t>
      </w:r>
    </w:p>
    <w:p w14:paraId="184F97F5" w14:textId="77777777" w:rsidR="0023462A" w:rsidRDefault="00A550FA">
      <w:pPr>
        <w:pStyle w:val="P68B1DB1-Normal34"/>
        <w:spacing w:after="120" w:line="240" w:lineRule="auto"/>
        <w:jc w:val="both"/>
        <w:rPr>
          <w:rFonts w:eastAsia="Times New Roman"/>
          <w:noProof/>
        </w:rPr>
      </w:pPr>
      <w:r>
        <w:rPr>
          <w:noProof/>
        </w:rPr>
        <w:t xml:space="preserve">L’objectif de cette mesure est d’étendre l’établissement de «communautés énergétiques» parmi les ménages et les entreprises. </w:t>
      </w:r>
    </w:p>
    <w:p w14:paraId="4085410F" w14:textId="247F1B4F" w:rsidR="0023462A" w:rsidRDefault="00A550FA">
      <w:pPr>
        <w:pStyle w:val="P68B1DB1-Normal34"/>
        <w:spacing w:after="120" w:line="240" w:lineRule="auto"/>
        <w:rPr>
          <w:rFonts w:eastAsia="Times New Roman"/>
          <w:noProof/>
        </w:rPr>
      </w:pPr>
      <w:r>
        <w:rPr>
          <w:noProof/>
        </w:rPr>
        <w:t>La mesure consiste en l’entrée en vigueur d’un ou de plusieurs actes juridiques sur les communautés énergétiques afin d’étendre leurs activités.</w:t>
      </w:r>
    </w:p>
    <w:p w14:paraId="531DB8FC" w14:textId="14553632" w:rsidR="0023462A" w:rsidRDefault="00A550FA">
      <w:pPr>
        <w:pStyle w:val="P68B1DB1-Heading469"/>
        <w:spacing w:before="0" w:after="120" w:line="240" w:lineRule="auto"/>
        <w:rPr>
          <w:rFonts w:eastAsia="Times New Roman"/>
          <w:b/>
          <w:noProof/>
        </w:rPr>
      </w:pPr>
      <w:r>
        <w:rPr>
          <w:noProof/>
        </w:rPr>
        <w:t>C</w:t>
      </w:r>
      <w:r>
        <w:rPr>
          <w:b/>
          <w:noProof/>
        </w:rPr>
        <w:t xml:space="preserve"> 9.R7: Incitations juridiques à l’adoption du stockage de l’énergie</w:t>
      </w:r>
    </w:p>
    <w:p w14:paraId="364E81E6" w14:textId="77777777" w:rsidR="0023462A" w:rsidRDefault="00A550FA">
      <w:pPr>
        <w:pStyle w:val="P68B1DB1-Normal34"/>
        <w:spacing w:after="120" w:line="240" w:lineRule="auto"/>
        <w:jc w:val="both"/>
        <w:rPr>
          <w:noProof/>
        </w:rPr>
      </w:pPr>
      <w:r>
        <w:rPr>
          <w:noProof/>
        </w:rPr>
        <w:t xml:space="preserve">L’objectif de la mesure est l’adoption d’un cadre réglementaire complet pour le stockage de l’énergie. </w:t>
      </w:r>
    </w:p>
    <w:p w14:paraId="7CDA3309" w14:textId="3D850A61" w:rsidR="0023462A" w:rsidRDefault="00A550FA">
      <w:pPr>
        <w:pStyle w:val="P68B1DB1-Normal34"/>
        <w:spacing w:after="120" w:line="240" w:lineRule="auto"/>
        <w:jc w:val="both"/>
        <w:rPr>
          <w:rFonts w:eastAsia="Times New Roman"/>
          <w:noProof/>
        </w:rPr>
      </w:pPr>
      <w:r>
        <w:rPr>
          <w:noProof/>
        </w:rPr>
        <w:t>La réforme consiste en l’entrée en vigueur d’un ou de plusieurs actes juridiques sur le stockage de l’énergie afin d’encourager leur adoption.</w:t>
      </w:r>
    </w:p>
    <w:p w14:paraId="59E4E258" w14:textId="1BE5487A" w:rsidR="0023462A" w:rsidRDefault="00A550FA">
      <w:pPr>
        <w:pStyle w:val="P68B1DB1-Heading469"/>
        <w:spacing w:before="0" w:after="120" w:line="240" w:lineRule="auto"/>
        <w:rPr>
          <w:rFonts w:eastAsia="Times New Roman"/>
          <w:b/>
          <w:noProof/>
        </w:rPr>
      </w:pPr>
      <w:r>
        <w:rPr>
          <w:noProof/>
        </w:rPr>
        <w:t>C</w:t>
      </w:r>
      <w:r>
        <w:rPr>
          <w:b/>
          <w:noProof/>
        </w:rPr>
        <w:t xml:space="preserve"> 9.R8: Modifications d’actes juridiques sur l’énergie géothermique </w:t>
      </w:r>
    </w:p>
    <w:p w14:paraId="3CCC3065" w14:textId="77777777" w:rsidR="0023462A" w:rsidRDefault="00A550FA">
      <w:pPr>
        <w:pStyle w:val="P68B1DB1-Normal34"/>
        <w:spacing w:after="120" w:line="240" w:lineRule="auto"/>
        <w:jc w:val="both"/>
        <w:rPr>
          <w:noProof/>
        </w:rPr>
      </w:pPr>
      <w:r>
        <w:rPr>
          <w:noProof/>
        </w:rPr>
        <w:t xml:space="preserve">L’objectif de cette mesure est de modifier le cadre réglementaire pour l’exploration et l’utilisation de l’énergie géothermique en supprimant les obstacles juridiques et administratifs aux activités d’exploration et d’exploitation géothermiques. </w:t>
      </w:r>
    </w:p>
    <w:p w14:paraId="00697826" w14:textId="77777777" w:rsidR="0023462A" w:rsidRDefault="00A550FA">
      <w:pPr>
        <w:pStyle w:val="P68B1DB1-Normal34"/>
        <w:spacing w:after="120" w:line="240" w:lineRule="auto"/>
        <w:jc w:val="both"/>
        <w:rPr>
          <w:rFonts w:eastAsia="Times New Roman"/>
          <w:noProof/>
        </w:rPr>
      </w:pPr>
      <w:r>
        <w:rPr>
          <w:noProof/>
        </w:rPr>
        <w:t xml:space="preserve">La mesure consiste en l’entrée en vigueur de modifications d’actes juridiques visant à optimiser l’exploration et l’exploitation de l’énergie géothermique. </w:t>
      </w:r>
    </w:p>
    <w:p w14:paraId="6932FB08" w14:textId="4E879BB5" w:rsidR="0023462A" w:rsidRDefault="00A550FA">
      <w:pPr>
        <w:pStyle w:val="P68B1DB1-Heading469"/>
        <w:spacing w:before="0" w:after="120" w:line="240" w:lineRule="auto"/>
        <w:rPr>
          <w:b/>
          <w:noProof/>
        </w:rPr>
      </w:pPr>
      <w:r>
        <w:rPr>
          <w:noProof/>
        </w:rPr>
        <w:t>C</w:t>
      </w:r>
      <w:r>
        <w:rPr>
          <w:b/>
          <w:noProof/>
        </w:rPr>
        <w:t xml:space="preserve"> 9.I1 : Régime de subventions pour le développement du réseau électrique (mise à l'échelle)</w:t>
      </w:r>
    </w:p>
    <w:p w14:paraId="61C822E6" w14:textId="44D6A9A4" w:rsidR="0023462A" w:rsidRDefault="00A550FA">
      <w:pPr>
        <w:pStyle w:val="P68B1DB1-Normal34"/>
        <w:spacing w:after="120" w:line="240" w:lineRule="auto"/>
        <w:jc w:val="both"/>
        <w:rPr>
          <w:noProof/>
        </w:rPr>
      </w:pPr>
      <w:r>
        <w:rPr>
          <w:noProof/>
        </w:rPr>
        <w:t>Cet investissement augmente l'investissement C6.I6: «Régime de subventions pour le développement du réseau électrique». Il consiste en un virement supplémentaire de 643 243 836,64 EUR à la MFB.</w:t>
      </w:r>
    </w:p>
    <w:p w14:paraId="2F0B3F70" w14:textId="7781CA87" w:rsidR="0023462A" w:rsidRDefault="00A550FA">
      <w:pPr>
        <w:pStyle w:val="P68B1DB1-Normal34"/>
        <w:spacing w:after="120" w:line="240" w:lineRule="auto"/>
        <w:jc w:val="both"/>
        <w:rPr>
          <w:noProof/>
        </w:rPr>
      </w:pPr>
      <w:r>
        <w:rPr>
          <w:noProof/>
        </w:rPr>
        <w:t>Le respect satisfaisant de tous les jalons au titre de la présente mesure est subordonné au respect satisfaisant du jalon 47 du volet 6 («accord de mise en œuvre»).</w:t>
      </w:r>
    </w:p>
    <w:p w14:paraId="790C0C28" w14:textId="057B729C" w:rsidR="0023462A" w:rsidRDefault="00A550FA">
      <w:pPr>
        <w:pStyle w:val="P68B1DB1-Heading469"/>
        <w:spacing w:before="0" w:after="120" w:line="240" w:lineRule="auto"/>
        <w:rPr>
          <w:rFonts w:eastAsia="Calibri"/>
          <w:b/>
          <w:noProof/>
        </w:rPr>
      </w:pPr>
      <w:r>
        <w:rPr>
          <w:noProof/>
        </w:rPr>
        <w:t>C</w:t>
      </w:r>
      <w:r>
        <w:rPr>
          <w:b/>
          <w:noProof/>
        </w:rPr>
        <w:t xml:space="preserve"> 9.I2 : Mise en place d'un instrument financier pour améliorer l'efficacité énergétique des bâtiments résidentiels</w:t>
      </w:r>
    </w:p>
    <w:p w14:paraId="5E3B4993" w14:textId="77777777" w:rsidR="0023462A" w:rsidRDefault="00A550FA">
      <w:pPr>
        <w:pStyle w:val="P68B1DB1-Normal34"/>
        <w:spacing w:after="120" w:line="240" w:lineRule="auto"/>
        <w:jc w:val="both"/>
        <w:rPr>
          <w:rFonts w:eastAsia="Calibri"/>
          <w:noProof/>
        </w:rPr>
      </w:pPr>
      <w:r>
        <w:rPr>
          <w:noProof/>
        </w:rPr>
        <w:t>La mesure consiste en un investissement public dans une facilité, afin d’encourager l’investissement privé et d’améliorer l’accès au financement dans le secteur énergétique hongrois pour les bâtiments résidentiels. La facilité fonctionne en fournissant un soutien combiné sous forme de prêts et de subventions par l’intermédiaire d’intermédiaires au secteur privé, en particulier aux ménages.</w:t>
      </w:r>
    </w:p>
    <w:p w14:paraId="23826DBC" w14:textId="77777777" w:rsidR="0023462A" w:rsidRDefault="00A550FA">
      <w:pPr>
        <w:pStyle w:val="P68B1DB1-Normal34"/>
        <w:spacing w:after="120" w:line="240" w:lineRule="auto"/>
        <w:jc w:val="both"/>
        <w:rPr>
          <w:rFonts w:eastAsia="Calibri"/>
          <w:noProof/>
        </w:rPr>
      </w:pPr>
      <w:r>
        <w:rPr>
          <w:noProof/>
        </w:rPr>
        <w:t>La facilité est gérée par la Banque hongroise de développement (Magyar</w:t>
      </w:r>
      <w:r>
        <w:rPr>
          <w:i/>
          <w:noProof/>
        </w:rPr>
        <w:t xml:space="preserve"> Fejlesztési Bank Zrt.</w:t>
      </w:r>
      <w:r>
        <w:rPr>
          <w:noProof/>
        </w:rPr>
        <w:t xml:space="preserve"> – MFB) en tant que partenaire chargé de la mise en œuvre. La facilité comprend les lignes de produits suivantes:</w:t>
      </w:r>
    </w:p>
    <w:p w14:paraId="5DB89D43" w14:textId="16BB47C0" w:rsidR="0023462A" w:rsidRDefault="00A550FA">
      <w:pPr>
        <w:pStyle w:val="P68B1DB1-Normal34"/>
        <w:keepNext/>
        <w:numPr>
          <w:ilvl w:val="0"/>
          <w:numId w:val="52"/>
        </w:numPr>
        <w:spacing w:after="120" w:line="240" w:lineRule="auto"/>
        <w:jc w:val="both"/>
        <w:rPr>
          <w:rFonts w:eastAsia="Calibri"/>
          <w:noProof/>
        </w:rPr>
      </w:pPr>
      <w:r>
        <w:rPr>
          <w:noProof/>
        </w:rPr>
        <w:t>Soutien combiné sous forme de prêts et de subventions pour améliorer l’efficacité énergétique des bâtiments résidentiels.</w:t>
      </w:r>
    </w:p>
    <w:p w14:paraId="0E75F6A0" w14:textId="77777777" w:rsidR="0023462A" w:rsidRDefault="00A550FA">
      <w:pPr>
        <w:pStyle w:val="P68B1DB1-Normal34"/>
        <w:spacing w:after="120" w:line="240" w:lineRule="auto"/>
        <w:jc w:val="both"/>
        <w:rPr>
          <w:rFonts w:eastAsia="Calibri"/>
          <w:noProof/>
        </w:rPr>
      </w:pPr>
      <w:r>
        <w:rPr>
          <w:noProof/>
        </w:rPr>
        <w:t>Afin de mettre en œuvre l’investissement dans la facilité, la Hongrie et la MFB signent un accord de mise en œuvre qui comprend les éléments suivants:</w:t>
      </w:r>
    </w:p>
    <w:p w14:paraId="5E82FF16" w14:textId="77777777" w:rsidR="0023462A" w:rsidRDefault="00A550FA">
      <w:pPr>
        <w:pStyle w:val="P68B1DB1-Normal34"/>
        <w:numPr>
          <w:ilvl w:val="0"/>
          <w:numId w:val="72"/>
        </w:numPr>
        <w:spacing w:after="120" w:line="240" w:lineRule="auto"/>
        <w:jc w:val="both"/>
        <w:rPr>
          <w:rFonts w:eastAsia="Times New Roman"/>
          <w:noProof/>
        </w:rPr>
      </w:pPr>
      <w:r>
        <w:rPr>
          <w:noProof/>
        </w:rPr>
        <w:t>Description du processus décisionnel de la facilité: La décision finale d’attribution de la facilité est prise par un comité d’investissement ou un autre organe directeur équivalent compétent et approuvée à la majorité des voix des membres indépendants du gouvernement.</w:t>
      </w:r>
    </w:p>
    <w:p w14:paraId="6280DA36" w14:textId="77777777" w:rsidR="0023462A" w:rsidRDefault="00A550FA">
      <w:pPr>
        <w:pStyle w:val="P68B1DB1-ListParagraph35"/>
        <w:numPr>
          <w:ilvl w:val="0"/>
          <w:numId w:val="72"/>
        </w:numPr>
        <w:spacing w:after="120" w:line="240" w:lineRule="auto"/>
        <w:contextualSpacing w:val="0"/>
        <w:jc w:val="both"/>
        <w:rPr>
          <w:rFonts w:eastAsia="Calibri"/>
          <w:noProof/>
        </w:rPr>
      </w:pPr>
      <w:r>
        <w:rPr>
          <w:noProof/>
        </w:rPr>
        <w:t>Les principales exigences de la politique d'investissement associée,</w:t>
      </w:r>
      <w:r>
        <w:rPr>
          <w:b/>
          <w:noProof/>
        </w:rPr>
        <w:t xml:space="preserve"> </w:t>
      </w:r>
      <w:r>
        <w:rPr>
          <w:noProof/>
        </w:rPr>
        <w:t>qui comprennent:</w:t>
      </w:r>
    </w:p>
    <w:p w14:paraId="0440470D" w14:textId="77777777" w:rsidR="0023462A" w:rsidRDefault="00A550FA">
      <w:pPr>
        <w:pStyle w:val="P68B1DB1-ListParagraph35"/>
        <w:numPr>
          <w:ilvl w:val="1"/>
          <w:numId w:val="72"/>
        </w:numPr>
        <w:spacing w:after="120" w:line="240" w:lineRule="auto"/>
        <w:contextualSpacing w:val="0"/>
        <w:jc w:val="both"/>
        <w:rPr>
          <w:rFonts w:eastAsia="Calibri"/>
          <w:noProof/>
        </w:rPr>
      </w:pPr>
      <w:r>
        <w:rPr>
          <w:noProof/>
        </w:rPr>
        <w:t>Description du produit financier et des bénéficiaires finaux éligibles.</w:t>
      </w:r>
    </w:p>
    <w:p w14:paraId="30F273BF" w14:textId="77777777" w:rsidR="0023462A" w:rsidRDefault="00A550FA">
      <w:pPr>
        <w:pStyle w:val="P68B1DB1-ListParagraph35"/>
        <w:numPr>
          <w:ilvl w:val="1"/>
          <w:numId w:val="72"/>
        </w:numPr>
        <w:spacing w:after="120" w:line="240" w:lineRule="auto"/>
        <w:contextualSpacing w:val="0"/>
        <w:jc w:val="both"/>
        <w:rPr>
          <w:rFonts w:eastAsia="Calibri"/>
          <w:noProof/>
        </w:rPr>
      </w:pPr>
      <w:r>
        <w:rPr>
          <w:noProof/>
        </w:rPr>
        <w:t>L'exigence que tous les investissements soutenus soient économiquement viables.</w:t>
      </w:r>
    </w:p>
    <w:p w14:paraId="604F3ECD" w14:textId="77777777" w:rsidR="0023462A" w:rsidRDefault="00A550FA">
      <w:pPr>
        <w:pStyle w:val="P68B1DB1-ListParagraph35"/>
        <w:numPr>
          <w:ilvl w:val="1"/>
          <w:numId w:val="72"/>
        </w:numPr>
        <w:spacing w:after="120" w:line="240" w:lineRule="auto"/>
        <w:contextualSpacing w:val="0"/>
        <w:jc w:val="both"/>
        <w:rPr>
          <w:rFonts w:eastAsia="Calibri"/>
          <w:noProof/>
        </w:rPr>
      </w:pPr>
      <w:r>
        <w:rPr>
          <w:noProof/>
        </w:rPr>
        <w:t>L’obligation de respecter le principe consistant à «ne pas causer de préjudice important» (DNSH) énoncé dans les orientations techniques DNSH (2021/C58/01). En particulier, la politique d'investissement exclut de l'éligibilité la liste suivante d'activités et d'actifs: (i) les activités et les actifs liés aux combustibles fossiles, y compris l’utilisation en aval,</w:t>
      </w:r>
      <w:r w:rsidRPr="008B7BE6">
        <w:rPr>
          <w:noProof/>
          <w:vertAlign w:val="superscript"/>
        </w:rPr>
        <w:footnoteReference w:id="13"/>
      </w:r>
      <w:r>
        <w:rPr>
          <w:noProof/>
        </w:rPr>
        <w:t>(ii) les activités et les actifs relevant du système d’échange de quotas d’émission de l’UE (SEQE) permettant d’atteindre des émissions de gaz à effet de serre prévues qui ne sont pas inférieures aux référentiels applicables,</w:t>
      </w:r>
      <w:r w:rsidRPr="008B7BE6">
        <w:rPr>
          <w:noProof/>
          <w:vertAlign w:val="superscript"/>
        </w:rPr>
        <w:footnoteReference w:id="14"/>
      </w:r>
      <w:r>
        <w:rPr>
          <w:noProof/>
        </w:rPr>
        <w:t>(iii) les activités et les actifs liés aux décharges de déchets, aux incinérateurs</w:t>
      </w:r>
      <w:r w:rsidRPr="008B7BE6">
        <w:rPr>
          <w:noProof/>
          <w:vertAlign w:val="superscript"/>
        </w:rPr>
        <w:footnoteReference w:id="15"/>
      </w:r>
      <w:r w:rsidRPr="008B7BE6">
        <w:rPr>
          <w:noProof/>
          <w:vertAlign w:val="superscript"/>
        </w:rPr>
        <w:t xml:space="preserve"> </w:t>
      </w:r>
      <w:r>
        <w:rPr>
          <w:noProof/>
        </w:rPr>
        <w:t>et aux usines de traitement biologique mécanique.</w:t>
      </w:r>
      <w:r w:rsidRPr="008B7BE6">
        <w:rPr>
          <w:noProof/>
          <w:vertAlign w:val="superscript"/>
        </w:rPr>
        <w:footnoteReference w:id="16"/>
      </w:r>
      <w:r w:rsidRPr="008B7BE6">
        <w:rPr>
          <w:noProof/>
          <w:vertAlign w:val="superscript"/>
        </w:rPr>
        <w:t xml:space="preserve"> </w:t>
      </w:r>
      <w:r>
        <w:rPr>
          <w:noProof/>
        </w:rPr>
        <w:t>En outre, le soutien aux systèmes de chauffage au gaz ne doit pas dépasser le maximum de 20 % de l’enveloppe globale allouée à cette mesure.</w:t>
      </w:r>
    </w:p>
    <w:p w14:paraId="5B292533" w14:textId="77777777" w:rsidR="0023462A" w:rsidRDefault="00A550FA">
      <w:pPr>
        <w:pStyle w:val="P68B1DB1-ListParagraph35"/>
        <w:numPr>
          <w:ilvl w:val="1"/>
          <w:numId w:val="72"/>
        </w:numPr>
        <w:spacing w:after="120" w:line="240" w:lineRule="auto"/>
        <w:contextualSpacing w:val="0"/>
        <w:jc w:val="both"/>
        <w:rPr>
          <w:rFonts w:eastAsia="Calibri"/>
          <w:noProof/>
        </w:rPr>
      </w:pPr>
      <w:r>
        <w:rPr>
          <w:noProof/>
        </w:rPr>
        <w:t>L’exigence selon laquelle les bénéficiaires finaux de la facilité ne reçoivent pas de soutien d’autres instruments de l’Union pour couvrir le même coût.</w:t>
      </w:r>
    </w:p>
    <w:p w14:paraId="5484F07D" w14:textId="29BC5B9B" w:rsidR="0023462A" w:rsidRDefault="00A550FA">
      <w:pPr>
        <w:pStyle w:val="P68B1DB1-ListParagraph35"/>
        <w:numPr>
          <w:ilvl w:val="0"/>
          <w:numId w:val="72"/>
        </w:numPr>
        <w:spacing w:after="120" w:line="240" w:lineRule="auto"/>
        <w:contextualSpacing w:val="0"/>
        <w:jc w:val="both"/>
        <w:rPr>
          <w:rFonts w:eastAsia="Calibri"/>
          <w:noProof/>
        </w:rPr>
      </w:pPr>
      <w:r>
        <w:rPr>
          <w:noProof/>
        </w:rPr>
        <w:t>Le montant couvert par l’accord de mise en œuvre, la structure des frais pour le partenaire chargé de la mise en œuvre et les intermédiaires financiers, et l’obligation de réinvestir tout remboursement conformément à la politique d’investissement de la facilité.</w:t>
      </w:r>
    </w:p>
    <w:p w14:paraId="0B0AD8E2" w14:textId="77777777" w:rsidR="0023462A" w:rsidRDefault="00A550FA">
      <w:pPr>
        <w:pStyle w:val="P68B1DB1-ListParagraph35"/>
        <w:numPr>
          <w:ilvl w:val="0"/>
          <w:numId w:val="72"/>
        </w:numPr>
        <w:spacing w:after="120" w:line="240" w:lineRule="auto"/>
        <w:contextualSpacing w:val="0"/>
        <w:jc w:val="both"/>
        <w:rPr>
          <w:rFonts w:eastAsia="Calibri"/>
          <w:noProof/>
        </w:rPr>
      </w:pPr>
      <w:r>
        <w:rPr>
          <w:noProof/>
        </w:rPr>
        <w:t>Exigences en matière de surveillance, d'audit et de contrôle, y compris:</w:t>
      </w:r>
    </w:p>
    <w:p w14:paraId="3A2F180A" w14:textId="77777777" w:rsidR="0023462A" w:rsidRDefault="00A550FA">
      <w:pPr>
        <w:pStyle w:val="P68B1DB1-Normal34"/>
        <w:numPr>
          <w:ilvl w:val="0"/>
          <w:numId w:val="53"/>
        </w:numPr>
        <w:spacing w:after="120" w:line="240" w:lineRule="auto"/>
        <w:jc w:val="both"/>
        <w:rPr>
          <w:rFonts w:eastAsia="Calibri"/>
          <w:noProof/>
        </w:rPr>
      </w:pPr>
      <w:r>
        <w:rPr>
          <w:noProof/>
        </w:rPr>
        <w:t>Description du système de suivi du partenaire chargé de la mise en œuvre pour rendre compte de l’investissement mobilisé.</w:t>
      </w:r>
    </w:p>
    <w:p w14:paraId="3BBA0B7A" w14:textId="77777777" w:rsidR="0023462A" w:rsidRDefault="00A550FA">
      <w:pPr>
        <w:pStyle w:val="P68B1DB1-Normal34"/>
        <w:numPr>
          <w:ilvl w:val="0"/>
          <w:numId w:val="53"/>
        </w:numPr>
        <w:spacing w:after="120" w:line="240" w:lineRule="auto"/>
        <w:jc w:val="both"/>
        <w:rPr>
          <w:rFonts w:eastAsia="Calibri"/>
          <w:noProof/>
        </w:rPr>
      </w:pPr>
      <w:r>
        <w:rPr>
          <w:noProof/>
        </w:rPr>
        <w:t xml:space="preserve">Description des procédures du partenaire chargé de la mise en œuvre qui garantissent la prévention, la détection et la correction de la fraude, de la corruption et des conflits d’intérêts. </w:t>
      </w:r>
    </w:p>
    <w:p w14:paraId="6B572AF9" w14:textId="77777777" w:rsidR="0023462A" w:rsidRDefault="00A550FA">
      <w:pPr>
        <w:pStyle w:val="P68B1DB1-Normal34"/>
        <w:numPr>
          <w:ilvl w:val="0"/>
          <w:numId w:val="53"/>
        </w:numPr>
        <w:spacing w:after="120" w:line="240" w:lineRule="auto"/>
        <w:jc w:val="both"/>
        <w:rPr>
          <w:rFonts w:eastAsia="Calibri"/>
          <w:noProof/>
        </w:rPr>
      </w:pPr>
      <w:r>
        <w:rPr>
          <w:noProof/>
        </w:rPr>
        <w:t>L’obligation de vérifier l’éligibilité de chaque opération conformément aux exigences énoncées dans l’accord de mise en œuvre avant de s’engager à financer une opération.</w:t>
      </w:r>
    </w:p>
    <w:p w14:paraId="0A1882A1" w14:textId="77777777" w:rsidR="0023462A" w:rsidRDefault="00A550FA">
      <w:pPr>
        <w:pStyle w:val="P68B1DB1-Normal34"/>
        <w:numPr>
          <w:ilvl w:val="0"/>
          <w:numId w:val="53"/>
        </w:numPr>
        <w:spacing w:after="120" w:line="240" w:lineRule="auto"/>
        <w:jc w:val="both"/>
        <w:rPr>
          <w:rFonts w:eastAsia="Calibri"/>
          <w:noProof/>
        </w:rPr>
      </w:pPr>
      <w:r>
        <w:rPr>
          <w:noProof/>
        </w:rPr>
        <w:t xml:space="preserve">L’obligation de réaliser des audits ex post fondés sur les risques conformément à un plan d’audit de l’OFM. Ces audits vérifient i) l’efficacité des systèmes de contrôle, y compris la détection de la fraude, de la corruption et des conflits d’intérêts; ii) le respect du principe consistant à «ne pas causer de préjudice important», des règles en matière d’aides d’État et des exigences relatives aux objectifs climatiques; et iii) que l’exigence selon laquelle les bénéficiaires finaux de la facilité n’ont pas reçu d’aide d’autres instruments de l’Union pour couvrir le même coût soit respectée. Les audits vérifient également la légalité des opérations et le respect des conditions de l’accord de mise en œuvre et des accords de financement applicables. </w:t>
      </w:r>
    </w:p>
    <w:p w14:paraId="69580AD1" w14:textId="54A55F2C" w:rsidR="0023462A" w:rsidRDefault="00A550FA">
      <w:pPr>
        <w:pStyle w:val="ListParagraph"/>
        <w:numPr>
          <w:ilvl w:val="0"/>
          <w:numId w:val="53"/>
        </w:numPr>
        <w:spacing w:after="120" w:line="240" w:lineRule="auto"/>
        <w:ind w:left="426" w:hanging="426"/>
        <w:contextualSpacing w:val="0"/>
        <w:jc w:val="both"/>
        <w:rPr>
          <w:rFonts w:ascii="Times New Roman" w:hAnsi="Times New Roman" w:cs="Times New Roman"/>
          <w:noProof/>
          <w:sz w:val="24"/>
          <w:szCs w:val="24"/>
        </w:rPr>
      </w:pPr>
      <w:r>
        <w:rPr>
          <w:rFonts w:ascii="Times New Roman" w:hAnsi="Times New Roman" w:cs="Times New Roman"/>
          <w:noProof/>
          <w:sz w:val="24"/>
          <w:szCs w:val="24"/>
        </w:rPr>
        <w:t>Exigences applicables aux investissements climatiques réalisés par le partenaire chargé de la mise en œuvre: Au moins 61 266 991 EUR de l’investissement de la FRR dans la facilité contribuent à la réalisation des objectifs en matière de changement climatique conformément à l’annexe VI du règlement FRR.</w:t>
      </w:r>
      <w:r>
        <w:rPr>
          <w:rStyle w:val="FootnoteReference"/>
          <w:rFonts w:ascii="Times New Roman" w:hAnsi="Times New Roman" w:cs="Times New Roman"/>
          <w:b w:val="0"/>
          <w:noProof/>
          <w:sz w:val="24"/>
          <w:szCs w:val="24"/>
        </w:rPr>
        <w:footnoteReference w:id="17"/>
      </w:r>
      <w:r>
        <w:rPr>
          <w:rFonts w:ascii="Times New Roman" w:hAnsi="Times New Roman" w:cs="Times New Roman"/>
          <w:noProof/>
          <w:sz w:val="24"/>
          <w:szCs w:val="24"/>
        </w:rPr>
        <w:t xml:space="preserve"> </w:t>
      </w:r>
    </w:p>
    <w:p w14:paraId="510C83CC" w14:textId="77777777" w:rsidR="0023462A" w:rsidRDefault="00A550FA">
      <w:pPr>
        <w:pStyle w:val="P68B1DB1-Normal34"/>
        <w:rPr>
          <w:noProof/>
        </w:rPr>
      </w:pPr>
      <w:r>
        <w:rPr>
          <w:noProof/>
        </w:rPr>
        <w:br w:type="page"/>
      </w:r>
    </w:p>
    <w:p w14:paraId="71A3D3D5" w14:textId="77777777" w:rsidR="0023462A" w:rsidRDefault="00A550FA">
      <w:pPr>
        <w:pStyle w:val="P68B1DB1-ListParagraph35"/>
        <w:numPr>
          <w:ilvl w:val="0"/>
          <w:numId w:val="53"/>
        </w:numPr>
        <w:spacing w:after="120" w:line="240" w:lineRule="auto"/>
        <w:ind w:left="426" w:hanging="426"/>
        <w:contextualSpacing w:val="0"/>
        <w:jc w:val="both"/>
        <w:rPr>
          <w:rFonts w:eastAsia="Calibri"/>
          <w:noProof/>
        </w:rPr>
      </w:pPr>
      <w:r>
        <w:rPr>
          <w:noProof/>
        </w:rPr>
        <w:t xml:space="preserve">Exigences relatives à la sélection des intermédiaires financiers: La MFB sélectionne les intermédiaires financiers de manière ouverte, transparente et non discriminatoire. Les contrôles de l’absence de conflit d’intérêts sur les intermédiaires financiers ont lieu et sont effectués ex ante pour tous les acteurs financiers concernés. </w:t>
      </w:r>
    </w:p>
    <w:p w14:paraId="35027F67" w14:textId="77777777" w:rsidR="0023462A" w:rsidRDefault="00A550FA">
      <w:pPr>
        <w:pStyle w:val="P68B1DB1-ListParagraph35"/>
        <w:numPr>
          <w:ilvl w:val="0"/>
          <w:numId w:val="53"/>
        </w:numPr>
        <w:spacing w:after="120" w:line="240" w:lineRule="auto"/>
        <w:ind w:left="426" w:hanging="426"/>
        <w:contextualSpacing w:val="0"/>
        <w:jc w:val="both"/>
        <w:rPr>
          <w:rFonts w:eastAsia="Calibri"/>
          <w:noProof/>
        </w:rPr>
      </w:pPr>
      <w:r>
        <w:rPr>
          <w:noProof/>
        </w:rPr>
        <w:t xml:space="preserve">Obligation de signer des ententes de financement: La MFB signe des accords de financement avec les intermédiaires financiers conformément aux exigences clés qui doivent être fournies en annexe de l’accord de mise en œuvre. Les principales exigences de l’accord de financement comprennent toutes les exigences en vertu desquelles la facilité fonctionne, y compris: </w:t>
      </w:r>
    </w:p>
    <w:p w14:paraId="3BDE50FC" w14:textId="77777777" w:rsidR="0023462A" w:rsidRDefault="00A550FA">
      <w:pPr>
        <w:pStyle w:val="P68B1DB1-Normal34"/>
        <w:numPr>
          <w:ilvl w:val="0"/>
          <w:numId w:val="73"/>
        </w:numPr>
        <w:spacing w:after="120" w:line="240" w:lineRule="auto"/>
        <w:jc w:val="both"/>
        <w:rPr>
          <w:rFonts w:eastAsia="Calibri"/>
          <w:noProof/>
        </w:rPr>
      </w:pPr>
      <w:r>
        <w:rPr>
          <w:noProof/>
        </w:rPr>
        <w:t xml:space="preserve">L’obligation pour l’intermédiaire financier de prendre ses décisions conformément </w:t>
      </w:r>
      <w:r>
        <w:rPr>
          <w:i/>
          <w:noProof/>
        </w:rPr>
        <w:t>mutatis mutandis aux</w:t>
      </w:r>
      <w:r>
        <w:rPr>
          <w:noProof/>
        </w:rPr>
        <w:t xml:space="preserve"> exigences en matière de prise de décision et de politique d’investissement spécifiées ci-dessus, y compris en ce qui concerne le respect du principe consistant à «ne pas causer de préjudice important».</w:t>
      </w:r>
    </w:p>
    <w:p w14:paraId="5AD5A0B9" w14:textId="77777777" w:rsidR="0023462A" w:rsidRDefault="00A550FA">
      <w:pPr>
        <w:pStyle w:val="P68B1DB1-Normal34"/>
        <w:numPr>
          <w:ilvl w:val="0"/>
          <w:numId w:val="73"/>
        </w:numPr>
        <w:spacing w:after="120" w:line="240" w:lineRule="auto"/>
        <w:jc w:val="both"/>
        <w:rPr>
          <w:rFonts w:eastAsia="Calibri"/>
          <w:noProof/>
        </w:rPr>
      </w:pPr>
      <w:r>
        <w:rPr>
          <w:noProof/>
        </w:rPr>
        <w:t xml:space="preserve">La description du cadre de suivi, d’audit et de contrôle que l’intermédiaire financier met en place, qui est soumis </w:t>
      </w:r>
      <w:r>
        <w:rPr>
          <w:i/>
          <w:noProof/>
        </w:rPr>
        <w:t>mutatis mutandis</w:t>
      </w:r>
      <w:r>
        <w:rPr>
          <w:noProof/>
        </w:rPr>
        <w:t xml:space="preserve"> à toutes les exigences de suivi, d’audit et de contrôle spécifiées ci-dessus. </w:t>
      </w:r>
    </w:p>
    <w:p w14:paraId="4F517C9A" w14:textId="77777777" w:rsidR="0023462A" w:rsidRDefault="0023462A">
      <w:pPr>
        <w:keepNext/>
        <w:spacing w:after="120" w:line="240" w:lineRule="auto"/>
        <w:jc w:val="both"/>
        <w:rPr>
          <w:rFonts w:ascii="Times New Roman" w:eastAsia="Times New Roman" w:hAnsi="Times New Roman" w:cs="Times New Roman"/>
          <w:noProof/>
          <w:sz w:val="24"/>
          <w:szCs w:val="24"/>
        </w:rPr>
        <w:sectPr w:rsidR="0023462A" w:rsidSect="001A6BAF">
          <w:headerReference w:type="default" r:id="rId106"/>
          <w:footerReference w:type="default" r:id="rId107"/>
          <w:pgSz w:w="11907" w:h="16839"/>
          <w:pgMar w:top="1134" w:right="1134" w:bottom="1134" w:left="1134" w:header="567" w:footer="567" w:gutter="0"/>
          <w:cols w:space="708"/>
          <w:docGrid w:linePitch="326"/>
        </w:sectPr>
      </w:pPr>
    </w:p>
    <w:p w14:paraId="35EA9020" w14:textId="72BA05A0" w:rsidR="0023462A" w:rsidRDefault="00A550FA">
      <w:pPr>
        <w:pStyle w:val="P68B1DB1-Heading310"/>
        <w:spacing w:before="0" w:after="120"/>
        <w:rPr>
          <w:noProof/>
        </w:rPr>
      </w:pPr>
      <w:r>
        <w:rPr>
          <w:noProof/>
        </w:rPr>
        <w:t xml:space="preserve">I.2. </w:t>
      </w:r>
      <w:r>
        <w:rPr>
          <w:noProof/>
        </w:rPr>
        <w:tab/>
        <w:t>Étapes, cibles, indicateurs et calendrier pour le suivi et la mise en œuvre du soutien financier non remboursable</w:t>
      </w:r>
    </w:p>
    <w:tbl>
      <w:tblPr>
        <w:tblW w:w="15730" w:type="dxa"/>
        <w:jc w:val="center"/>
        <w:tblLayout w:type="fixed"/>
        <w:tblLook w:val="04A0" w:firstRow="1" w:lastRow="0" w:firstColumn="1" w:lastColumn="0" w:noHBand="0" w:noVBand="1"/>
      </w:tblPr>
      <w:tblGrid>
        <w:gridCol w:w="948"/>
        <w:gridCol w:w="1457"/>
        <w:gridCol w:w="1418"/>
        <w:gridCol w:w="850"/>
        <w:gridCol w:w="1559"/>
        <w:gridCol w:w="1843"/>
        <w:gridCol w:w="1276"/>
        <w:gridCol w:w="850"/>
        <w:gridCol w:w="851"/>
        <w:gridCol w:w="1134"/>
        <w:gridCol w:w="3544"/>
      </w:tblGrid>
      <w:tr w:rsidR="0023462A" w14:paraId="1A8ABB1C" w14:textId="77777777" w:rsidTr="00E672FD">
        <w:trPr>
          <w:trHeight w:val="587"/>
          <w:tblHeader/>
          <w:jc w:val="center"/>
        </w:trPr>
        <w:tc>
          <w:tcPr>
            <w:tcW w:w="94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D567F45" w14:textId="77777777" w:rsidR="0023462A" w:rsidRDefault="00A550FA">
            <w:pPr>
              <w:pStyle w:val="P68B1DB1-Normal37"/>
              <w:spacing w:after="120" w:line="240" w:lineRule="auto"/>
              <w:jc w:val="both"/>
              <w:rPr>
                <w:rFonts w:eastAsia="MS Mincho"/>
                <w:bCs/>
                <w:noProof/>
              </w:rPr>
            </w:pPr>
            <w:r>
              <w:rPr>
                <w:noProof/>
              </w:rPr>
              <w:t>Seq. Numéro</w:t>
            </w:r>
          </w:p>
        </w:tc>
        <w:tc>
          <w:tcPr>
            <w:tcW w:w="145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A5D4212" w14:textId="77777777" w:rsidR="0023462A" w:rsidRDefault="00A550FA">
            <w:pPr>
              <w:pStyle w:val="P68B1DB1-Normal37"/>
              <w:spacing w:after="120" w:line="240" w:lineRule="auto"/>
              <w:jc w:val="center"/>
              <w:rPr>
                <w:rFonts w:eastAsia="Calibri"/>
                <w:noProof/>
              </w:rPr>
            </w:pPr>
            <w:r>
              <w:rPr>
                <w:noProof/>
              </w:rPr>
              <w:t>Mesure connexe (réforme ou investissement)</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6BC9BBB" w14:textId="0A2CAD46" w:rsidR="0023462A" w:rsidRDefault="00A550FA">
            <w:pPr>
              <w:pStyle w:val="P68B1DB1-Normal37"/>
              <w:spacing w:after="120" w:line="240" w:lineRule="auto"/>
              <w:rPr>
                <w:rFonts w:eastAsia="Calibri"/>
                <w:bCs/>
                <w:noProof/>
              </w:rPr>
            </w:pPr>
            <w:r>
              <w:rPr>
                <w:noProof/>
              </w:rPr>
              <w:t>Étape/objectif</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CAF440E" w14:textId="77777777" w:rsidR="0023462A" w:rsidRDefault="00A550FA">
            <w:pPr>
              <w:pStyle w:val="P68B1DB1-Normal37"/>
              <w:spacing w:after="120" w:line="240" w:lineRule="auto"/>
              <w:jc w:val="center"/>
              <w:rPr>
                <w:rFonts w:eastAsia="Calibri"/>
                <w:bCs/>
                <w:noProof/>
              </w:rPr>
            </w:pPr>
            <w:r>
              <w:rPr>
                <w:noProof/>
              </w:rPr>
              <w:t>Nom</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AD28EF3" w14:textId="10524007" w:rsidR="0023462A" w:rsidRDefault="00A550FA">
            <w:pPr>
              <w:pStyle w:val="P68B1DB1-Normal37"/>
              <w:spacing w:after="120" w:line="240" w:lineRule="auto"/>
              <w:jc w:val="center"/>
              <w:rPr>
                <w:rFonts w:eastAsia="Calibri"/>
                <w:bCs/>
                <w:noProof/>
              </w:rPr>
            </w:pPr>
            <w:r>
              <w:rPr>
                <w:noProof/>
              </w:rPr>
              <w:t xml:space="preserve">Indicateurs qualitatifs </w:t>
            </w:r>
            <w:r>
              <w:rPr>
                <w:noProof/>
              </w:rPr>
              <w:br/>
              <w:t>(pour les jalons)</w:t>
            </w:r>
          </w:p>
        </w:tc>
        <w:tc>
          <w:tcPr>
            <w:tcW w:w="3969"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6AC2CD27" w14:textId="45C1F612" w:rsidR="0023462A" w:rsidRDefault="00A550FA">
            <w:pPr>
              <w:pStyle w:val="P68B1DB1-Normal37"/>
              <w:spacing w:after="120" w:line="240" w:lineRule="auto"/>
              <w:jc w:val="center"/>
              <w:rPr>
                <w:rFonts w:eastAsia="Calibri"/>
                <w:bCs/>
                <w:noProof/>
              </w:rPr>
            </w:pPr>
            <w:r>
              <w:rPr>
                <w:noProof/>
              </w:rPr>
              <w:t xml:space="preserve">Indicateurs quantitatifs </w:t>
            </w:r>
            <w:r>
              <w:rPr>
                <w:noProof/>
              </w:rPr>
              <w:br/>
              <w:t>(pour les objectifs)</w:t>
            </w:r>
          </w:p>
        </w:tc>
        <w:tc>
          <w:tcPr>
            <w:tcW w:w="1985" w:type="dxa"/>
            <w:gridSpan w:val="2"/>
            <w:tcBorders>
              <w:top w:val="single" w:sz="4" w:space="0" w:color="auto"/>
              <w:left w:val="nil"/>
              <w:bottom w:val="single" w:sz="4" w:space="0" w:color="auto"/>
              <w:right w:val="single" w:sz="4" w:space="0" w:color="auto"/>
            </w:tcBorders>
            <w:shd w:val="clear" w:color="auto" w:fill="BDD7EE"/>
            <w:vAlign w:val="center"/>
            <w:hideMark/>
          </w:tcPr>
          <w:p w14:paraId="4E4538F1" w14:textId="77777777" w:rsidR="0023462A" w:rsidRDefault="00A550FA">
            <w:pPr>
              <w:pStyle w:val="P68B1DB1-Normal37"/>
              <w:spacing w:after="120" w:line="240" w:lineRule="auto"/>
              <w:jc w:val="center"/>
              <w:rPr>
                <w:rFonts w:eastAsia="Calibri"/>
                <w:bCs/>
                <w:noProof/>
              </w:rPr>
            </w:pPr>
            <w:r>
              <w:rPr>
                <w:noProof/>
              </w:rPr>
              <w:t xml:space="preserve">Calendrier indicatif d'achèvement </w:t>
            </w:r>
          </w:p>
        </w:tc>
        <w:tc>
          <w:tcPr>
            <w:tcW w:w="354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0A66558" w14:textId="77777777" w:rsidR="0023462A" w:rsidRDefault="00A550FA">
            <w:pPr>
              <w:pStyle w:val="P68B1DB1-Normal37"/>
              <w:spacing w:after="120" w:line="240" w:lineRule="auto"/>
              <w:jc w:val="center"/>
              <w:rPr>
                <w:rFonts w:eastAsia="Calibri"/>
                <w:noProof/>
              </w:rPr>
            </w:pPr>
            <w:r>
              <w:rPr>
                <w:noProof/>
              </w:rPr>
              <w:t>Description de chaque jalon et cible</w:t>
            </w:r>
          </w:p>
        </w:tc>
      </w:tr>
      <w:tr w:rsidR="0023462A" w14:paraId="0EB09EEE" w14:textId="77777777" w:rsidTr="00E672FD">
        <w:trPr>
          <w:trHeight w:val="516"/>
          <w:tblHeader/>
          <w:jc w:val="center"/>
        </w:trPr>
        <w:tc>
          <w:tcPr>
            <w:tcW w:w="948" w:type="dxa"/>
            <w:vMerge/>
            <w:tcBorders>
              <w:top w:val="single" w:sz="4" w:space="0" w:color="auto"/>
              <w:left w:val="single" w:sz="4" w:space="0" w:color="auto"/>
              <w:bottom w:val="single" w:sz="4" w:space="0" w:color="auto"/>
              <w:right w:val="single" w:sz="4" w:space="0" w:color="auto"/>
            </w:tcBorders>
            <w:vAlign w:val="center"/>
            <w:hideMark/>
          </w:tcPr>
          <w:p w14:paraId="5738E85A" w14:textId="77777777" w:rsidR="0023462A" w:rsidRDefault="0023462A">
            <w:pPr>
              <w:spacing w:after="120" w:line="240" w:lineRule="auto"/>
              <w:jc w:val="both"/>
              <w:rPr>
                <w:rFonts w:ascii="Times New Roman" w:eastAsia="Times New Roman" w:hAnsi="Times New Roman" w:cs="Times New Roman"/>
                <w:b/>
                <w:noProof/>
                <w:sz w:val="18"/>
                <w:szCs w:val="18"/>
              </w:rPr>
            </w:pPr>
          </w:p>
        </w:tc>
        <w:tc>
          <w:tcPr>
            <w:tcW w:w="1457" w:type="dxa"/>
            <w:vMerge/>
            <w:tcBorders>
              <w:top w:val="single" w:sz="4" w:space="0" w:color="auto"/>
              <w:left w:val="single" w:sz="4" w:space="0" w:color="auto"/>
              <w:bottom w:val="single" w:sz="4" w:space="0" w:color="auto"/>
              <w:right w:val="single" w:sz="4" w:space="0" w:color="auto"/>
            </w:tcBorders>
            <w:vAlign w:val="center"/>
            <w:hideMark/>
          </w:tcPr>
          <w:p w14:paraId="3D36B3F7" w14:textId="77777777" w:rsidR="0023462A" w:rsidRDefault="0023462A">
            <w:pPr>
              <w:spacing w:after="120" w:line="240" w:lineRule="auto"/>
              <w:jc w:val="both"/>
              <w:rPr>
                <w:rFonts w:ascii="Times New Roman" w:eastAsia="Times New Roman" w:hAnsi="Times New Roman" w:cs="Times New Roman"/>
                <w:b/>
                <w:noProof/>
                <w:sz w:val="18"/>
                <w:szCs w:val="18"/>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76A2DA73" w14:textId="77777777" w:rsidR="0023462A" w:rsidRDefault="0023462A">
            <w:pPr>
              <w:spacing w:after="120" w:line="240" w:lineRule="auto"/>
              <w:jc w:val="both"/>
              <w:rPr>
                <w:rFonts w:ascii="Times New Roman" w:eastAsia="Times New Roman" w:hAnsi="Times New Roman" w:cs="Times New Roman"/>
                <w:b/>
                <w:noProof/>
                <w:sz w:val="18"/>
                <w:szCs w:val="18"/>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0A3782B" w14:textId="77777777" w:rsidR="0023462A" w:rsidRDefault="0023462A">
            <w:pPr>
              <w:spacing w:after="120" w:line="240" w:lineRule="auto"/>
              <w:jc w:val="both"/>
              <w:rPr>
                <w:rFonts w:ascii="Times New Roman" w:eastAsia="Times New Roman" w:hAnsi="Times New Roman" w:cs="Times New Roman"/>
                <w:b/>
                <w:noProof/>
                <w:sz w:val="18"/>
                <w:szCs w:val="18"/>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7A45F657" w14:textId="77777777" w:rsidR="0023462A" w:rsidRDefault="0023462A">
            <w:pPr>
              <w:spacing w:after="120" w:line="240" w:lineRule="auto"/>
              <w:jc w:val="both"/>
              <w:rPr>
                <w:rFonts w:ascii="Times New Roman" w:eastAsia="Times New Roman" w:hAnsi="Times New Roman" w:cs="Times New Roman"/>
                <w:b/>
                <w:noProof/>
                <w:sz w:val="18"/>
                <w:szCs w:val="18"/>
              </w:rPr>
            </w:pPr>
          </w:p>
        </w:tc>
        <w:tc>
          <w:tcPr>
            <w:tcW w:w="1843" w:type="dxa"/>
            <w:tcBorders>
              <w:top w:val="nil"/>
              <w:left w:val="single" w:sz="4" w:space="0" w:color="auto"/>
              <w:bottom w:val="single" w:sz="4" w:space="0" w:color="auto"/>
              <w:right w:val="single" w:sz="4" w:space="0" w:color="auto"/>
            </w:tcBorders>
            <w:shd w:val="clear" w:color="auto" w:fill="BDD7EE"/>
            <w:vAlign w:val="center"/>
            <w:hideMark/>
          </w:tcPr>
          <w:p w14:paraId="690856F2" w14:textId="77777777" w:rsidR="0023462A" w:rsidRDefault="00A550FA">
            <w:pPr>
              <w:pStyle w:val="P68B1DB1-Normal37"/>
              <w:spacing w:after="120" w:line="240" w:lineRule="auto"/>
              <w:jc w:val="center"/>
              <w:rPr>
                <w:rFonts w:eastAsia="Calibri"/>
                <w:bCs/>
                <w:noProof/>
              </w:rPr>
            </w:pPr>
            <w:r>
              <w:rPr>
                <w:noProof/>
              </w:rPr>
              <w:t>Unité de mesure</w:t>
            </w:r>
          </w:p>
        </w:tc>
        <w:tc>
          <w:tcPr>
            <w:tcW w:w="1276" w:type="dxa"/>
            <w:tcBorders>
              <w:top w:val="nil"/>
              <w:left w:val="nil"/>
              <w:bottom w:val="single" w:sz="4" w:space="0" w:color="auto"/>
              <w:right w:val="single" w:sz="4" w:space="0" w:color="auto"/>
            </w:tcBorders>
            <w:shd w:val="clear" w:color="auto" w:fill="BDD7EE"/>
            <w:vAlign w:val="center"/>
            <w:hideMark/>
          </w:tcPr>
          <w:p w14:paraId="7FFC7F1E" w14:textId="77777777" w:rsidR="0023462A" w:rsidRDefault="00A550FA">
            <w:pPr>
              <w:pStyle w:val="P68B1DB1-Normal37"/>
              <w:spacing w:after="120" w:line="240" w:lineRule="auto"/>
              <w:jc w:val="center"/>
              <w:rPr>
                <w:rFonts w:eastAsia="Calibri"/>
                <w:bCs/>
                <w:noProof/>
              </w:rPr>
            </w:pPr>
            <w:r>
              <w:rPr>
                <w:noProof/>
              </w:rPr>
              <w:t xml:space="preserve">Données de référence </w:t>
            </w:r>
          </w:p>
        </w:tc>
        <w:tc>
          <w:tcPr>
            <w:tcW w:w="850" w:type="dxa"/>
            <w:tcBorders>
              <w:top w:val="nil"/>
              <w:left w:val="nil"/>
              <w:bottom w:val="single" w:sz="4" w:space="0" w:color="auto"/>
              <w:right w:val="single" w:sz="4" w:space="0" w:color="auto"/>
            </w:tcBorders>
            <w:shd w:val="clear" w:color="auto" w:fill="BDD7EE"/>
            <w:vAlign w:val="center"/>
            <w:hideMark/>
          </w:tcPr>
          <w:p w14:paraId="14A58FBF" w14:textId="77777777" w:rsidR="0023462A" w:rsidRDefault="00A550FA">
            <w:pPr>
              <w:pStyle w:val="P68B1DB1-Normal37"/>
              <w:spacing w:after="120" w:line="240" w:lineRule="auto"/>
              <w:jc w:val="center"/>
              <w:rPr>
                <w:rFonts w:eastAsia="Calibri"/>
                <w:bCs/>
                <w:noProof/>
              </w:rPr>
            </w:pPr>
            <w:r>
              <w:rPr>
                <w:noProof/>
              </w:rPr>
              <w:t xml:space="preserve">Objectif </w:t>
            </w:r>
          </w:p>
        </w:tc>
        <w:tc>
          <w:tcPr>
            <w:tcW w:w="851" w:type="dxa"/>
            <w:tcBorders>
              <w:top w:val="nil"/>
              <w:left w:val="nil"/>
              <w:bottom w:val="single" w:sz="4" w:space="0" w:color="auto"/>
              <w:right w:val="single" w:sz="4" w:space="0" w:color="auto"/>
            </w:tcBorders>
            <w:shd w:val="clear" w:color="auto" w:fill="BDD7EE"/>
            <w:vAlign w:val="center"/>
            <w:hideMark/>
          </w:tcPr>
          <w:p w14:paraId="2E8850F4" w14:textId="5B6D8D53" w:rsidR="0023462A" w:rsidRDefault="00A550FA">
            <w:pPr>
              <w:pStyle w:val="P68B1DB1-Normal37"/>
              <w:spacing w:after="120" w:line="240" w:lineRule="auto"/>
              <w:jc w:val="center"/>
              <w:rPr>
                <w:rFonts w:eastAsia="Calibri"/>
                <w:bCs/>
                <w:noProof/>
              </w:rPr>
            </w:pPr>
            <w:r>
              <w:rPr>
                <w:noProof/>
              </w:rPr>
              <w:t>Quar-ter</w:t>
            </w:r>
          </w:p>
        </w:tc>
        <w:tc>
          <w:tcPr>
            <w:tcW w:w="1134" w:type="dxa"/>
            <w:tcBorders>
              <w:top w:val="nil"/>
              <w:left w:val="nil"/>
              <w:bottom w:val="single" w:sz="4" w:space="0" w:color="auto"/>
              <w:right w:val="single" w:sz="4" w:space="0" w:color="auto"/>
            </w:tcBorders>
            <w:shd w:val="clear" w:color="auto" w:fill="BDD7EE"/>
            <w:vAlign w:val="center"/>
            <w:hideMark/>
          </w:tcPr>
          <w:p w14:paraId="3E966DD1" w14:textId="77777777" w:rsidR="0023462A" w:rsidRDefault="00A550FA">
            <w:pPr>
              <w:pStyle w:val="P68B1DB1-Normal37"/>
              <w:spacing w:after="120" w:line="240" w:lineRule="auto"/>
              <w:jc w:val="center"/>
              <w:rPr>
                <w:rFonts w:eastAsia="Calibri"/>
                <w:bCs/>
                <w:noProof/>
              </w:rPr>
            </w:pPr>
            <w:r>
              <w:rPr>
                <w:noProof/>
              </w:rPr>
              <w:t>Année</w:t>
            </w:r>
          </w:p>
        </w:tc>
        <w:tc>
          <w:tcPr>
            <w:tcW w:w="3544" w:type="dxa"/>
            <w:vMerge/>
            <w:tcBorders>
              <w:top w:val="single" w:sz="4" w:space="0" w:color="auto"/>
              <w:bottom w:val="single" w:sz="4" w:space="0" w:color="auto"/>
              <w:right w:val="single" w:sz="4" w:space="0" w:color="auto"/>
            </w:tcBorders>
            <w:vAlign w:val="center"/>
            <w:hideMark/>
          </w:tcPr>
          <w:p w14:paraId="2BFFC837" w14:textId="77777777" w:rsidR="0023462A" w:rsidRDefault="0023462A">
            <w:pPr>
              <w:spacing w:after="120" w:line="240" w:lineRule="auto"/>
              <w:jc w:val="both"/>
              <w:rPr>
                <w:rFonts w:ascii="Times New Roman" w:eastAsia="Times New Roman" w:hAnsi="Times New Roman" w:cs="Times New Roman"/>
                <w:b/>
                <w:bCs/>
                <w:noProof/>
                <w:sz w:val="18"/>
                <w:szCs w:val="18"/>
              </w:rPr>
            </w:pPr>
          </w:p>
        </w:tc>
      </w:tr>
      <w:tr w:rsidR="0023462A" w14:paraId="3EADC766" w14:textId="77777777" w:rsidTr="00E672FD">
        <w:trPr>
          <w:trHeight w:val="309"/>
          <w:jc w:val="center"/>
        </w:trPr>
        <w:tc>
          <w:tcPr>
            <w:tcW w:w="94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CDC5BD" w14:textId="0651DC8A" w:rsidR="0023462A" w:rsidRDefault="00A550FA">
            <w:pPr>
              <w:pStyle w:val="P68B1DB1-Normal32"/>
              <w:spacing w:after="120" w:line="240" w:lineRule="auto"/>
              <w:rPr>
                <w:rFonts w:eastAsia="Calibri"/>
                <w:noProof/>
              </w:rPr>
            </w:pPr>
            <w:r>
              <w:rPr>
                <w:noProof/>
              </w:rPr>
              <w:t>104</w:t>
            </w:r>
          </w:p>
        </w:tc>
        <w:tc>
          <w:tcPr>
            <w:tcW w:w="1457" w:type="dxa"/>
            <w:tcBorders>
              <w:top w:val="single" w:sz="4" w:space="0" w:color="auto"/>
              <w:left w:val="nil"/>
              <w:bottom w:val="single" w:sz="4" w:space="0" w:color="auto"/>
              <w:right w:val="single" w:sz="4" w:space="0" w:color="auto"/>
            </w:tcBorders>
            <w:shd w:val="clear" w:color="auto" w:fill="C6EFCE"/>
            <w:noWrap/>
            <w:vAlign w:val="center"/>
          </w:tcPr>
          <w:p w14:paraId="79279CC1" w14:textId="612FB1F1" w:rsidR="0023462A" w:rsidRDefault="00A550FA">
            <w:pPr>
              <w:pStyle w:val="P68B1DB1-Normal32"/>
              <w:spacing w:after="120" w:line="240" w:lineRule="auto"/>
              <w:rPr>
                <w:rFonts w:eastAsia="Calibri"/>
                <w:noProof/>
              </w:rPr>
            </w:pPr>
            <w:r>
              <w:rPr>
                <w:noProof/>
              </w:rPr>
              <w:t>C9.R1 : Fixation des tarifs de réseau</w:t>
            </w:r>
          </w:p>
        </w:tc>
        <w:tc>
          <w:tcPr>
            <w:tcW w:w="1418" w:type="dxa"/>
            <w:tcBorders>
              <w:top w:val="single" w:sz="4" w:space="0" w:color="auto"/>
              <w:left w:val="nil"/>
              <w:bottom w:val="single" w:sz="4" w:space="0" w:color="auto"/>
              <w:right w:val="single" w:sz="4" w:space="0" w:color="auto"/>
            </w:tcBorders>
            <w:shd w:val="clear" w:color="auto" w:fill="C6EFCE"/>
            <w:noWrap/>
            <w:vAlign w:val="center"/>
          </w:tcPr>
          <w:p w14:paraId="7FB581AF" w14:textId="77777777" w:rsidR="0023462A" w:rsidRDefault="00A550FA">
            <w:pPr>
              <w:pStyle w:val="P68B1DB1-Normal32"/>
              <w:spacing w:after="120" w:line="240" w:lineRule="auto"/>
              <w:rPr>
                <w:rFonts w:eastAsia="Calibri"/>
                <w:noProof/>
              </w:rPr>
            </w:pPr>
            <w:r>
              <w:rPr>
                <w:noProof/>
              </w:rPr>
              <w:t>Étape</w:t>
            </w:r>
          </w:p>
        </w:tc>
        <w:tc>
          <w:tcPr>
            <w:tcW w:w="850" w:type="dxa"/>
            <w:tcBorders>
              <w:top w:val="single" w:sz="4" w:space="0" w:color="auto"/>
              <w:left w:val="nil"/>
              <w:bottom w:val="single" w:sz="4" w:space="0" w:color="auto"/>
              <w:right w:val="single" w:sz="4" w:space="0" w:color="auto"/>
            </w:tcBorders>
            <w:shd w:val="clear" w:color="auto" w:fill="C6EFCE"/>
            <w:noWrap/>
            <w:vAlign w:val="center"/>
          </w:tcPr>
          <w:p w14:paraId="713D143A" w14:textId="77777777" w:rsidR="0023462A" w:rsidRDefault="00A550FA">
            <w:pPr>
              <w:pStyle w:val="P68B1DB1-Normal32"/>
              <w:spacing w:after="120" w:line="240" w:lineRule="auto"/>
              <w:rPr>
                <w:rFonts w:eastAsia="Times New Roman"/>
                <w:noProof/>
              </w:rPr>
            </w:pPr>
            <w:r>
              <w:rPr>
                <w:noProof/>
              </w:rPr>
              <w:t>Nouvelle méthode de calcul des tarifs de réseau</w:t>
            </w:r>
          </w:p>
        </w:tc>
        <w:tc>
          <w:tcPr>
            <w:tcW w:w="1559" w:type="dxa"/>
            <w:tcBorders>
              <w:top w:val="single" w:sz="4" w:space="0" w:color="auto"/>
              <w:left w:val="nil"/>
              <w:bottom w:val="single" w:sz="4" w:space="0" w:color="auto"/>
              <w:right w:val="single" w:sz="4" w:space="0" w:color="auto"/>
            </w:tcBorders>
            <w:shd w:val="clear" w:color="auto" w:fill="C6EFCE"/>
            <w:noWrap/>
            <w:vAlign w:val="center"/>
          </w:tcPr>
          <w:p w14:paraId="4F3DE670" w14:textId="77777777" w:rsidR="0023462A" w:rsidRDefault="00A550FA">
            <w:pPr>
              <w:pStyle w:val="P68B1DB1-Normal32"/>
              <w:spacing w:after="120" w:line="240" w:lineRule="auto"/>
              <w:rPr>
                <w:rFonts w:eastAsia="Calibri"/>
                <w:noProof/>
              </w:rPr>
            </w:pPr>
            <w:r>
              <w:rPr>
                <w:noProof/>
              </w:rPr>
              <w:t xml:space="preserve">Disposition du décret d'adoption indiquant l'entrée en vigueur de la méthodologie </w:t>
            </w:r>
          </w:p>
        </w:tc>
        <w:tc>
          <w:tcPr>
            <w:tcW w:w="1843" w:type="dxa"/>
            <w:tcBorders>
              <w:top w:val="nil"/>
              <w:left w:val="nil"/>
              <w:bottom w:val="single" w:sz="4" w:space="0" w:color="auto"/>
              <w:right w:val="single" w:sz="4" w:space="0" w:color="auto"/>
            </w:tcBorders>
            <w:shd w:val="clear" w:color="auto" w:fill="C6EFCE"/>
            <w:noWrap/>
            <w:vAlign w:val="center"/>
          </w:tcPr>
          <w:p w14:paraId="14BE29C9" w14:textId="77777777" w:rsidR="0023462A" w:rsidRDefault="0023462A">
            <w:pPr>
              <w:spacing w:after="120" w:line="240" w:lineRule="auto"/>
              <w:rPr>
                <w:rFonts w:ascii="Times New Roman" w:eastAsia="Calibri" w:hAnsi="Times New Roman" w:cs="Times New Roman"/>
                <w:noProof/>
                <w:sz w:val="18"/>
                <w:szCs w:val="18"/>
              </w:rPr>
            </w:pPr>
          </w:p>
        </w:tc>
        <w:tc>
          <w:tcPr>
            <w:tcW w:w="1276" w:type="dxa"/>
            <w:tcBorders>
              <w:top w:val="nil"/>
              <w:left w:val="nil"/>
              <w:bottom w:val="single" w:sz="4" w:space="0" w:color="auto"/>
              <w:right w:val="single" w:sz="4" w:space="0" w:color="auto"/>
            </w:tcBorders>
            <w:shd w:val="clear" w:color="auto" w:fill="C6EFCE"/>
            <w:noWrap/>
            <w:vAlign w:val="center"/>
          </w:tcPr>
          <w:p w14:paraId="5E55C85A" w14:textId="77777777" w:rsidR="0023462A" w:rsidRDefault="0023462A">
            <w:pPr>
              <w:spacing w:after="120" w:line="240" w:lineRule="auto"/>
              <w:rPr>
                <w:rFonts w:ascii="Times New Roman" w:eastAsia="Calibri"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vAlign w:val="center"/>
          </w:tcPr>
          <w:p w14:paraId="1BF417B6" w14:textId="77777777" w:rsidR="0023462A" w:rsidRDefault="0023462A">
            <w:pPr>
              <w:spacing w:after="120" w:line="240" w:lineRule="auto"/>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7E3E73FC" w14:textId="7664ADD2" w:rsidR="0023462A" w:rsidRDefault="00A550FA">
            <w:pPr>
              <w:pStyle w:val="P68B1DB1-Normal20"/>
              <w:spacing w:after="120" w:line="240" w:lineRule="auto"/>
              <w:rPr>
                <w:rFonts w:eastAsia="Calibri" w:cs="Times New Roman"/>
                <w:noProof/>
                <w:szCs w:val="18"/>
              </w:rPr>
            </w:pPr>
            <w:r>
              <w:rPr>
                <w:noProof/>
              </w:rPr>
              <w:t>T2</w:t>
            </w:r>
          </w:p>
        </w:tc>
        <w:tc>
          <w:tcPr>
            <w:tcW w:w="1134" w:type="dxa"/>
            <w:tcBorders>
              <w:top w:val="nil"/>
              <w:left w:val="nil"/>
              <w:bottom w:val="single" w:sz="4" w:space="0" w:color="auto"/>
              <w:right w:val="single" w:sz="4" w:space="0" w:color="auto"/>
            </w:tcBorders>
            <w:shd w:val="clear" w:color="auto" w:fill="C6EFCE"/>
            <w:noWrap/>
            <w:vAlign w:val="center"/>
          </w:tcPr>
          <w:p w14:paraId="3CF486B4" w14:textId="0F6D4954" w:rsidR="0023462A" w:rsidRDefault="00A550FA">
            <w:pPr>
              <w:pStyle w:val="P68B1DB1-Normal20"/>
              <w:spacing w:after="120" w:line="240" w:lineRule="auto"/>
              <w:rPr>
                <w:rFonts w:eastAsia="Calibri" w:cs="Times New Roman"/>
                <w:noProof/>
                <w:szCs w:val="18"/>
              </w:rPr>
            </w:pPr>
            <w:r>
              <w:rPr>
                <w:noProof/>
              </w:rPr>
              <w:t>2026</w:t>
            </w:r>
          </w:p>
        </w:tc>
        <w:tc>
          <w:tcPr>
            <w:tcW w:w="3544" w:type="dxa"/>
            <w:tcBorders>
              <w:top w:val="single" w:sz="4" w:space="0" w:color="auto"/>
              <w:left w:val="nil"/>
              <w:bottom w:val="single" w:sz="4" w:space="0" w:color="auto"/>
              <w:right w:val="single" w:sz="4" w:space="0" w:color="auto"/>
            </w:tcBorders>
            <w:shd w:val="clear" w:color="auto" w:fill="C6EFCE"/>
            <w:noWrap/>
            <w:vAlign w:val="center"/>
          </w:tcPr>
          <w:p w14:paraId="0BE0807C" w14:textId="5F266DEB" w:rsidR="0023462A" w:rsidRDefault="00A550FA">
            <w:pPr>
              <w:pStyle w:val="P68B1DB1-Normal32"/>
              <w:spacing w:after="120" w:line="240" w:lineRule="auto"/>
              <w:rPr>
                <w:rFonts w:eastAsia="Times New Roman"/>
                <w:noProof/>
              </w:rPr>
            </w:pPr>
            <w:r>
              <w:rPr>
                <w:noProof/>
              </w:rPr>
              <w:t>Adoption par l'autorité de régulation (MEKH) et entrée en vigueur d'une nouvelle méthode de calcul des tarifs de réseau reflétant les coûts et non discriminatoires.</w:t>
            </w:r>
          </w:p>
        </w:tc>
      </w:tr>
      <w:tr w:rsidR="0023462A" w14:paraId="073095DB" w14:textId="77777777" w:rsidTr="00E672FD">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2BC7704B" w14:textId="7203665F" w:rsidR="0023462A" w:rsidRDefault="00A550FA">
            <w:pPr>
              <w:pStyle w:val="P68B1DB1-Normal32"/>
              <w:spacing w:after="120" w:line="240" w:lineRule="auto"/>
              <w:rPr>
                <w:rFonts w:eastAsia="Calibri"/>
                <w:noProof/>
              </w:rPr>
            </w:pPr>
            <w:r>
              <w:rPr>
                <w:noProof/>
              </w:rPr>
              <w:t>105</w:t>
            </w:r>
          </w:p>
        </w:tc>
        <w:tc>
          <w:tcPr>
            <w:tcW w:w="1457" w:type="dxa"/>
            <w:tcBorders>
              <w:top w:val="nil"/>
              <w:left w:val="nil"/>
              <w:bottom w:val="single" w:sz="4" w:space="0" w:color="auto"/>
              <w:right w:val="single" w:sz="4" w:space="0" w:color="auto"/>
            </w:tcBorders>
            <w:shd w:val="clear" w:color="auto" w:fill="C6EFCE"/>
            <w:noWrap/>
            <w:vAlign w:val="center"/>
          </w:tcPr>
          <w:p w14:paraId="1D2BB7BA" w14:textId="7B5315DD" w:rsidR="0023462A" w:rsidRDefault="00A550FA">
            <w:pPr>
              <w:pStyle w:val="P68B1DB1-Normal32"/>
              <w:spacing w:after="120" w:line="240" w:lineRule="auto"/>
              <w:rPr>
                <w:rFonts w:eastAsia="Times New Roman"/>
                <w:noProof/>
              </w:rPr>
            </w:pPr>
            <w:r>
              <w:rPr>
                <w:noProof/>
              </w:rPr>
              <w:t xml:space="preserve">C9.R2 : Adaptation du ou des actes juridiques relatifs aux compteurs intelligents </w:t>
            </w:r>
          </w:p>
          <w:p w14:paraId="3134232D" w14:textId="77777777" w:rsidR="0023462A" w:rsidRDefault="0023462A">
            <w:pPr>
              <w:spacing w:after="120" w:line="240" w:lineRule="auto"/>
              <w:rPr>
                <w:rFonts w:ascii="Times New Roman" w:eastAsia="Calibri" w:hAnsi="Times New Roman" w:cs="Times New Roman"/>
                <w:noProof/>
                <w:sz w:val="18"/>
                <w:szCs w:val="18"/>
              </w:rPr>
            </w:pPr>
          </w:p>
        </w:tc>
        <w:tc>
          <w:tcPr>
            <w:tcW w:w="1418" w:type="dxa"/>
            <w:tcBorders>
              <w:top w:val="nil"/>
              <w:left w:val="nil"/>
              <w:bottom w:val="single" w:sz="4" w:space="0" w:color="auto"/>
              <w:right w:val="single" w:sz="4" w:space="0" w:color="auto"/>
            </w:tcBorders>
            <w:shd w:val="clear" w:color="auto" w:fill="C6EFCE"/>
            <w:noWrap/>
            <w:vAlign w:val="center"/>
          </w:tcPr>
          <w:p w14:paraId="38364F90" w14:textId="77777777" w:rsidR="0023462A" w:rsidRDefault="00A550FA">
            <w:pPr>
              <w:pStyle w:val="P68B1DB1-Normal32"/>
              <w:spacing w:after="120" w:line="240" w:lineRule="auto"/>
              <w:rPr>
                <w:rFonts w:eastAsia="Calibri"/>
                <w:noProof/>
              </w:rPr>
            </w:pPr>
            <w:r>
              <w:rPr>
                <w:noProof/>
              </w:rPr>
              <w:t>Étape</w:t>
            </w:r>
          </w:p>
        </w:tc>
        <w:tc>
          <w:tcPr>
            <w:tcW w:w="850" w:type="dxa"/>
            <w:tcBorders>
              <w:top w:val="nil"/>
              <w:left w:val="nil"/>
              <w:bottom w:val="single" w:sz="4" w:space="0" w:color="auto"/>
              <w:right w:val="single" w:sz="4" w:space="0" w:color="auto"/>
            </w:tcBorders>
            <w:shd w:val="clear" w:color="auto" w:fill="C6EFCE"/>
            <w:noWrap/>
            <w:vAlign w:val="center"/>
          </w:tcPr>
          <w:p w14:paraId="16971577" w14:textId="77777777" w:rsidR="0023462A" w:rsidRDefault="00A550FA">
            <w:pPr>
              <w:pStyle w:val="P68B1DB1-Normal32"/>
              <w:spacing w:after="120" w:line="240" w:lineRule="auto"/>
              <w:rPr>
                <w:rFonts w:eastAsia="Times New Roman"/>
                <w:noProof/>
              </w:rPr>
            </w:pPr>
            <w:r>
              <w:rPr>
                <w:noProof/>
              </w:rPr>
              <w:t>Entrée en vigueur du ou des actes juridiques</w:t>
            </w:r>
          </w:p>
        </w:tc>
        <w:tc>
          <w:tcPr>
            <w:tcW w:w="1559" w:type="dxa"/>
            <w:tcBorders>
              <w:top w:val="nil"/>
              <w:left w:val="nil"/>
              <w:bottom w:val="single" w:sz="4" w:space="0" w:color="auto"/>
              <w:right w:val="single" w:sz="4" w:space="0" w:color="auto"/>
            </w:tcBorders>
            <w:shd w:val="clear" w:color="auto" w:fill="C6EFCE"/>
            <w:noWrap/>
            <w:vAlign w:val="center"/>
          </w:tcPr>
          <w:p w14:paraId="3D1F3B04" w14:textId="77777777" w:rsidR="0023462A" w:rsidRDefault="00A550FA">
            <w:pPr>
              <w:pStyle w:val="P68B1DB1-Normal32"/>
              <w:spacing w:after="120" w:line="240" w:lineRule="auto"/>
              <w:rPr>
                <w:rFonts w:eastAsia="Calibri"/>
                <w:noProof/>
              </w:rPr>
            </w:pPr>
            <w:r>
              <w:rPr>
                <w:noProof/>
              </w:rPr>
              <w:t>Disposition de la loi indiquant l’entrée en vigueur du ou des actes juridiques</w:t>
            </w:r>
          </w:p>
        </w:tc>
        <w:tc>
          <w:tcPr>
            <w:tcW w:w="1843" w:type="dxa"/>
            <w:tcBorders>
              <w:top w:val="nil"/>
              <w:left w:val="nil"/>
              <w:bottom w:val="single" w:sz="4" w:space="0" w:color="auto"/>
              <w:right w:val="single" w:sz="4" w:space="0" w:color="auto"/>
            </w:tcBorders>
            <w:shd w:val="clear" w:color="auto" w:fill="C6EFCE"/>
            <w:noWrap/>
            <w:vAlign w:val="center"/>
          </w:tcPr>
          <w:p w14:paraId="7227D88C" w14:textId="77777777" w:rsidR="0023462A" w:rsidRDefault="0023462A">
            <w:pPr>
              <w:spacing w:after="120" w:line="240" w:lineRule="auto"/>
              <w:rPr>
                <w:rFonts w:ascii="Times New Roman" w:eastAsia="Calibri" w:hAnsi="Times New Roman" w:cs="Times New Roman"/>
                <w:noProof/>
                <w:sz w:val="18"/>
                <w:szCs w:val="18"/>
              </w:rPr>
            </w:pPr>
          </w:p>
        </w:tc>
        <w:tc>
          <w:tcPr>
            <w:tcW w:w="1276" w:type="dxa"/>
            <w:tcBorders>
              <w:top w:val="nil"/>
              <w:left w:val="nil"/>
              <w:bottom w:val="single" w:sz="4" w:space="0" w:color="auto"/>
              <w:right w:val="single" w:sz="4" w:space="0" w:color="auto"/>
            </w:tcBorders>
            <w:shd w:val="clear" w:color="auto" w:fill="C6EFCE"/>
            <w:noWrap/>
            <w:vAlign w:val="center"/>
          </w:tcPr>
          <w:p w14:paraId="7DAB79BA" w14:textId="77777777" w:rsidR="0023462A" w:rsidRDefault="0023462A">
            <w:pPr>
              <w:spacing w:after="120" w:line="240" w:lineRule="auto"/>
              <w:rPr>
                <w:rFonts w:ascii="Times New Roman" w:eastAsia="Calibri"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vAlign w:val="center"/>
          </w:tcPr>
          <w:p w14:paraId="3669D2FA" w14:textId="77777777" w:rsidR="0023462A" w:rsidRDefault="0023462A">
            <w:pPr>
              <w:spacing w:after="120" w:line="240" w:lineRule="auto"/>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14CF84C9" w14:textId="6EA2CEB0" w:rsidR="0023462A" w:rsidRDefault="00A550FA">
            <w:pPr>
              <w:pStyle w:val="P68B1DB1-Normal20"/>
              <w:spacing w:after="120" w:line="240" w:lineRule="auto"/>
              <w:rPr>
                <w:rFonts w:eastAsia="Calibri" w:cs="Times New Roman"/>
                <w:noProof/>
                <w:szCs w:val="18"/>
              </w:rPr>
            </w:pPr>
            <w:r>
              <w:rPr>
                <w:noProof/>
              </w:rPr>
              <w:t>T2</w:t>
            </w:r>
          </w:p>
        </w:tc>
        <w:tc>
          <w:tcPr>
            <w:tcW w:w="1134" w:type="dxa"/>
            <w:tcBorders>
              <w:top w:val="nil"/>
              <w:left w:val="nil"/>
              <w:bottom w:val="single" w:sz="4" w:space="0" w:color="auto"/>
              <w:right w:val="single" w:sz="4" w:space="0" w:color="auto"/>
            </w:tcBorders>
            <w:shd w:val="clear" w:color="auto" w:fill="C6EFCE"/>
            <w:noWrap/>
            <w:vAlign w:val="center"/>
          </w:tcPr>
          <w:p w14:paraId="7825BCD4" w14:textId="76E03876" w:rsidR="0023462A" w:rsidRDefault="00A550FA">
            <w:pPr>
              <w:pStyle w:val="P68B1DB1-Normal20"/>
              <w:spacing w:after="120" w:line="240" w:lineRule="auto"/>
              <w:rPr>
                <w:rFonts w:eastAsia="Calibri" w:cs="Times New Roman"/>
                <w:noProof/>
                <w:szCs w:val="18"/>
              </w:rPr>
            </w:pPr>
            <w:r>
              <w:rPr>
                <w:noProof/>
              </w:rPr>
              <w:t>2026</w:t>
            </w:r>
          </w:p>
        </w:tc>
        <w:tc>
          <w:tcPr>
            <w:tcW w:w="3544" w:type="dxa"/>
            <w:tcBorders>
              <w:top w:val="nil"/>
              <w:left w:val="nil"/>
              <w:bottom w:val="single" w:sz="4" w:space="0" w:color="auto"/>
              <w:right w:val="single" w:sz="4" w:space="0" w:color="auto"/>
            </w:tcBorders>
            <w:shd w:val="clear" w:color="auto" w:fill="C6EFCE"/>
            <w:noWrap/>
            <w:vAlign w:val="center"/>
          </w:tcPr>
          <w:p w14:paraId="5AC9F87E" w14:textId="77777777" w:rsidR="0023462A" w:rsidRDefault="00A550FA">
            <w:pPr>
              <w:pStyle w:val="P68B1DB1-Normal32"/>
              <w:spacing w:after="120" w:line="240" w:lineRule="auto"/>
              <w:rPr>
                <w:noProof/>
              </w:rPr>
            </w:pPr>
            <w:r>
              <w:rPr>
                <w:noProof/>
              </w:rPr>
              <w:t>Entrée en vigueur du ou des actes juridiques qui:</w:t>
            </w:r>
          </w:p>
          <w:p w14:paraId="114ECDC5" w14:textId="6244841A" w:rsidR="0023462A" w:rsidRDefault="00A550FA">
            <w:pPr>
              <w:pStyle w:val="P68B1DB1-ListParagraph43"/>
              <w:numPr>
                <w:ilvl w:val="1"/>
                <w:numId w:val="53"/>
              </w:numPr>
              <w:spacing w:after="120" w:line="240" w:lineRule="auto"/>
              <w:ind w:left="229" w:hanging="229"/>
              <w:contextualSpacing w:val="0"/>
              <w:rPr>
                <w:rFonts w:eastAsia="Times New Roman"/>
                <w:noProof/>
              </w:rPr>
            </w:pPr>
            <w:r>
              <w:rPr>
                <w:noProof/>
              </w:rPr>
              <w:t xml:space="preserve">abaisse le seuil d’installation obligatoire des compteurs intelligents de 5 000 kWh/an à 4 000 kWh/an pour les consommateurs connectés au réseau basse tension avec un raccordement fournissant un maximum de 3x80A. Le ou les actes juridiques établissent en outre que les GRD couvrent les coûts d’installation pour ces consommateurs; </w:t>
            </w:r>
          </w:p>
          <w:p w14:paraId="78A258AB" w14:textId="4433B253" w:rsidR="0023462A" w:rsidRDefault="00A550FA">
            <w:pPr>
              <w:pStyle w:val="P68B1DB1-ListParagraph68"/>
              <w:numPr>
                <w:ilvl w:val="1"/>
                <w:numId w:val="53"/>
              </w:numPr>
              <w:spacing w:after="120" w:line="240" w:lineRule="auto"/>
              <w:ind w:left="229" w:hanging="229"/>
              <w:contextualSpacing w:val="0"/>
              <w:rPr>
                <w:noProof/>
              </w:rPr>
            </w:pPr>
            <w:r>
              <w:rPr>
                <w:noProof/>
              </w:rPr>
              <w:t xml:space="preserve">Établir que les GRD couvrent les coûts d’installation du premier compteur intelligent pour tous les consommateurs connectés au réseau basse tension avec une connexion fournissant un maximum de 3x80A et qui demandent un compteur intelligent. </w:t>
            </w:r>
          </w:p>
        </w:tc>
      </w:tr>
      <w:tr w:rsidR="0023462A" w14:paraId="1B77EFB8" w14:textId="77777777" w:rsidTr="00E672FD">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6DF19E3D" w14:textId="1CB52545" w:rsidR="0023462A" w:rsidRDefault="00A550FA">
            <w:pPr>
              <w:pStyle w:val="P68B1DB1-Normal32"/>
              <w:spacing w:after="120" w:line="240" w:lineRule="auto"/>
              <w:rPr>
                <w:rFonts w:eastAsia="Calibri"/>
                <w:noProof/>
              </w:rPr>
            </w:pPr>
            <w:r>
              <w:rPr>
                <w:noProof/>
              </w:rPr>
              <w:t>106</w:t>
            </w:r>
          </w:p>
        </w:tc>
        <w:tc>
          <w:tcPr>
            <w:tcW w:w="1457" w:type="dxa"/>
            <w:tcBorders>
              <w:top w:val="nil"/>
              <w:left w:val="nil"/>
              <w:bottom w:val="single" w:sz="4" w:space="0" w:color="auto"/>
              <w:right w:val="single" w:sz="4" w:space="0" w:color="auto"/>
            </w:tcBorders>
            <w:shd w:val="clear" w:color="auto" w:fill="C6EFCE"/>
            <w:noWrap/>
            <w:vAlign w:val="center"/>
          </w:tcPr>
          <w:p w14:paraId="69508664" w14:textId="0C20E664" w:rsidR="0023462A" w:rsidRDefault="00A550FA">
            <w:pPr>
              <w:pStyle w:val="P68B1DB1-Normal32"/>
              <w:spacing w:after="120" w:line="240" w:lineRule="auto"/>
              <w:rPr>
                <w:rFonts w:eastAsia="Calibri"/>
                <w:noProof/>
              </w:rPr>
            </w:pPr>
            <w:r>
              <w:rPr>
                <w:noProof/>
              </w:rPr>
              <w:t>C9.R3 : Renforcement du rôle des agrégateurs</w:t>
            </w:r>
          </w:p>
        </w:tc>
        <w:tc>
          <w:tcPr>
            <w:tcW w:w="1418" w:type="dxa"/>
            <w:tcBorders>
              <w:top w:val="nil"/>
              <w:left w:val="nil"/>
              <w:bottom w:val="single" w:sz="4" w:space="0" w:color="auto"/>
              <w:right w:val="single" w:sz="4" w:space="0" w:color="auto"/>
            </w:tcBorders>
            <w:shd w:val="clear" w:color="auto" w:fill="C6EFCE"/>
            <w:noWrap/>
            <w:vAlign w:val="center"/>
          </w:tcPr>
          <w:p w14:paraId="51408A76" w14:textId="77777777" w:rsidR="0023462A" w:rsidRDefault="00A550FA">
            <w:pPr>
              <w:pStyle w:val="P68B1DB1-Normal32"/>
              <w:spacing w:after="120" w:line="240" w:lineRule="auto"/>
              <w:rPr>
                <w:rFonts w:eastAsia="Calibri"/>
                <w:noProof/>
              </w:rPr>
            </w:pPr>
            <w:r>
              <w:rPr>
                <w:noProof/>
              </w:rPr>
              <w:t>Étape</w:t>
            </w:r>
          </w:p>
        </w:tc>
        <w:tc>
          <w:tcPr>
            <w:tcW w:w="850" w:type="dxa"/>
            <w:tcBorders>
              <w:top w:val="nil"/>
              <w:left w:val="nil"/>
              <w:bottom w:val="single" w:sz="4" w:space="0" w:color="auto"/>
              <w:right w:val="single" w:sz="4" w:space="0" w:color="auto"/>
            </w:tcBorders>
            <w:shd w:val="clear" w:color="auto" w:fill="C6EFCE"/>
            <w:noWrap/>
            <w:vAlign w:val="center"/>
          </w:tcPr>
          <w:p w14:paraId="340CAC6E" w14:textId="1CE07F28" w:rsidR="0023462A" w:rsidRDefault="00A550FA">
            <w:pPr>
              <w:pStyle w:val="P68B1DB1-Normal32"/>
              <w:spacing w:after="120" w:line="240" w:lineRule="auto"/>
              <w:rPr>
                <w:rFonts w:eastAsia="Calibri"/>
                <w:noProof/>
              </w:rPr>
            </w:pPr>
            <w:r>
              <w:rPr>
                <w:noProof/>
              </w:rPr>
              <w:t>Adoption d’un ou de plusieurs actes juridiques</w:t>
            </w:r>
          </w:p>
          <w:p w14:paraId="653FD073" w14:textId="77777777" w:rsidR="0023462A" w:rsidRDefault="0023462A">
            <w:pPr>
              <w:spacing w:after="120" w:line="240" w:lineRule="auto"/>
              <w:rPr>
                <w:rFonts w:ascii="Times New Roman" w:eastAsia="Times New Roman" w:hAnsi="Times New Roman" w:cs="Times New Roman"/>
                <w:noProof/>
                <w:sz w:val="18"/>
                <w:szCs w:val="18"/>
              </w:rPr>
            </w:pPr>
          </w:p>
        </w:tc>
        <w:tc>
          <w:tcPr>
            <w:tcW w:w="1559" w:type="dxa"/>
            <w:tcBorders>
              <w:top w:val="nil"/>
              <w:left w:val="nil"/>
              <w:bottom w:val="single" w:sz="4" w:space="0" w:color="auto"/>
              <w:right w:val="single" w:sz="4" w:space="0" w:color="auto"/>
            </w:tcBorders>
            <w:shd w:val="clear" w:color="auto" w:fill="C6EFCE"/>
            <w:noWrap/>
            <w:vAlign w:val="center"/>
          </w:tcPr>
          <w:p w14:paraId="5C2CB979" w14:textId="5A5E399D" w:rsidR="0023462A" w:rsidRDefault="00A550FA">
            <w:pPr>
              <w:pStyle w:val="P68B1DB1-Normal49"/>
              <w:spacing w:after="120" w:line="240" w:lineRule="auto"/>
              <w:rPr>
                <w:noProof/>
              </w:rPr>
            </w:pPr>
            <w:r>
              <w:rPr>
                <w:noProof/>
              </w:rPr>
              <w:t>Publication au journal officiel</w:t>
            </w:r>
          </w:p>
        </w:tc>
        <w:tc>
          <w:tcPr>
            <w:tcW w:w="1843" w:type="dxa"/>
            <w:tcBorders>
              <w:top w:val="nil"/>
              <w:left w:val="nil"/>
              <w:bottom w:val="single" w:sz="4" w:space="0" w:color="auto"/>
              <w:right w:val="single" w:sz="4" w:space="0" w:color="auto"/>
            </w:tcBorders>
            <w:shd w:val="clear" w:color="auto" w:fill="C6EFCE"/>
            <w:noWrap/>
            <w:vAlign w:val="center"/>
          </w:tcPr>
          <w:p w14:paraId="3AD42DCD" w14:textId="77777777" w:rsidR="0023462A" w:rsidRDefault="0023462A">
            <w:pPr>
              <w:spacing w:after="120" w:line="240" w:lineRule="auto"/>
              <w:rPr>
                <w:rFonts w:ascii="Times New Roman" w:eastAsia="Calibri" w:hAnsi="Times New Roman" w:cs="Times New Roman"/>
                <w:noProof/>
                <w:sz w:val="18"/>
                <w:szCs w:val="18"/>
              </w:rPr>
            </w:pPr>
          </w:p>
        </w:tc>
        <w:tc>
          <w:tcPr>
            <w:tcW w:w="1276" w:type="dxa"/>
            <w:tcBorders>
              <w:top w:val="nil"/>
              <w:left w:val="nil"/>
              <w:bottom w:val="single" w:sz="4" w:space="0" w:color="auto"/>
              <w:right w:val="single" w:sz="4" w:space="0" w:color="auto"/>
            </w:tcBorders>
            <w:shd w:val="clear" w:color="auto" w:fill="C6EFCE"/>
            <w:noWrap/>
            <w:vAlign w:val="center"/>
          </w:tcPr>
          <w:p w14:paraId="78EDD8F3" w14:textId="77777777" w:rsidR="0023462A" w:rsidRDefault="0023462A">
            <w:pPr>
              <w:spacing w:after="120" w:line="240" w:lineRule="auto"/>
              <w:rPr>
                <w:rFonts w:ascii="Times New Roman" w:eastAsia="Calibri"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vAlign w:val="center"/>
          </w:tcPr>
          <w:p w14:paraId="57A8ED6B" w14:textId="77777777" w:rsidR="0023462A" w:rsidRDefault="0023462A">
            <w:pPr>
              <w:spacing w:after="120" w:line="240" w:lineRule="auto"/>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06A9078D" w14:textId="0E4CF831" w:rsidR="0023462A" w:rsidRDefault="00A550FA">
            <w:pPr>
              <w:pStyle w:val="P68B1DB1-Normal20"/>
              <w:spacing w:after="120" w:line="240" w:lineRule="auto"/>
              <w:rPr>
                <w:rFonts w:eastAsia="Calibri" w:cs="Times New Roman"/>
                <w:noProof/>
                <w:szCs w:val="18"/>
              </w:rPr>
            </w:pPr>
            <w:r>
              <w:rPr>
                <w:noProof/>
              </w:rPr>
              <w:t>T2</w:t>
            </w:r>
          </w:p>
        </w:tc>
        <w:tc>
          <w:tcPr>
            <w:tcW w:w="1134" w:type="dxa"/>
            <w:tcBorders>
              <w:top w:val="nil"/>
              <w:left w:val="nil"/>
              <w:bottom w:val="single" w:sz="4" w:space="0" w:color="auto"/>
              <w:right w:val="single" w:sz="4" w:space="0" w:color="auto"/>
            </w:tcBorders>
            <w:shd w:val="clear" w:color="auto" w:fill="C6EFCE"/>
            <w:noWrap/>
            <w:vAlign w:val="center"/>
          </w:tcPr>
          <w:p w14:paraId="1D93725C" w14:textId="39DA21B4" w:rsidR="0023462A" w:rsidRDefault="00A550FA">
            <w:pPr>
              <w:pStyle w:val="P68B1DB1-Normal20"/>
              <w:spacing w:after="120" w:line="240" w:lineRule="auto"/>
              <w:rPr>
                <w:rFonts w:eastAsia="Calibri" w:cs="Times New Roman"/>
                <w:noProof/>
                <w:szCs w:val="18"/>
              </w:rPr>
            </w:pPr>
            <w:r>
              <w:rPr>
                <w:noProof/>
              </w:rPr>
              <w:t>2026</w:t>
            </w:r>
          </w:p>
        </w:tc>
        <w:tc>
          <w:tcPr>
            <w:tcW w:w="3544" w:type="dxa"/>
            <w:tcBorders>
              <w:top w:val="nil"/>
              <w:left w:val="nil"/>
              <w:bottom w:val="single" w:sz="4" w:space="0" w:color="auto"/>
              <w:right w:val="single" w:sz="4" w:space="0" w:color="auto"/>
            </w:tcBorders>
            <w:shd w:val="clear" w:color="auto" w:fill="C6EFCE"/>
            <w:noWrap/>
            <w:vAlign w:val="center"/>
          </w:tcPr>
          <w:p w14:paraId="3C96E77F" w14:textId="279AE3D1" w:rsidR="0023462A" w:rsidRDefault="00A550FA">
            <w:pPr>
              <w:pStyle w:val="P68B1DB1-Normal32"/>
              <w:spacing w:after="120" w:line="240" w:lineRule="auto"/>
              <w:rPr>
                <w:noProof/>
              </w:rPr>
            </w:pPr>
            <w:r>
              <w:rPr>
                <w:noProof/>
              </w:rPr>
              <w:t>Adoption et publication au Journal officiel d'un ou de plusieurs actes juridiques qui:</w:t>
            </w:r>
          </w:p>
          <w:p w14:paraId="043BD632" w14:textId="77777777" w:rsidR="0023462A" w:rsidRDefault="00A550FA">
            <w:pPr>
              <w:pStyle w:val="P68B1DB1-ListParagraph43"/>
              <w:numPr>
                <w:ilvl w:val="0"/>
                <w:numId w:val="135"/>
              </w:numPr>
              <w:spacing w:after="120" w:line="240" w:lineRule="auto"/>
              <w:ind w:left="226" w:hanging="226"/>
              <w:contextualSpacing w:val="0"/>
              <w:rPr>
                <w:noProof/>
              </w:rPr>
            </w:pPr>
            <w:r>
              <w:rPr>
                <w:noProof/>
              </w:rPr>
              <w:t>permettre aux utilisateurs actifs de conclure des contrats avec des agrégateurs pour mettre à disposition leur électricité autoproduite;</w:t>
            </w:r>
          </w:p>
          <w:p w14:paraId="0694F497" w14:textId="0541CFBC" w:rsidR="0023462A" w:rsidRDefault="00A550FA">
            <w:pPr>
              <w:pStyle w:val="P68B1DB1-ListParagraph43"/>
              <w:numPr>
                <w:ilvl w:val="0"/>
                <w:numId w:val="135"/>
              </w:numPr>
              <w:spacing w:after="120" w:line="240" w:lineRule="auto"/>
              <w:ind w:left="226" w:hanging="226"/>
              <w:contextualSpacing w:val="0"/>
              <w:rPr>
                <w:noProof/>
              </w:rPr>
            </w:pPr>
            <w:r>
              <w:rPr>
                <w:noProof/>
              </w:rPr>
              <w:t>définir le modèle utilisé pour déterminer les règles de compensation et la responsabilité en matière de déséquilibre des services d’équilibrage des agrégateurs.</w:t>
            </w:r>
          </w:p>
        </w:tc>
      </w:tr>
      <w:tr w:rsidR="0023462A" w14:paraId="269C7595" w14:textId="77777777" w:rsidTr="00E672FD">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6334156C" w14:textId="443BBEFB" w:rsidR="0023462A" w:rsidRDefault="00A550FA">
            <w:pPr>
              <w:pStyle w:val="P68B1DB1-Normal32"/>
              <w:spacing w:after="120" w:line="240" w:lineRule="auto"/>
              <w:rPr>
                <w:rFonts w:eastAsia="Calibri"/>
                <w:noProof/>
              </w:rPr>
            </w:pPr>
            <w:r>
              <w:rPr>
                <w:noProof/>
              </w:rPr>
              <w:t>107</w:t>
            </w:r>
          </w:p>
        </w:tc>
        <w:tc>
          <w:tcPr>
            <w:tcW w:w="1457" w:type="dxa"/>
            <w:tcBorders>
              <w:top w:val="nil"/>
              <w:left w:val="nil"/>
              <w:bottom w:val="single" w:sz="4" w:space="0" w:color="auto"/>
              <w:right w:val="single" w:sz="4" w:space="0" w:color="auto"/>
            </w:tcBorders>
            <w:shd w:val="clear" w:color="auto" w:fill="C6EFCE"/>
            <w:noWrap/>
            <w:vAlign w:val="center"/>
          </w:tcPr>
          <w:p w14:paraId="6026B72F" w14:textId="46531EE0" w:rsidR="0023462A" w:rsidRDefault="00A550FA">
            <w:pPr>
              <w:pStyle w:val="P68B1DB1-Normal32"/>
              <w:spacing w:after="120" w:line="240" w:lineRule="auto"/>
              <w:rPr>
                <w:rFonts w:eastAsia="MS Mincho"/>
                <w:noProof/>
              </w:rPr>
            </w:pPr>
            <w:r>
              <w:rPr>
                <w:noProof/>
              </w:rPr>
              <w:t>C9.R4 : Utilisation plus large de la tarification dynamique dans les accords d'achat d'électricité</w:t>
            </w:r>
          </w:p>
          <w:p w14:paraId="484E75F1" w14:textId="77777777" w:rsidR="0023462A" w:rsidRDefault="0023462A">
            <w:pPr>
              <w:spacing w:after="120" w:line="240" w:lineRule="auto"/>
              <w:rPr>
                <w:rFonts w:ascii="Times New Roman" w:eastAsia="Calibri" w:hAnsi="Times New Roman" w:cs="Times New Roman"/>
                <w:noProof/>
                <w:sz w:val="18"/>
                <w:szCs w:val="18"/>
              </w:rPr>
            </w:pPr>
          </w:p>
        </w:tc>
        <w:tc>
          <w:tcPr>
            <w:tcW w:w="1418" w:type="dxa"/>
            <w:tcBorders>
              <w:top w:val="nil"/>
              <w:left w:val="nil"/>
              <w:bottom w:val="single" w:sz="4" w:space="0" w:color="auto"/>
              <w:right w:val="single" w:sz="4" w:space="0" w:color="auto"/>
            </w:tcBorders>
            <w:shd w:val="clear" w:color="auto" w:fill="C6EFCE"/>
            <w:noWrap/>
            <w:vAlign w:val="center"/>
          </w:tcPr>
          <w:p w14:paraId="050F7FA9" w14:textId="77777777" w:rsidR="0023462A" w:rsidRDefault="00A550FA">
            <w:pPr>
              <w:pStyle w:val="P68B1DB1-Normal32"/>
              <w:spacing w:after="120" w:line="240" w:lineRule="auto"/>
              <w:rPr>
                <w:rFonts w:eastAsia="Calibri"/>
                <w:noProof/>
              </w:rPr>
            </w:pPr>
            <w:r>
              <w:rPr>
                <w:noProof/>
              </w:rPr>
              <w:t>Étape</w:t>
            </w:r>
          </w:p>
        </w:tc>
        <w:tc>
          <w:tcPr>
            <w:tcW w:w="850" w:type="dxa"/>
            <w:tcBorders>
              <w:top w:val="nil"/>
              <w:left w:val="nil"/>
              <w:bottom w:val="single" w:sz="4" w:space="0" w:color="auto"/>
              <w:right w:val="single" w:sz="4" w:space="0" w:color="auto"/>
            </w:tcBorders>
            <w:shd w:val="clear" w:color="auto" w:fill="C6EFCE"/>
            <w:noWrap/>
            <w:vAlign w:val="center"/>
          </w:tcPr>
          <w:p w14:paraId="3EA13975" w14:textId="77777777" w:rsidR="0023462A" w:rsidRDefault="00A550FA">
            <w:pPr>
              <w:pStyle w:val="P68B1DB1-Normal32"/>
              <w:spacing w:after="120" w:line="240" w:lineRule="auto"/>
              <w:rPr>
                <w:rFonts w:eastAsia="Times New Roman"/>
                <w:noProof/>
              </w:rPr>
            </w:pPr>
            <w:r>
              <w:rPr>
                <w:noProof/>
              </w:rPr>
              <w:t>Entrée en vigueur du ou des actes juridiques</w:t>
            </w:r>
          </w:p>
        </w:tc>
        <w:tc>
          <w:tcPr>
            <w:tcW w:w="1559" w:type="dxa"/>
            <w:tcBorders>
              <w:top w:val="nil"/>
              <w:left w:val="nil"/>
              <w:bottom w:val="single" w:sz="4" w:space="0" w:color="auto"/>
              <w:right w:val="single" w:sz="4" w:space="0" w:color="auto"/>
            </w:tcBorders>
            <w:shd w:val="clear" w:color="auto" w:fill="C6EFCE"/>
            <w:noWrap/>
            <w:vAlign w:val="center"/>
          </w:tcPr>
          <w:p w14:paraId="4A2606C9" w14:textId="77777777" w:rsidR="0023462A" w:rsidRDefault="00A550FA">
            <w:pPr>
              <w:pStyle w:val="P68B1DB1-Normal32"/>
              <w:spacing w:after="120" w:line="240" w:lineRule="auto"/>
              <w:rPr>
                <w:rFonts w:eastAsia="Calibri"/>
                <w:noProof/>
              </w:rPr>
            </w:pPr>
            <w:r>
              <w:rPr>
                <w:noProof/>
              </w:rPr>
              <w:t>Disposition de la loi indiquant l’entrée en vigueur du ou des actes juridiques</w:t>
            </w:r>
          </w:p>
        </w:tc>
        <w:tc>
          <w:tcPr>
            <w:tcW w:w="1843" w:type="dxa"/>
            <w:tcBorders>
              <w:top w:val="nil"/>
              <w:left w:val="nil"/>
              <w:bottom w:val="single" w:sz="4" w:space="0" w:color="auto"/>
              <w:right w:val="single" w:sz="4" w:space="0" w:color="auto"/>
            </w:tcBorders>
            <w:shd w:val="clear" w:color="auto" w:fill="C6EFCE"/>
            <w:noWrap/>
            <w:vAlign w:val="center"/>
          </w:tcPr>
          <w:p w14:paraId="2FDF1939" w14:textId="77777777" w:rsidR="0023462A" w:rsidRDefault="0023462A">
            <w:pPr>
              <w:spacing w:after="120" w:line="240" w:lineRule="auto"/>
              <w:rPr>
                <w:rFonts w:ascii="Times New Roman" w:eastAsia="Calibri" w:hAnsi="Times New Roman" w:cs="Times New Roman"/>
                <w:noProof/>
                <w:sz w:val="18"/>
                <w:szCs w:val="18"/>
              </w:rPr>
            </w:pPr>
          </w:p>
        </w:tc>
        <w:tc>
          <w:tcPr>
            <w:tcW w:w="1276" w:type="dxa"/>
            <w:tcBorders>
              <w:top w:val="nil"/>
              <w:left w:val="nil"/>
              <w:bottom w:val="single" w:sz="4" w:space="0" w:color="auto"/>
              <w:right w:val="single" w:sz="4" w:space="0" w:color="auto"/>
            </w:tcBorders>
            <w:shd w:val="clear" w:color="auto" w:fill="C6EFCE"/>
            <w:noWrap/>
            <w:vAlign w:val="center"/>
          </w:tcPr>
          <w:p w14:paraId="1CD76F22" w14:textId="77777777" w:rsidR="0023462A" w:rsidRDefault="0023462A">
            <w:pPr>
              <w:spacing w:after="120" w:line="240" w:lineRule="auto"/>
              <w:rPr>
                <w:rFonts w:ascii="Times New Roman" w:eastAsia="Calibri"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vAlign w:val="center"/>
          </w:tcPr>
          <w:p w14:paraId="0FCF3383" w14:textId="77777777" w:rsidR="0023462A" w:rsidRDefault="0023462A">
            <w:pPr>
              <w:spacing w:after="120" w:line="240" w:lineRule="auto"/>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1AF7D8FF" w14:textId="48CB1060" w:rsidR="0023462A" w:rsidRDefault="00A550FA">
            <w:pPr>
              <w:pStyle w:val="P68B1DB1-Normal20"/>
              <w:spacing w:after="120" w:line="240" w:lineRule="auto"/>
              <w:rPr>
                <w:rFonts w:eastAsia="Calibri" w:cs="Times New Roman"/>
                <w:noProof/>
                <w:szCs w:val="18"/>
              </w:rPr>
            </w:pPr>
            <w:r>
              <w:rPr>
                <w:noProof/>
              </w:rPr>
              <w:t>T2</w:t>
            </w:r>
          </w:p>
        </w:tc>
        <w:tc>
          <w:tcPr>
            <w:tcW w:w="1134" w:type="dxa"/>
            <w:tcBorders>
              <w:top w:val="nil"/>
              <w:left w:val="nil"/>
              <w:bottom w:val="single" w:sz="4" w:space="0" w:color="auto"/>
              <w:right w:val="single" w:sz="4" w:space="0" w:color="auto"/>
            </w:tcBorders>
            <w:shd w:val="clear" w:color="auto" w:fill="C6EFCE"/>
            <w:noWrap/>
            <w:vAlign w:val="center"/>
          </w:tcPr>
          <w:p w14:paraId="314C6F27" w14:textId="31400BBE" w:rsidR="0023462A" w:rsidRDefault="00A550FA">
            <w:pPr>
              <w:pStyle w:val="P68B1DB1-Normal20"/>
              <w:spacing w:after="120" w:line="240" w:lineRule="auto"/>
              <w:rPr>
                <w:rFonts w:eastAsia="Calibri" w:cs="Times New Roman"/>
                <w:noProof/>
                <w:szCs w:val="18"/>
              </w:rPr>
            </w:pPr>
            <w:r>
              <w:rPr>
                <w:noProof/>
              </w:rPr>
              <w:t>2026</w:t>
            </w:r>
          </w:p>
        </w:tc>
        <w:tc>
          <w:tcPr>
            <w:tcW w:w="3544" w:type="dxa"/>
            <w:tcBorders>
              <w:top w:val="nil"/>
              <w:left w:val="nil"/>
              <w:bottom w:val="single" w:sz="4" w:space="0" w:color="auto"/>
              <w:right w:val="single" w:sz="4" w:space="0" w:color="auto"/>
            </w:tcBorders>
            <w:shd w:val="clear" w:color="auto" w:fill="C6EFCE"/>
            <w:noWrap/>
            <w:vAlign w:val="center"/>
          </w:tcPr>
          <w:p w14:paraId="5C50EDB4" w14:textId="77777777" w:rsidR="0023462A" w:rsidRDefault="00A550FA">
            <w:pPr>
              <w:pStyle w:val="P68B1DB1-Normal32"/>
              <w:spacing w:after="120" w:line="240" w:lineRule="auto"/>
              <w:rPr>
                <w:noProof/>
              </w:rPr>
            </w:pPr>
            <w:r>
              <w:rPr>
                <w:noProof/>
              </w:rPr>
              <w:t>Entrée en vigueur du ou des actes juridiques qui:</w:t>
            </w:r>
          </w:p>
          <w:p w14:paraId="27BBF79F" w14:textId="1F4E11F0" w:rsidR="0023462A" w:rsidRDefault="00A550FA">
            <w:pPr>
              <w:pStyle w:val="P68B1DB1-ListParagraph43"/>
              <w:numPr>
                <w:ilvl w:val="0"/>
                <w:numId w:val="133"/>
              </w:numPr>
              <w:spacing w:after="120" w:line="240" w:lineRule="auto"/>
              <w:ind w:left="220" w:hanging="220"/>
              <w:contextualSpacing w:val="0"/>
              <w:rPr>
                <w:noProof/>
              </w:rPr>
            </w:pPr>
            <w:r>
              <w:rPr>
                <w:noProof/>
              </w:rPr>
              <w:t>permettre aux consommateurs résidentiels et aux microentreprises de conclure des contrats d’achat d’électricité volontaires assortis d’une tarification dynamique;</w:t>
            </w:r>
          </w:p>
          <w:p w14:paraId="71175172" w14:textId="77777777" w:rsidR="0023462A" w:rsidRDefault="00A550FA">
            <w:pPr>
              <w:pStyle w:val="P68B1DB1-ListParagraph43"/>
              <w:numPr>
                <w:ilvl w:val="0"/>
                <w:numId w:val="133"/>
              </w:numPr>
              <w:spacing w:after="120" w:line="240" w:lineRule="auto"/>
              <w:ind w:left="220" w:hanging="220"/>
              <w:contextualSpacing w:val="0"/>
              <w:rPr>
                <w:rFonts w:eastAsia="Times New Roman"/>
                <w:noProof/>
              </w:rPr>
            </w:pPr>
            <w:r>
              <w:rPr>
                <w:noProof/>
              </w:rPr>
              <w:t>permettre aux consommateurs résidentiels et aux microentreprises qui ont opté pour des contrats de tarification dynamique de revenir au système de service universel.</w:t>
            </w:r>
          </w:p>
        </w:tc>
      </w:tr>
      <w:tr w:rsidR="0023462A" w14:paraId="1D1CB527" w14:textId="77777777" w:rsidTr="00E672FD">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5B578FA6" w14:textId="6A1E6224" w:rsidR="0023462A" w:rsidRDefault="00A550FA">
            <w:pPr>
              <w:pStyle w:val="P68B1DB1-Normal32"/>
              <w:spacing w:after="120" w:line="240" w:lineRule="auto"/>
              <w:rPr>
                <w:rFonts w:eastAsia="Calibri"/>
                <w:noProof/>
              </w:rPr>
            </w:pPr>
            <w:r>
              <w:rPr>
                <w:noProof/>
              </w:rPr>
              <w:t>108</w:t>
            </w:r>
          </w:p>
        </w:tc>
        <w:tc>
          <w:tcPr>
            <w:tcW w:w="1457" w:type="dxa"/>
            <w:tcBorders>
              <w:top w:val="nil"/>
              <w:left w:val="nil"/>
              <w:bottom w:val="single" w:sz="4" w:space="0" w:color="auto"/>
              <w:right w:val="single" w:sz="4" w:space="0" w:color="auto"/>
            </w:tcBorders>
            <w:shd w:val="clear" w:color="auto" w:fill="C6EFCE"/>
            <w:noWrap/>
            <w:vAlign w:val="center"/>
          </w:tcPr>
          <w:p w14:paraId="492EA7D3" w14:textId="1B1E78CF" w:rsidR="0023462A" w:rsidRDefault="00A550FA">
            <w:pPr>
              <w:pStyle w:val="P68B1DB1-Normal32"/>
              <w:spacing w:after="120" w:line="240" w:lineRule="auto"/>
              <w:rPr>
                <w:rFonts w:eastAsia="Times New Roman"/>
                <w:noProof/>
              </w:rPr>
            </w:pPr>
            <w:r>
              <w:rPr>
                <w:noProof/>
              </w:rPr>
              <w:t>C9.R5 : Ouvrir les marchés des réserves réglementaires pour encourager la concurrence</w:t>
            </w:r>
          </w:p>
        </w:tc>
        <w:tc>
          <w:tcPr>
            <w:tcW w:w="1418" w:type="dxa"/>
            <w:tcBorders>
              <w:top w:val="nil"/>
              <w:left w:val="nil"/>
              <w:bottom w:val="single" w:sz="4" w:space="0" w:color="auto"/>
              <w:right w:val="single" w:sz="4" w:space="0" w:color="auto"/>
            </w:tcBorders>
            <w:shd w:val="clear" w:color="auto" w:fill="C6EFCE"/>
            <w:noWrap/>
            <w:vAlign w:val="center"/>
          </w:tcPr>
          <w:p w14:paraId="1DE91F4C" w14:textId="77777777" w:rsidR="0023462A" w:rsidRDefault="00A550FA">
            <w:pPr>
              <w:pStyle w:val="P68B1DB1-Normal32"/>
              <w:spacing w:after="120" w:line="240" w:lineRule="auto"/>
              <w:rPr>
                <w:rFonts w:eastAsia="Calibri"/>
                <w:noProof/>
              </w:rPr>
            </w:pPr>
            <w:r>
              <w:rPr>
                <w:noProof/>
              </w:rPr>
              <w:t xml:space="preserve">Étape </w:t>
            </w:r>
          </w:p>
        </w:tc>
        <w:tc>
          <w:tcPr>
            <w:tcW w:w="850" w:type="dxa"/>
            <w:tcBorders>
              <w:top w:val="nil"/>
              <w:left w:val="nil"/>
              <w:bottom w:val="single" w:sz="4" w:space="0" w:color="auto"/>
              <w:right w:val="single" w:sz="4" w:space="0" w:color="auto"/>
            </w:tcBorders>
            <w:shd w:val="clear" w:color="auto" w:fill="C6EFCE"/>
            <w:noWrap/>
            <w:vAlign w:val="center"/>
          </w:tcPr>
          <w:p w14:paraId="136271B1" w14:textId="010F3BD6" w:rsidR="0023462A" w:rsidRDefault="00A550FA">
            <w:pPr>
              <w:pStyle w:val="P68B1DB1-Normal32"/>
              <w:spacing w:after="120" w:line="240" w:lineRule="auto"/>
              <w:rPr>
                <w:rFonts w:eastAsia="Calibri"/>
                <w:noProof/>
              </w:rPr>
            </w:pPr>
            <w:r>
              <w:rPr>
                <w:noProof/>
              </w:rPr>
              <w:t>Entrée en vigueur de la décision du MEKH approuvant le code de réseau modifié</w:t>
            </w:r>
          </w:p>
        </w:tc>
        <w:tc>
          <w:tcPr>
            <w:tcW w:w="1559" w:type="dxa"/>
            <w:tcBorders>
              <w:top w:val="nil"/>
              <w:left w:val="nil"/>
              <w:bottom w:val="single" w:sz="4" w:space="0" w:color="auto"/>
              <w:right w:val="single" w:sz="4" w:space="0" w:color="auto"/>
            </w:tcBorders>
            <w:shd w:val="clear" w:color="auto" w:fill="C6EFCE"/>
            <w:noWrap/>
            <w:vAlign w:val="center"/>
          </w:tcPr>
          <w:p w14:paraId="42B046ED" w14:textId="3A51608A" w:rsidR="0023462A" w:rsidRDefault="00A550FA">
            <w:pPr>
              <w:pStyle w:val="P68B1DB1-Normal32"/>
              <w:spacing w:after="120" w:line="240" w:lineRule="auto"/>
              <w:rPr>
                <w:rFonts w:eastAsia="Calibri"/>
                <w:noProof/>
              </w:rPr>
            </w:pPr>
            <w:r>
              <w:rPr>
                <w:noProof/>
              </w:rPr>
              <w:t>Disposition de la décision MEKH indiquant l’entrée en vigueur du code de réseau modifié</w:t>
            </w:r>
          </w:p>
        </w:tc>
        <w:tc>
          <w:tcPr>
            <w:tcW w:w="1843" w:type="dxa"/>
            <w:tcBorders>
              <w:top w:val="nil"/>
              <w:left w:val="nil"/>
              <w:bottom w:val="single" w:sz="4" w:space="0" w:color="auto"/>
              <w:right w:val="single" w:sz="4" w:space="0" w:color="auto"/>
            </w:tcBorders>
            <w:shd w:val="clear" w:color="auto" w:fill="C6EFCE"/>
            <w:noWrap/>
            <w:vAlign w:val="center"/>
          </w:tcPr>
          <w:p w14:paraId="7F9DD1B4" w14:textId="77777777" w:rsidR="0023462A" w:rsidRDefault="0023462A">
            <w:pPr>
              <w:spacing w:after="120" w:line="240" w:lineRule="auto"/>
              <w:rPr>
                <w:rFonts w:ascii="Times New Roman" w:eastAsia="Calibri" w:hAnsi="Times New Roman" w:cs="Times New Roman"/>
                <w:noProof/>
                <w:sz w:val="18"/>
                <w:szCs w:val="18"/>
              </w:rPr>
            </w:pPr>
          </w:p>
        </w:tc>
        <w:tc>
          <w:tcPr>
            <w:tcW w:w="1276" w:type="dxa"/>
            <w:tcBorders>
              <w:top w:val="nil"/>
              <w:left w:val="nil"/>
              <w:bottom w:val="single" w:sz="4" w:space="0" w:color="auto"/>
              <w:right w:val="single" w:sz="4" w:space="0" w:color="auto"/>
            </w:tcBorders>
            <w:shd w:val="clear" w:color="auto" w:fill="C6EFCE"/>
            <w:noWrap/>
            <w:vAlign w:val="center"/>
          </w:tcPr>
          <w:p w14:paraId="6482DDE6" w14:textId="77777777" w:rsidR="0023462A" w:rsidRDefault="0023462A">
            <w:pPr>
              <w:spacing w:after="120" w:line="240" w:lineRule="auto"/>
              <w:rPr>
                <w:rFonts w:ascii="Times New Roman" w:eastAsia="Calibri"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vAlign w:val="center"/>
          </w:tcPr>
          <w:p w14:paraId="0B87B5F9" w14:textId="77777777" w:rsidR="0023462A" w:rsidRDefault="0023462A">
            <w:pPr>
              <w:spacing w:after="120" w:line="240" w:lineRule="auto"/>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705CB6C5" w14:textId="5EF16CC4" w:rsidR="0023462A" w:rsidRDefault="00A550FA">
            <w:pPr>
              <w:pStyle w:val="P68B1DB1-Normal20"/>
              <w:spacing w:after="120" w:line="240" w:lineRule="auto"/>
              <w:rPr>
                <w:rFonts w:eastAsia="Calibri" w:cs="Times New Roman"/>
                <w:noProof/>
                <w:szCs w:val="18"/>
              </w:rPr>
            </w:pPr>
            <w:r>
              <w:rPr>
                <w:noProof/>
              </w:rPr>
              <w:t>T2</w:t>
            </w:r>
          </w:p>
        </w:tc>
        <w:tc>
          <w:tcPr>
            <w:tcW w:w="1134" w:type="dxa"/>
            <w:tcBorders>
              <w:top w:val="nil"/>
              <w:left w:val="nil"/>
              <w:bottom w:val="single" w:sz="4" w:space="0" w:color="auto"/>
              <w:right w:val="single" w:sz="4" w:space="0" w:color="auto"/>
            </w:tcBorders>
            <w:shd w:val="clear" w:color="auto" w:fill="C6EFCE"/>
            <w:noWrap/>
            <w:vAlign w:val="center"/>
          </w:tcPr>
          <w:p w14:paraId="2FDC8EF1" w14:textId="6EE684D9" w:rsidR="0023462A" w:rsidRDefault="00A550FA">
            <w:pPr>
              <w:pStyle w:val="P68B1DB1-Normal20"/>
              <w:spacing w:after="120" w:line="240" w:lineRule="auto"/>
              <w:rPr>
                <w:rFonts w:eastAsia="Calibri" w:cs="Times New Roman"/>
                <w:noProof/>
                <w:szCs w:val="18"/>
              </w:rPr>
            </w:pPr>
            <w:r>
              <w:rPr>
                <w:noProof/>
              </w:rPr>
              <w:t>2026</w:t>
            </w:r>
          </w:p>
        </w:tc>
        <w:tc>
          <w:tcPr>
            <w:tcW w:w="3544" w:type="dxa"/>
            <w:tcBorders>
              <w:top w:val="nil"/>
              <w:left w:val="nil"/>
              <w:bottom w:val="single" w:sz="4" w:space="0" w:color="auto"/>
              <w:right w:val="single" w:sz="4" w:space="0" w:color="auto"/>
            </w:tcBorders>
            <w:shd w:val="clear" w:color="auto" w:fill="C6EFCE"/>
            <w:noWrap/>
            <w:vAlign w:val="center"/>
          </w:tcPr>
          <w:p w14:paraId="3B647244" w14:textId="1C837D62" w:rsidR="0023462A" w:rsidRDefault="00A550FA">
            <w:pPr>
              <w:pStyle w:val="P68B1DB1-Normal32"/>
              <w:spacing w:after="120" w:line="240" w:lineRule="auto"/>
              <w:rPr>
                <w:noProof/>
              </w:rPr>
            </w:pPr>
            <w:r>
              <w:rPr>
                <w:noProof/>
              </w:rPr>
              <w:t>Entrée en vigueur de la décision du MEKH approuvant le code de réseau modifié. Le code de réseau:</w:t>
            </w:r>
          </w:p>
          <w:p w14:paraId="178075D2" w14:textId="7B6DD883" w:rsidR="0023462A" w:rsidRDefault="00A550FA">
            <w:pPr>
              <w:pStyle w:val="P68B1DB1-ListParagraph43"/>
              <w:numPr>
                <w:ilvl w:val="0"/>
                <w:numId w:val="134"/>
              </w:numPr>
              <w:spacing w:after="120" w:line="240" w:lineRule="auto"/>
              <w:ind w:left="224" w:hanging="224"/>
              <w:contextualSpacing w:val="0"/>
              <w:rPr>
                <w:rFonts w:eastAsia="Calibri"/>
                <w:noProof/>
              </w:rPr>
            </w:pPr>
            <w:r>
              <w:rPr>
                <w:noProof/>
              </w:rPr>
              <w:t>fixer un seuil d’au moins 1 MW pour les soumissions sur le marché d’équilibrage;</w:t>
            </w:r>
          </w:p>
          <w:p w14:paraId="3634A7F8" w14:textId="40181778" w:rsidR="0023462A" w:rsidRDefault="00A550FA">
            <w:pPr>
              <w:pStyle w:val="P68B1DB1-ListParagraph43"/>
              <w:numPr>
                <w:ilvl w:val="0"/>
                <w:numId w:val="134"/>
              </w:numPr>
              <w:spacing w:after="120" w:line="240" w:lineRule="auto"/>
              <w:ind w:left="224" w:hanging="224"/>
              <w:contextualSpacing w:val="0"/>
              <w:rPr>
                <w:rFonts w:eastAsia="Calibri"/>
                <w:noProof/>
              </w:rPr>
            </w:pPr>
            <w:r>
              <w:rPr>
                <w:noProof/>
              </w:rPr>
              <w:t>Supprimer les obstacles à l’intégration des producteurs et des installations de stockage d’électricité tributaires des conditions météorologiques dans le marché de la capacité d’équilibrage et le marché de l’énergie d’équilibrage.</w:t>
            </w:r>
          </w:p>
        </w:tc>
      </w:tr>
      <w:tr w:rsidR="0023462A" w14:paraId="69DB622E" w14:textId="77777777" w:rsidTr="00E672FD">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715E6DC2" w14:textId="1CC77E7F" w:rsidR="0023462A" w:rsidRDefault="00A550FA">
            <w:pPr>
              <w:pStyle w:val="P68B1DB1-Normal32"/>
              <w:spacing w:after="120" w:line="240" w:lineRule="auto"/>
              <w:rPr>
                <w:noProof/>
              </w:rPr>
            </w:pPr>
            <w:r>
              <w:rPr>
                <w:noProof/>
              </w:rPr>
              <w:t>109</w:t>
            </w:r>
          </w:p>
        </w:tc>
        <w:tc>
          <w:tcPr>
            <w:tcW w:w="1457" w:type="dxa"/>
            <w:tcBorders>
              <w:top w:val="nil"/>
              <w:left w:val="nil"/>
              <w:bottom w:val="single" w:sz="4" w:space="0" w:color="auto"/>
              <w:right w:val="single" w:sz="4" w:space="0" w:color="auto"/>
            </w:tcBorders>
            <w:shd w:val="clear" w:color="auto" w:fill="C6EFCE"/>
            <w:noWrap/>
            <w:vAlign w:val="center"/>
          </w:tcPr>
          <w:p w14:paraId="4EA5AE73" w14:textId="67515B7A" w:rsidR="0023462A" w:rsidRDefault="00A550FA">
            <w:pPr>
              <w:pStyle w:val="P68B1DB1-Normal32"/>
              <w:spacing w:after="120" w:line="240" w:lineRule="auto"/>
              <w:rPr>
                <w:noProof/>
              </w:rPr>
            </w:pPr>
            <w:r>
              <w:rPr>
                <w:noProof/>
              </w:rPr>
              <w:t>C9.R6: Élargir les communautés énergétiques</w:t>
            </w:r>
          </w:p>
        </w:tc>
        <w:tc>
          <w:tcPr>
            <w:tcW w:w="1418" w:type="dxa"/>
            <w:tcBorders>
              <w:top w:val="nil"/>
              <w:left w:val="nil"/>
              <w:bottom w:val="single" w:sz="4" w:space="0" w:color="auto"/>
              <w:right w:val="single" w:sz="4" w:space="0" w:color="auto"/>
            </w:tcBorders>
            <w:shd w:val="clear" w:color="auto" w:fill="C6EFCE"/>
            <w:noWrap/>
            <w:vAlign w:val="center"/>
          </w:tcPr>
          <w:p w14:paraId="45225F19" w14:textId="77777777" w:rsidR="0023462A" w:rsidRDefault="00A550FA">
            <w:pPr>
              <w:pStyle w:val="P68B1DB1-Normal32"/>
              <w:spacing w:after="120" w:line="240" w:lineRule="auto"/>
              <w:rPr>
                <w:noProof/>
              </w:rPr>
            </w:pPr>
            <w:r>
              <w:rPr>
                <w:noProof/>
              </w:rPr>
              <w:t>Étape</w:t>
            </w:r>
          </w:p>
        </w:tc>
        <w:tc>
          <w:tcPr>
            <w:tcW w:w="850" w:type="dxa"/>
            <w:tcBorders>
              <w:top w:val="nil"/>
              <w:left w:val="nil"/>
              <w:bottom w:val="single" w:sz="4" w:space="0" w:color="auto"/>
              <w:right w:val="single" w:sz="4" w:space="0" w:color="auto"/>
            </w:tcBorders>
            <w:shd w:val="clear" w:color="auto" w:fill="C6EFCE"/>
            <w:noWrap/>
            <w:vAlign w:val="center"/>
          </w:tcPr>
          <w:p w14:paraId="52A71C72" w14:textId="77777777" w:rsidR="0023462A" w:rsidRDefault="00A550FA">
            <w:pPr>
              <w:pStyle w:val="P68B1DB1-Normal32"/>
              <w:spacing w:after="120" w:line="240" w:lineRule="auto"/>
              <w:rPr>
                <w:noProof/>
              </w:rPr>
            </w:pPr>
            <w:r>
              <w:rPr>
                <w:noProof/>
              </w:rPr>
              <w:t>Entrée en vigueur du ou des actes juridiques</w:t>
            </w:r>
          </w:p>
        </w:tc>
        <w:tc>
          <w:tcPr>
            <w:tcW w:w="1559" w:type="dxa"/>
            <w:tcBorders>
              <w:top w:val="nil"/>
              <w:left w:val="nil"/>
              <w:bottom w:val="single" w:sz="4" w:space="0" w:color="auto"/>
              <w:right w:val="single" w:sz="4" w:space="0" w:color="auto"/>
            </w:tcBorders>
            <w:shd w:val="clear" w:color="auto" w:fill="C6EFCE"/>
            <w:noWrap/>
            <w:vAlign w:val="center"/>
          </w:tcPr>
          <w:p w14:paraId="6FFB1D80" w14:textId="77777777" w:rsidR="0023462A" w:rsidRDefault="00A550FA">
            <w:pPr>
              <w:pStyle w:val="P68B1DB1-Normal32"/>
              <w:spacing w:after="120" w:line="240" w:lineRule="auto"/>
              <w:rPr>
                <w:noProof/>
              </w:rPr>
            </w:pPr>
            <w:r>
              <w:rPr>
                <w:noProof/>
              </w:rPr>
              <w:t>Disposition de la loi indiquant l’entrée en vigueur du ou des actes juridiques</w:t>
            </w:r>
          </w:p>
        </w:tc>
        <w:tc>
          <w:tcPr>
            <w:tcW w:w="1843" w:type="dxa"/>
            <w:tcBorders>
              <w:top w:val="nil"/>
              <w:left w:val="nil"/>
              <w:bottom w:val="single" w:sz="4" w:space="0" w:color="auto"/>
              <w:right w:val="single" w:sz="4" w:space="0" w:color="auto"/>
            </w:tcBorders>
            <w:shd w:val="clear" w:color="auto" w:fill="C6EFCE"/>
            <w:noWrap/>
            <w:vAlign w:val="center"/>
          </w:tcPr>
          <w:p w14:paraId="0FA79A69" w14:textId="77777777" w:rsidR="0023462A" w:rsidRDefault="0023462A">
            <w:pPr>
              <w:spacing w:after="120" w:line="240" w:lineRule="auto"/>
              <w:rPr>
                <w:rFonts w:ascii="Times New Roman" w:eastAsia="Calibri" w:hAnsi="Times New Roman" w:cs="Times New Roman"/>
                <w:noProof/>
                <w:sz w:val="18"/>
                <w:szCs w:val="18"/>
              </w:rPr>
            </w:pPr>
          </w:p>
        </w:tc>
        <w:tc>
          <w:tcPr>
            <w:tcW w:w="1276" w:type="dxa"/>
            <w:tcBorders>
              <w:top w:val="nil"/>
              <w:left w:val="nil"/>
              <w:bottom w:val="single" w:sz="4" w:space="0" w:color="auto"/>
              <w:right w:val="single" w:sz="4" w:space="0" w:color="auto"/>
            </w:tcBorders>
            <w:shd w:val="clear" w:color="auto" w:fill="C6EFCE"/>
            <w:noWrap/>
            <w:vAlign w:val="center"/>
          </w:tcPr>
          <w:p w14:paraId="2BDB58A1" w14:textId="77777777" w:rsidR="0023462A" w:rsidRDefault="0023462A">
            <w:pPr>
              <w:spacing w:after="120" w:line="240" w:lineRule="auto"/>
              <w:rPr>
                <w:rFonts w:ascii="Times New Roman" w:eastAsia="Calibri"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vAlign w:val="center"/>
          </w:tcPr>
          <w:p w14:paraId="18E3F1F5" w14:textId="77777777" w:rsidR="0023462A" w:rsidRDefault="0023462A">
            <w:pPr>
              <w:spacing w:after="120" w:line="240" w:lineRule="auto"/>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7BC5F2D5" w14:textId="7749366D" w:rsidR="0023462A" w:rsidRDefault="00A550FA">
            <w:pPr>
              <w:pStyle w:val="P68B1DB1-Normal20"/>
              <w:spacing w:after="120" w:line="240" w:lineRule="auto"/>
              <w:rPr>
                <w:rFonts w:eastAsia="Calibri" w:cs="Times New Roman"/>
                <w:noProof/>
                <w:szCs w:val="18"/>
              </w:rPr>
            </w:pPr>
            <w:r>
              <w:rPr>
                <w:noProof/>
              </w:rPr>
              <w:t>T2</w:t>
            </w:r>
          </w:p>
        </w:tc>
        <w:tc>
          <w:tcPr>
            <w:tcW w:w="1134" w:type="dxa"/>
            <w:tcBorders>
              <w:top w:val="nil"/>
              <w:left w:val="nil"/>
              <w:bottom w:val="single" w:sz="4" w:space="0" w:color="auto"/>
              <w:right w:val="single" w:sz="4" w:space="0" w:color="auto"/>
            </w:tcBorders>
            <w:shd w:val="clear" w:color="auto" w:fill="C6EFCE"/>
            <w:noWrap/>
            <w:vAlign w:val="center"/>
          </w:tcPr>
          <w:p w14:paraId="7401C35F" w14:textId="4EB9D9A6" w:rsidR="0023462A" w:rsidRDefault="00A550FA">
            <w:pPr>
              <w:pStyle w:val="P68B1DB1-Normal20"/>
              <w:spacing w:after="120" w:line="240" w:lineRule="auto"/>
              <w:rPr>
                <w:rFonts w:eastAsia="Calibri" w:cs="Times New Roman"/>
                <w:noProof/>
                <w:szCs w:val="18"/>
              </w:rPr>
            </w:pPr>
            <w:r>
              <w:rPr>
                <w:noProof/>
              </w:rPr>
              <w:t>2026</w:t>
            </w:r>
          </w:p>
        </w:tc>
        <w:tc>
          <w:tcPr>
            <w:tcW w:w="3544" w:type="dxa"/>
            <w:tcBorders>
              <w:top w:val="nil"/>
              <w:left w:val="nil"/>
              <w:bottom w:val="single" w:sz="4" w:space="0" w:color="auto"/>
              <w:right w:val="single" w:sz="4" w:space="0" w:color="auto"/>
            </w:tcBorders>
            <w:shd w:val="clear" w:color="auto" w:fill="C6EFCE"/>
            <w:noWrap/>
            <w:vAlign w:val="center"/>
          </w:tcPr>
          <w:p w14:paraId="02B1063B" w14:textId="77777777" w:rsidR="0023462A" w:rsidRDefault="00A550FA">
            <w:pPr>
              <w:pStyle w:val="P68B1DB1-Normal32"/>
              <w:spacing w:after="120" w:line="240" w:lineRule="auto"/>
              <w:rPr>
                <w:noProof/>
              </w:rPr>
            </w:pPr>
            <w:r>
              <w:rPr>
                <w:noProof/>
              </w:rPr>
              <w:t>Entrée en vigueur du ou des actes juridiques qui:</w:t>
            </w:r>
          </w:p>
          <w:p w14:paraId="5C48BC81" w14:textId="1F2135CE" w:rsidR="0023462A" w:rsidRDefault="00A550FA">
            <w:pPr>
              <w:pStyle w:val="P68B1DB1-ListParagraph43"/>
              <w:numPr>
                <w:ilvl w:val="0"/>
                <w:numId w:val="131"/>
              </w:numPr>
              <w:spacing w:after="120" w:line="240" w:lineRule="auto"/>
              <w:ind w:left="218" w:hanging="218"/>
              <w:contextualSpacing w:val="0"/>
              <w:rPr>
                <w:noProof/>
              </w:rPr>
            </w:pPr>
            <w:r>
              <w:rPr>
                <w:noProof/>
              </w:rPr>
              <w:t>élargir les possibilités de formes juridiques dans lesquelles des communautés énergétiques peuvent être établies et établir des règles régissant le fonctionnement de ces entités;</w:t>
            </w:r>
          </w:p>
          <w:p w14:paraId="6D748E1C" w14:textId="4ADF9E6E" w:rsidR="0023462A" w:rsidRDefault="00A550FA">
            <w:pPr>
              <w:pStyle w:val="P68B1DB1-ListParagraph43"/>
              <w:numPr>
                <w:ilvl w:val="0"/>
                <w:numId w:val="131"/>
              </w:numPr>
              <w:spacing w:after="120" w:line="240" w:lineRule="auto"/>
              <w:ind w:left="218" w:hanging="218"/>
              <w:contextualSpacing w:val="0"/>
              <w:rPr>
                <w:rFonts w:eastAsia="Times New Roman"/>
                <w:noProof/>
              </w:rPr>
            </w:pPr>
            <w:r>
              <w:rPr>
                <w:noProof/>
              </w:rPr>
              <w:t>élargir les services que les communautés énergétiques peuvent fournir à leurs membres;</w:t>
            </w:r>
          </w:p>
          <w:p w14:paraId="2B7CB292" w14:textId="52DF992A" w:rsidR="0023462A" w:rsidRDefault="00A550FA">
            <w:pPr>
              <w:pStyle w:val="P68B1DB1-ListParagraph43"/>
              <w:numPr>
                <w:ilvl w:val="0"/>
                <w:numId w:val="131"/>
              </w:numPr>
              <w:spacing w:after="120" w:line="240" w:lineRule="auto"/>
              <w:ind w:left="218" w:hanging="218"/>
              <w:contextualSpacing w:val="0"/>
              <w:rPr>
                <w:noProof/>
              </w:rPr>
            </w:pPr>
            <w:r>
              <w:rPr>
                <w:noProof/>
              </w:rPr>
              <w:t xml:space="preserve"> b) établir des règles pour le règlement et la comptabilisation du partage d'énergie entre les résidents des immeubles comprenant plusieurs appartements qui agissent à titre de communauté énergétique résidentielle.</w:t>
            </w:r>
          </w:p>
        </w:tc>
      </w:tr>
      <w:tr w:rsidR="0023462A" w14:paraId="4D7605F8" w14:textId="77777777" w:rsidTr="00E672FD">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20526211" w14:textId="12149EAC" w:rsidR="0023462A" w:rsidRDefault="00A550FA">
            <w:pPr>
              <w:pStyle w:val="P68B1DB1-Normal32"/>
              <w:spacing w:after="120" w:line="240" w:lineRule="auto"/>
              <w:rPr>
                <w:noProof/>
              </w:rPr>
            </w:pPr>
            <w:r>
              <w:rPr>
                <w:noProof/>
              </w:rPr>
              <w:t>110</w:t>
            </w:r>
          </w:p>
        </w:tc>
        <w:tc>
          <w:tcPr>
            <w:tcW w:w="1457" w:type="dxa"/>
            <w:tcBorders>
              <w:top w:val="nil"/>
              <w:left w:val="nil"/>
              <w:bottom w:val="single" w:sz="4" w:space="0" w:color="auto"/>
              <w:right w:val="single" w:sz="4" w:space="0" w:color="auto"/>
            </w:tcBorders>
            <w:shd w:val="clear" w:color="auto" w:fill="C6EFCE"/>
            <w:noWrap/>
            <w:vAlign w:val="center"/>
          </w:tcPr>
          <w:p w14:paraId="1388FA79" w14:textId="2691829C" w:rsidR="0023462A" w:rsidRDefault="00A550FA">
            <w:pPr>
              <w:pStyle w:val="P68B1DB1-Normal32"/>
              <w:spacing w:after="120" w:line="240" w:lineRule="auto"/>
              <w:rPr>
                <w:noProof/>
              </w:rPr>
            </w:pPr>
            <w:r>
              <w:rPr>
                <w:noProof/>
              </w:rPr>
              <w:t>C9.R7: Incitations juridiques à l’adoption du stockage de l’énergie</w:t>
            </w:r>
          </w:p>
        </w:tc>
        <w:tc>
          <w:tcPr>
            <w:tcW w:w="1418" w:type="dxa"/>
            <w:tcBorders>
              <w:top w:val="nil"/>
              <w:left w:val="nil"/>
              <w:bottom w:val="single" w:sz="4" w:space="0" w:color="auto"/>
              <w:right w:val="single" w:sz="4" w:space="0" w:color="auto"/>
            </w:tcBorders>
            <w:shd w:val="clear" w:color="auto" w:fill="C6EFCE"/>
            <w:noWrap/>
            <w:vAlign w:val="center"/>
          </w:tcPr>
          <w:p w14:paraId="08FDB4B3" w14:textId="77777777" w:rsidR="0023462A" w:rsidRDefault="00A550FA">
            <w:pPr>
              <w:pStyle w:val="P68B1DB1-Normal32"/>
              <w:spacing w:after="120" w:line="240" w:lineRule="auto"/>
              <w:rPr>
                <w:noProof/>
              </w:rPr>
            </w:pPr>
            <w:r>
              <w:rPr>
                <w:noProof/>
              </w:rPr>
              <w:t>Étape</w:t>
            </w:r>
          </w:p>
        </w:tc>
        <w:tc>
          <w:tcPr>
            <w:tcW w:w="850" w:type="dxa"/>
            <w:tcBorders>
              <w:top w:val="nil"/>
              <w:left w:val="nil"/>
              <w:bottom w:val="single" w:sz="4" w:space="0" w:color="auto"/>
              <w:right w:val="single" w:sz="4" w:space="0" w:color="auto"/>
            </w:tcBorders>
            <w:shd w:val="clear" w:color="auto" w:fill="C6EFCE"/>
            <w:noWrap/>
            <w:vAlign w:val="center"/>
          </w:tcPr>
          <w:p w14:paraId="0809E81C" w14:textId="77777777" w:rsidR="0023462A" w:rsidRDefault="00A550FA">
            <w:pPr>
              <w:pStyle w:val="P68B1DB1-Normal32"/>
              <w:spacing w:after="120" w:line="240" w:lineRule="auto"/>
              <w:rPr>
                <w:noProof/>
              </w:rPr>
            </w:pPr>
            <w:r>
              <w:rPr>
                <w:noProof/>
              </w:rPr>
              <w:t>Entrée en vigueur du ou des actes juridiques</w:t>
            </w:r>
          </w:p>
        </w:tc>
        <w:tc>
          <w:tcPr>
            <w:tcW w:w="1559" w:type="dxa"/>
            <w:tcBorders>
              <w:top w:val="nil"/>
              <w:left w:val="nil"/>
              <w:bottom w:val="single" w:sz="4" w:space="0" w:color="auto"/>
              <w:right w:val="single" w:sz="4" w:space="0" w:color="auto"/>
            </w:tcBorders>
            <w:shd w:val="clear" w:color="auto" w:fill="C6EFCE"/>
            <w:noWrap/>
            <w:vAlign w:val="center"/>
          </w:tcPr>
          <w:p w14:paraId="7F1A2CAC" w14:textId="77777777" w:rsidR="0023462A" w:rsidRDefault="00A550FA">
            <w:pPr>
              <w:pStyle w:val="P68B1DB1-Normal32"/>
              <w:spacing w:after="120" w:line="240" w:lineRule="auto"/>
              <w:rPr>
                <w:noProof/>
              </w:rPr>
            </w:pPr>
            <w:r>
              <w:rPr>
                <w:noProof/>
              </w:rPr>
              <w:t>Disposition de la loi indiquant l’entrée en vigueur du ou des actes juridiques</w:t>
            </w:r>
          </w:p>
        </w:tc>
        <w:tc>
          <w:tcPr>
            <w:tcW w:w="1843" w:type="dxa"/>
            <w:tcBorders>
              <w:top w:val="nil"/>
              <w:left w:val="nil"/>
              <w:bottom w:val="single" w:sz="4" w:space="0" w:color="auto"/>
              <w:right w:val="single" w:sz="4" w:space="0" w:color="auto"/>
            </w:tcBorders>
            <w:shd w:val="clear" w:color="auto" w:fill="C6EFCE"/>
            <w:noWrap/>
            <w:vAlign w:val="center"/>
          </w:tcPr>
          <w:p w14:paraId="2A30ACA9" w14:textId="77777777" w:rsidR="0023462A" w:rsidRDefault="0023462A">
            <w:pPr>
              <w:spacing w:after="120" w:line="240" w:lineRule="auto"/>
              <w:rPr>
                <w:rFonts w:ascii="Times New Roman" w:eastAsia="Calibri" w:hAnsi="Times New Roman" w:cs="Times New Roman"/>
                <w:noProof/>
                <w:sz w:val="18"/>
                <w:szCs w:val="18"/>
              </w:rPr>
            </w:pPr>
          </w:p>
        </w:tc>
        <w:tc>
          <w:tcPr>
            <w:tcW w:w="1276" w:type="dxa"/>
            <w:tcBorders>
              <w:top w:val="nil"/>
              <w:left w:val="nil"/>
              <w:bottom w:val="single" w:sz="4" w:space="0" w:color="auto"/>
              <w:right w:val="single" w:sz="4" w:space="0" w:color="auto"/>
            </w:tcBorders>
            <w:shd w:val="clear" w:color="auto" w:fill="C6EFCE"/>
            <w:noWrap/>
            <w:vAlign w:val="center"/>
          </w:tcPr>
          <w:p w14:paraId="285C91B5" w14:textId="77777777" w:rsidR="0023462A" w:rsidRDefault="0023462A">
            <w:pPr>
              <w:spacing w:after="120" w:line="240" w:lineRule="auto"/>
              <w:rPr>
                <w:rFonts w:ascii="Times New Roman" w:eastAsia="Calibri"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vAlign w:val="center"/>
          </w:tcPr>
          <w:p w14:paraId="024E9D15" w14:textId="77777777" w:rsidR="0023462A" w:rsidRDefault="0023462A">
            <w:pPr>
              <w:spacing w:after="120" w:line="240" w:lineRule="auto"/>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1CECD751" w14:textId="7FCDB5BA" w:rsidR="0023462A" w:rsidRDefault="00A550FA">
            <w:pPr>
              <w:pStyle w:val="P68B1DB1-Normal20"/>
              <w:spacing w:after="120" w:line="240" w:lineRule="auto"/>
              <w:rPr>
                <w:rFonts w:eastAsia="Calibri" w:cs="Times New Roman"/>
                <w:noProof/>
                <w:szCs w:val="18"/>
              </w:rPr>
            </w:pPr>
            <w:r>
              <w:rPr>
                <w:noProof/>
              </w:rPr>
              <w:t>T2</w:t>
            </w:r>
          </w:p>
        </w:tc>
        <w:tc>
          <w:tcPr>
            <w:tcW w:w="1134" w:type="dxa"/>
            <w:tcBorders>
              <w:top w:val="nil"/>
              <w:left w:val="nil"/>
              <w:bottom w:val="single" w:sz="4" w:space="0" w:color="auto"/>
              <w:right w:val="single" w:sz="4" w:space="0" w:color="auto"/>
            </w:tcBorders>
            <w:shd w:val="clear" w:color="auto" w:fill="C6EFCE"/>
            <w:noWrap/>
            <w:vAlign w:val="center"/>
          </w:tcPr>
          <w:p w14:paraId="450D0A1B" w14:textId="11C1A39F" w:rsidR="0023462A" w:rsidRDefault="00A550FA">
            <w:pPr>
              <w:pStyle w:val="P68B1DB1-Normal20"/>
              <w:spacing w:after="120" w:line="240" w:lineRule="auto"/>
              <w:rPr>
                <w:rFonts w:eastAsia="Calibri" w:cs="Times New Roman"/>
                <w:noProof/>
                <w:szCs w:val="18"/>
              </w:rPr>
            </w:pPr>
            <w:r>
              <w:rPr>
                <w:noProof/>
              </w:rPr>
              <w:t>2026</w:t>
            </w:r>
          </w:p>
        </w:tc>
        <w:tc>
          <w:tcPr>
            <w:tcW w:w="3544" w:type="dxa"/>
            <w:tcBorders>
              <w:top w:val="nil"/>
              <w:left w:val="nil"/>
              <w:bottom w:val="single" w:sz="4" w:space="0" w:color="auto"/>
              <w:right w:val="single" w:sz="4" w:space="0" w:color="auto"/>
            </w:tcBorders>
            <w:shd w:val="clear" w:color="auto" w:fill="C6EFCE"/>
            <w:noWrap/>
            <w:vAlign w:val="center"/>
          </w:tcPr>
          <w:p w14:paraId="204989D3" w14:textId="77777777" w:rsidR="0023462A" w:rsidRDefault="00A550FA">
            <w:pPr>
              <w:pStyle w:val="P68B1DB1-Normal32"/>
              <w:spacing w:after="120" w:line="240" w:lineRule="auto"/>
              <w:rPr>
                <w:noProof/>
              </w:rPr>
            </w:pPr>
            <w:r>
              <w:rPr>
                <w:noProof/>
              </w:rPr>
              <w:t>Entrée en vigueur du ou des actes juridiques qui:</w:t>
            </w:r>
          </w:p>
          <w:p w14:paraId="69899B09" w14:textId="1D1B84AC" w:rsidR="0023462A" w:rsidRDefault="00A550FA">
            <w:pPr>
              <w:pStyle w:val="P68B1DB1-ListParagraph43"/>
              <w:numPr>
                <w:ilvl w:val="0"/>
                <w:numId w:val="132"/>
              </w:numPr>
              <w:spacing w:after="120" w:line="240" w:lineRule="auto"/>
              <w:ind w:left="218" w:hanging="218"/>
              <w:contextualSpacing w:val="0"/>
              <w:rPr>
                <w:noProof/>
              </w:rPr>
            </w:pPr>
            <w:r>
              <w:rPr>
                <w:noProof/>
              </w:rPr>
              <w:t xml:space="preserve">permettre la colocation de générateurs de stockage et de générateurs dépendants des conditions météorologiques (éolien et solaire); </w:t>
            </w:r>
          </w:p>
          <w:p w14:paraId="29E83CEC" w14:textId="6D00D233" w:rsidR="0023462A" w:rsidRDefault="00A550FA">
            <w:pPr>
              <w:pStyle w:val="P68B1DB1-ListParagraph43"/>
              <w:numPr>
                <w:ilvl w:val="0"/>
                <w:numId w:val="132"/>
              </w:numPr>
              <w:spacing w:after="120" w:line="240" w:lineRule="auto"/>
              <w:ind w:left="218" w:hanging="218"/>
              <w:contextualSpacing w:val="0"/>
              <w:rPr>
                <w:noProof/>
              </w:rPr>
            </w:pPr>
            <w:r>
              <w:rPr>
                <w:noProof/>
              </w:rPr>
              <w:t>garantir la contrôlabilité à distance des installations de stockage d’une capacité supérieure à 0,2 MW.</w:t>
            </w:r>
          </w:p>
        </w:tc>
      </w:tr>
      <w:tr w:rsidR="0023462A" w14:paraId="5F6701D8" w14:textId="77777777" w:rsidTr="00E672FD">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43CFEBF0" w14:textId="7DE5F048" w:rsidR="0023462A" w:rsidRDefault="00A550FA">
            <w:pPr>
              <w:pStyle w:val="P68B1DB1-Normal32"/>
              <w:spacing w:after="120" w:line="240" w:lineRule="auto"/>
              <w:rPr>
                <w:noProof/>
              </w:rPr>
            </w:pPr>
            <w:r>
              <w:rPr>
                <w:noProof/>
              </w:rPr>
              <w:t>111</w:t>
            </w:r>
          </w:p>
        </w:tc>
        <w:tc>
          <w:tcPr>
            <w:tcW w:w="1457" w:type="dxa"/>
            <w:tcBorders>
              <w:top w:val="nil"/>
              <w:left w:val="nil"/>
              <w:bottom w:val="single" w:sz="4" w:space="0" w:color="auto"/>
              <w:right w:val="single" w:sz="4" w:space="0" w:color="auto"/>
            </w:tcBorders>
            <w:shd w:val="clear" w:color="auto" w:fill="C6EFCE"/>
            <w:noWrap/>
            <w:vAlign w:val="center"/>
          </w:tcPr>
          <w:p w14:paraId="1A9B1ECC" w14:textId="4E0056B4" w:rsidR="0023462A" w:rsidRDefault="00A550FA">
            <w:pPr>
              <w:pStyle w:val="P68B1DB1-Normal32"/>
              <w:spacing w:after="120" w:line="240" w:lineRule="auto"/>
              <w:rPr>
                <w:noProof/>
              </w:rPr>
            </w:pPr>
            <w:r>
              <w:rPr>
                <w:noProof/>
              </w:rPr>
              <w:t xml:space="preserve">C10.R8: Modifications d’actes juridiques intégrant l’énergie géothermique </w:t>
            </w:r>
          </w:p>
        </w:tc>
        <w:tc>
          <w:tcPr>
            <w:tcW w:w="1418" w:type="dxa"/>
            <w:tcBorders>
              <w:top w:val="nil"/>
              <w:left w:val="nil"/>
              <w:bottom w:val="single" w:sz="4" w:space="0" w:color="auto"/>
              <w:right w:val="single" w:sz="4" w:space="0" w:color="auto"/>
            </w:tcBorders>
            <w:shd w:val="clear" w:color="auto" w:fill="C6EFCE"/>
            <w:noWrap/>
            <w:vAlign w:val="center"/>
          </w:tcPr>
          <w:p w14:paraId="4BF92BF6" w14:textId="77777777" w:rsidR="0023462A" w:rsidRDefault="00A550FA">
            <w:pPr>
              <w:pStyle w:val="P68B1DB1-Normal32"/>
              <w:spacing w:after="120" w:line="240" w:lineRule="auto"/>
              <w:rPr>
                <w:noProof/>
              </w:rPr>
            </w:pPr>
            <w:r>
              <w:rPr>
                <w:noProof/>
              </w:rPr>
              <w:t>Étape</w:t>
            </w:r>
          </w:p>
        </w:tc>
        <w:tc>
          <w:tcPr>
            <w:tcW w:w="850" w:type="dxa"/>
            <w:tcBorders>
              <w:top w:val="nil"/>
              <w:left w:val="nil"/>
              <w:bottom w:val="single" w:sz="4" w:space="0" w:color="auto"/>
              <w:right w:val="single" w:sz="4" w:space="0" w:color="auto"/>
            </w:tcBorders>
            <w:shd w:val="clear" w:color="auto" w:fill="C6EFCE"/>
            <w:noWrap/>
            <w:vAlign w:val="center"/>
          </w:tcPr>
          <w:p w14:paraId="31184A85" w14:textId="77777777" w:rsidR="0023462A" w:rsidRDefault="00A550FA">
            <w:pPr>
              <w:pStyle w:val="P68B1DB1-Normal32"/>
              <w:spacing w:after="120" w:line="240" w:lineRule="auto"/>
              <w:rPr>
                <w:noProof/>
              </w:rPr>
            </w:pPr>
            <w:r>
              <w:rPr>
                <w:noProof/>
              </w:rPr>
              <w:t xml:space="preserve">Entrée en vigueur de la ou des modifications apportées à un ou plusieurs actes juridiques intégrant l’énergie géothermique </w:t>
            </w:r>
          </w:p>
        </w:tc>
        <w:tc>
          <w:tcPr>
            <w:tcW w:w="1559" w:type="dxa"/>
            <w:tcBorders>
              <w:top w:val="nil"/>
              <w:left w:val="nil"/>
              <w:bottom w:val="single" w:sz="4" w:space="0" w:color="auto"/>
              <w:right w:val="single" w:sz="4" w:space="0" w:color="auto"/>
            </w:tcBorders>
            <w:shd w:val="clear" w:color="auto" w:fill="C6EFCE"/>
            <w:noWrap/>
            <w:vAlign w:val="center"/>
          </w:tcPr>
          <w:p w14:paraId="0137D68C" w14:textId="5B3F2987" w:rsidR="0023462A" w:rsidRDefault="00A550FA">
            <w:pPr>
              <w:pStyle w:val="P68B1DB1-Normal32"/>
              <w:autoSpaceDE w:val="0"/>
              <w:autoSpaceDN w:val="0"/>
              <w:adjustRightInd w:val="0"/>
              <w:spacing w:after="120" w:line="240" w:lineRule="auto"/>
              <w:rPr>
                <w:noProof/>
              </w:rPr>
            </w:pPr>
            <w:r>
              <w:rPr>
                <w:noProof/>
              </w:rPr>
              <w:t>Disposition de la loi indiquant l’entrée en vigueur du ou des actes juridiques</w:t>
            </w:r>
          </w:p>
        </w:tc>
        <w:tc>
          <w:tcPr>
            <w:tcW w:w="1843" w:type="dxa"/>
            <w:tcBorders>
              <w:top w:val="nil"/>
              <w:left w:val="nil"/>
              <w:bottom w:val="single" w:sz="4" w:space="0" w:color="auto"/>
              <w:right w:val="single" w:sz="4" w:space="0" w:color="auto"/>
            </w:tcBorders>
            <w:shd w:val="clear" w:color="auto" w:fill="C6EFCE"/>
            <w:noWrap/>
            <w:vAlign w:val="center"/>
          </w:tcPr>
          <w:p w14:paraId="562E7301" w14:textId="77777777" w:rsidR="0023462A" w:rsidRDefault="00A550FA">
            <w:pPr>
              <w:pStyle w:val="P68B1DB1-Normal32"/>
              <w:spacing w:after="120" w:line="240" w:lineRule="auto"/>
              <w:rPr>
                <w:rFonts w:eastAsia="Calibri"/>
                <w:noProof/>
              </w:rPr>
            </w:pPr>
            <w:r>
              <w:rPr>
                <w:noProof/>
              </w:rPr>
              <w:t xml:space="preserve"> </w:t>
            </w:r>
          </w:p>
        </w:tc>
        <w:tc>
          <w:tcPr>
            <w:tcW w:w="1276" w:type="dxa"/>
            <w:tcBorders>
              <w:top w:val="nil"/>
              <w:left w:val="nil"/>
              <w:bottom w:val="single" w:sz="4" w:space="0" w:color="auto"/>
              <w:right w:val="single" w:sz="4" w:space="0" w:color="auto"/>
            </w:tcBorders>
            <w:shd w:val="clear" w:color="auto" w:fill="C6EFCE"/>
            <w:noWrap/>
            <w:vAlign w:val="center"/>
          </w:tcPr>
          <w:p w14:paraId="4EFEC568" w14:textId="77777777" w:rsidR="0023462A" w:rsidRDefault="00A550FA">
            <w:pPr>
              <w:pStyle w:val="P68B1DB1-Normal32"/>
              <w:spacing w:after="120" w:line="240" w:lineRule="auto"/>
              <w:rPr>
                <w:rFonts w:eastAsia="Calibri"/>
                <w:noProof/>
              </w:rPr>
            </w:pPr>
            <w:r>
              <w:rPr>
                <w:noProof/>
              </w:rPr>
              <w:t xml:space="preserve"> </w:t>
            </w:r>
          </w:p>
        </w:tc>
        <w:tc>
          <w:tcPr>
            <w:tcW w:w="850" w:type="dxa"/>
            <w:tcBorders>
              <w:top w:val="nil"/>
              <w:left w:val="nil"/>
              <w:bottom w:val="single" w:sz="4" w:space="0" w:color="auto"/>
              <w:right w:val="single" w:sz="4" w:space="0" w:color="auto"/>
            </w:tcBorders>
            <w:shd w:val="clear" w:color="auto" w:fill="C6EFCE"/>
            <w:noWrap/>
            <w:vAlign w:val="center"/>
          </w:tcPr>
          <w:p w14:paraId="1EE7F622" w14:textId="77777777" w:rsidR="0023462A" w:rsidRDefault="00A550FA">
            <w:pPr>
              <w:pStyle w:val="P68B1DB1-Normal32"/>
              <w:spacing w:after="120" w:line="240" w:lineRule="auto"/>
              <w:rPr>
                <w:rFonts w:eastAsia="Calibri"/>
                <w:noProof/>
              </w:rPr>
            </w:pPr>
            <w:r>
              <w:rPr>
                <w:noProof/>
              </w:rPr>
              <w:t xml:space="preserve"> </w:t>
            </w:r>
          </w:p>
        </w:tc>
        <w:tc>
          <w:tcPr>
            <w:tcW w:w="851" w:type="dxa"/>
            <w:tcBorders>
              <w:top w:val="nil"/>
              <w:left w:val="nil"/>
              <w:bottom w:val="single" w:sz="4" w:space="0" w:color="auto"/>
              <w:right w:val="single" w:sz="4" w:space="0" w:color="auto"/>
            </w:tcBorders>
            <w:shd w:val="clear" w:color="auto" w:fill="C6EFCE"/>
            <w:noWrap/>
            <w:vAlign w:val="center"/>
          </w:tcPr>
          <w:p w14:paraId="43DA378A" w14:textId="65B530C1" w:rsidR="0023462A" w:rsidRDefault="00A550FA">
            <w:pPr>
              <w:pStyle w:val="P68B1DB1-Normal20"/>
              <w:spacing w:after="120" w:line="240" w:lineRule="auto"/>
              <w:rPr>
                <w:rFonts w:eastAsia="Calibri" w:cs="Times New Roman"/>
                <w:noProof/>
                <w:szCs w:val="18"/>
              </w:rPr>
            </w:pPr>
            <w:r>
              <w:rPr>
                <w:noProof/>
              </w:rPr>
              <w:t>T2</w:t>
            </w:r>
          </w:p>
        </w:tc>
        <w:tc>
          <w:tcPr>
            <w:tcW w:w="1134" w:type="dxa"/>
            <w:tcBorders>
              <w:top w:val="nil"/>
              <w:left w:val="nil"/>
              <w:bottom w:val="single" w:sz="4" w:space="0" w:color="auto"/>
              <w:right w:val="single" w:sz="4" w:space="0" w:color="auto"/>
            </w:tcBorders>
            <w:shd w:val="clear" w:color="auto" w:fill="C6EFCE"/>
            <w:noWrap/>
            <w:vAlign w:val="center"/>
          </w:tcPr>
          <w:p w14:paraId="25918406" w14:textId="731C4D07" w:rsidR="0023462A" w:rsidRDefault="00A550FA">
            <w:pPr>
              <w:pStyle w:val="P68B1DB1-Normal20"/>
              <w:spacing w:after="120" w:line="240" w:lineRule="auto"/>
              <w:rPr>
                <w:rFonts w:eastAsia="Calibri" w:cs="Times New Roman"/>
                <w:noProof/>
                <w:szCs w:val="18"/>
              </w:rPr>
            </w:pPr>
            <w:r>
              <w:rPr>
                <w:noProof/>
              </w:rPr>
              <w:t>2026</w:t>
            </w:r>
          </w:p>
        </w:tc>
        <w:tc>
          <w:tcPr>
            <w:tcW w:w="3544" w:type="dxa"/>
            <w:tcBorders>
              <w:top w:val="nil"/>
              <w:left w:val="nil"/>
              <w:bottom w:val="single" w:sz="4" w:space="0" w:color="auto"/>
              <w:right w:val="single" w:sz="4" w:space="0" w:color="auto"/>
            </w:tcBorders>
            <w:shd w:val="clear" w:color="auto" w:fill="C6EFCE"/>
            <w:noWrap/>
            <w:vAlign w:val="center"/>
          </w:tcPr>
          <w:p w14:paraId="5A829A51" w14:textId="41AD8EAF" w:rsidR="0023462A" w:rsidRDefault="00A550FA">
            <w:pPr>
              <w:pStyle w:val="P68B1DB1-Normal32"/>
              <w:spacing w:after="120" w:line="240" w:lineRule="auto"/>
              <w:rPr>
                <w:noProof/>
              </w:rPr>
            </w:pPr>
            <w:r>
              <w:rPr>
                <w:noProof/>
              </w:rPr>
              <w:t xml:space="preserve">Entrée en vigueur de la ou des modifications apportées à l’acte ou aux actes juridiques sur les procédures et les conditions d’octroi des autorisations d’exploration et d’exploitation de l’énergie géothermique. </w:t>
            </w:r>
          </w:p>
        </w:tc>
      </w:tr>
      <w:tr w:rsidR="0023462A" w14:paraId="2DFD75E5" w14:textId="77777777" w:rsidTr="00E672FD">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43DA09C7" w14:textId="262C907B" w:rsidR="0023462A" w:rsidRDefault="00A550FA">
            <w:pPr>
              <w:pStyle w:val="P68B1DB1-Normal27"/>
              <w:spacing w:after="120" w:line="240" w:lineRule="auto"/>
              <w:rPr>
                <w:noProof/>
              </w:rPr>
            </w:pPr>
            <w:r>
              <w:rPr>
                <w:noProof/>
              </w:rPr>
              <w:t>112</w:t>
            </w:r>
          </w:p>
        </w:tc>
        <w:tc>
          <w:tcPr>
            <w:tcW w:w="1457" w:type="dxa"/>
            <w:tcBorders>
              <w:top w:val="nil"/>
              <w:left w:val="nil"/>
              <w:bottom w:val="single" w:sz="4" w:space="0" w:color="auto"/>
              <w:right w:val="single" w:sz="4" w:space="0" w:color="auto"/>
            </w:tcBorders>
            <w:shd w:val="clear" w:color="auto" w:fill="C6EFCE"/>
            <w:noWrap/>
            <w:vAlign w:val="center"/>
          </w:tcPr>
          <w:p w14:paraId="1EB5F3C2" w14:textId="72ABBF90" w:rsidR="0023462A" w:rsidRDefault="00A550FA">
            <w:pPr>
              <w:pStyle w:val="P68B1DB1-Normal32"/>
              <w:spacing w:after="120" w:line="240" w:lineRule="auto"/>
              <w:rPr>
                <w:noProof/>
              </w:rPr>
            </w:pPr>
            <w:r>
              <w:rPr>
                <w:noProof/>
              </w:rPr>
              <w:t>C9.I1. Mesure à plus grande échelle: Régime de subventions pour le développement du réseau électrique</w:t>
            </w:r>
          </w:p>
        </w:tc>
        <w:tc>
          <w:tcPr>
            <w:tcW w:w="1418" w:type="dxa"/>
            <w:tcBorders>
              <w:top w:val="nil"/>
              <w:left w:val="nil"/>
              <w:bottom w:val="single" w:sz="4" w:space="0" w:color="auto"/>
              <w:right w:val="single" w:sz="4" w:space="0" w:color="auto"/>
            </w:tcBorders>
            <w:shd w:val="clear" w:color="auto" w:fill="C6EFCE"/>
            <w:noWrap/>
            <w:vAlign w:val="center"/>
          </w:tcPr>
          <w:p w14:paraId="4555127F" w14:textId="3041757F" w:rsidR="0023462A" w:rsidRDefault="00A550FA">
            <w:pPr>
              <w:pStyle w:val="P68B1DB1-Normal27"/>
              <w:spacing w:after="120" w:line="240" w:lineRule="auto"/>
              <w:rPr>
                <w:noProof/>
              </w:rPr>
            </w:pPr>
            <w:r>
              <w:rPr>
                <w:noProof/>
              </w:rPr>
              <w:t>Objectif</w:t>
            </w:r>
          </w:p>
        </w:tc>
        <w:tc>
          <w:tcPr>
            <w:tcW w:w="850" w:type="dxa"/>
            <w:tcBorders>
              <w:top w:val="nil"/>
              <w:left w:val="nil"/>
              <w:bottom w:val="single" w:sz="4" w:space="0" w:color="auto"/>
              <w:right w:val="single" w:sz="4" w:space="0" w:color="auto"/>
            </w:tcBorders>
            <w:shd w:val="clear" w:color="auto" w:fill="C6EFCE"/>
            <w:noWrap/>
            <w:vAlign w:val="center"/>
          </w:tcPr>
          <w:p w14:paraId="6BB374BD" w14:textId="77777777" w:rsidR="0023462A" w:rsidRDefault="00A550FA">
            <w:pPr>
              <w:pStyle w:val="P68B1DB1-Normal27"/>
              <w:spacing w:after="120" w:line="240" w:lineRule="auto"/>
              <w:rPr>
                <w:noProof/>
              </w:rPr>
            </w:pPr>
            <w:r>
              <w:rPr>
                <w:noProof/>
              </w:rPr>
              <w:t>Accords juridiques signés avec les bénéficiaires finaux</w:t>
            </w:r>
          </w:p>
        </w:tc>
        <w:tc>
          <w:tcPr>
            <w:tcW w:w="1559" w:type="dxa"/>
            <w:tcBorders>
              <w:top w:val="nil"/>
              <w:left w:val="nil"/>
              <w:bottom w:val="single" w:sz="4" w:space="0" w:color="auto"/>
              <w:right w:val="single" w:sz="4" w:space="0" w:color="auto"/>
            </w:tcBorders>
            <w:shd w:val="clear" w:color="auto" w:fill="C6EFCE"/>
            <w:noWrap/>
            <w:vAlign w:val="center"/>
          </w:tcPr>
          <w:p w14:paraId="5E92785C" w14:textId="77777777" w:rsidR="0023462A" w:rsidRDefault="0023462A">
            <w:pPr>
              <w:spacing w:after="120" w:line="240" w:lineRule="auto"/>
              <w:rPr>
                <w:rFonts w:ascii="Times New Roman" w:hAnsi="Times New Roman" w:cs="Times New Roman"/>
                <w:noProof/>
                <w:sz w:val="18"/>
                <w:szCs w:val="18"/>
              </w:rPr>
            </w:pPr>
          </w:p>
        </w:tc>
        <w:tc>
          <w:tcPr>
            <w:tcW w:w="1843" w:type="dxa"/>
            <w:tcBorders>
              <w:top w:val="nil"/>
              <w:left w:val="nil"/>
              <w:bottom w:val="single" w:sz="4" w:space="0" w:color="auto"/>
              <w:right w:val="single" w:sz="4" w:space="0" w:color="auto"/>
            </w:tcBorders>
            <w:shd w:val="clear" w:color="auto" w:fill="C6EFCE"/>
            <w:noWrap/>
            <w:vAlign w:val="center"/>
          </w:tcPr>
          <w:p w14:paraId="34204B72" w14:textId="77777777" w:rsidR="0023462A" w:rsidRDefault="00A550FA">
            <w:pPr>
              <w:pStyle w:val="P68B1DB1-Normal27"/>
              <w:spacing w:after="120" w:line="240" w:lineRule="auto"/>
              <w:rPr>
                <w:noProof/>
              </w:rPr>
            </w:pPr>
            <w:r>
              <w:rPr>
                <w:noProof/>
              </w:rPr>
              <w:t>Pourcentage (%)</w:t>
            </w:r>
          </w:p>
        </w:tc>
        <w:tc>
          <w:tcPr>
            <w:tcW w:w="1276" w:type="dxa"/>
            <w:tcBorders>
              <w:top w:val="nil"/>
              <w:left w:val="nil"/>
              <w:bottom w:val="single" w:sz="4" w:space="0" w:color="auto"/>
              <w:right w:val="single" w:sz="4" w:space="0" w:color="auto"/>
            </w:tcBorders>
            <w:shd w:val="clear" w:color="auto" w:fill="C6EFCE"/>
            <w:noWrap/>
            <w:vAlign w:val="center"/>
          </w:tcPr>
          <w:p w14:paraId="55FB2F14" w14:textId="77777777" w:rsidR="0023462A" w:rsidRDefault="00A550FA">
            <w:pPr>
              <w:pStyle w:val="P68B1DB1-Normal27"/>
              <w:spacing w:after="120" w:line="240" w:lineRule="auto"/>
              <w:rPr>
                <w:noProof/>
              </w:rPr>
            </w:pPr>
            <w:r>
              <w:rPr>
                <w:noProof/>
              </w:rPr>
              <w:t>0</w:t>
            </w:r>
          </w:p>
        </w:tc>
        <w:tc>
          <w:tcPr>
            <w:tcW w:w="850" w:type="dxa"/>
            <w:tcBorders>
              <w:top w:val="nil"/>
              <w:left w:val="nil"/>
              <w:bottom w:val="single" w:sz="4" w:space="0" w:color="auto"/>
              <w:right w:val="single" w:sz="4" w:space="0" w:color="auto"/>
            </w:tcBorders>
            <w:shd w:val="clear" w:color="auto" w:fill="C6EFCE"/>
            <w:noWrap/>
            <w:vAlign w:val="center"/>
          </w:tcPr>
          <w:p w14:paraId="2049E3DD" w14:textId="77777777" w:rsidR="0023462A" w:rsidRDefault="00A550FA">
            <w:pPr>
              <w:pStyle w:val="P68B1DB1-Normal27"/>
              <w:spacing w:after="120" w:line="240" w:lineRule="auto"/>
              <w:rPr>
                <w:noProof/>
              </w:rPr>
            </w:pPr>
            <w:r>
              <w:rPr>
                <w:noProof/>
              </w:rPr>
              <w:t>100</w:t>
            </w:r>
          </w:p>
        </w:tc>
        <w:tc>
          <w:tcPr>
            <w:tcW w:w="851" w:type="dxa"/>
            <w:tcBorders>
              <w:top w:val="nil"/>
              <w:left w:val="nil"/>
              <w:bottom w:val="single" w:sz="4" w:space="0" w:color="auto"/>
              <w:right w:val="single" w:sz="4" w:space="0" w:color="auto"/>
            </w:tcBorders>
            <w:shd w:val="clear" w:color="auto" w:fill="C6EFCE"/>
            <w:noWrap/>
            <w:vAlign w:val="center"/>
          </w:tcPr>
          <w:p w14:paraId="4DB767B5" w14:textId="1FC3FB7B" w:rsidR="0023462A" w:rsidRDefault="00A550FA">
            <w:pPr>
              <w:pStyle w:val="P68B1DB1-Normal20"/>
              <w:spacing w:after="120" w:line="240" w:lineRule="auto"/>
              <w:rPr>
                <w:rFonts w:cs="Times New Roman"/>
                <w:noProof/>
                <w:szCs w:val="18"/>
              </w:rPr>
            </w:pPr>
            <w:r>
              <w:rPr>
                <w:noProof/>
              </w:rPr>
              <w:t>T2</w:t>
            </w:r>
          </w:p>
        </w:tc>
        <w:tc>
          <w:tcPr>
            <w:tcW w:w="1134" w:type="dxa"/>
            <w:tcBorders>
              <w:top w:val="nil"/>
              <w:left w:val="nil"/>
              <w:bottom w:val="single" w:sz="4" w:space="0" w:color="auto"/>
              <w:right w:val="single" w:sz="4" w:space="0" w:color="auto"/>
            </w:tcBorders>
            <w:shd w:val="clear" w:color="auto" w:fill="C6EFCE"/>
            <w:noWrap/>
            <w:vAlign w:val="center"/>
          </w:tcPr>
          <w:p w14:paraId="10125D1A" w14:textId="3C9373ED" w:rsidR="0023462A" w:rsidRDefault="00A550FA">
            <w:pPr>
              <w:pStyle w:val="P68B1DB1-Normal20"/>
              <w:spacing w:after="120" w:line="240" w:lineRule="auto"/>
              <w:rPr>
                <w:rFonts w:cs="Times New Roman"/>
                <w:noProof/>
                <w:szCs w:val="18"/>
              </w:rPr>
            </w:pPr>
            <w:r>
              <w:rPr>
                <w:noProof/>
              </w:rPr>
              <w:t>2026</w:t>
            </w:r>
          </w:p>
        </w:tc>
        <w:tc>
          <w:tcPr>
            <w:tcW w:w="3544" w:type="dxa"/>
            <w:tcBorders>
              <w:top w:val="nil"/>
              <w:left w:val="nil"/>
              <w:bottom w:val="single" w:sz="4" w:space="0" w:color="auto"/>
              <w:right w:val="single" w:sz="4" w:space="0" w:color="auto"/>
            </w:tcBorders>
            <w:shd w:val="clear" w:color="auto" w:fill="C6EFCE"/>
            <w:noWrap/>
            <w:vAlign w:val="center"/>
          </w:tcPr>
          <w:p w14:paraId="44989E4B" w14:textId="4B4748FF" w:rsidR="0023462A" w:rsidRDefault="00A550FA">
            <w:pPr>
              <w:pStyle w:val="P68B1DB1-Normal27"/>
              <w:spacing w:after="120" w:line="240" w:lineRule="auto"/>
              <w:rPr>
                <w:noProof/>
              </w:rPr>
            </w:pPr>
            <w:r>
              <w:rPr>
                <w:noProof/>
              </w:rPr>
              <w:t>La MFB a conclu des conventions de subvention légales avec les bénéficiaires pour un montant nécessaire à l’utilisation de 100 % de l’investissement de la FRR dans le régime (en tenant compte des frais de gestion).</w:t>
            </w:r>
          </w:p>
        </w:tc>
      </w:tr>
      <w:tr w:rsidR="0023462A" w14:paraId="10546E47" w14:textId="77777777" w:rsidTr="00E672FD">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6FA09314" w14:textId="63F4DDFA" w:rsidR="0023462A" w:rsidRDefault="00A550FA">
            <w:pPr>
              <w:pStyle w:val="P68B1DB1-Normal27"/>
              <w:spacing w:after="120" w:line="240" w:lineRule="auto"/>
              <w:rPr>
                <w:noProof/>
              </w:rPr>
            </w:pPr>
            <w:r>
              <w:rPr>
                <w:noProof/>
              </w:rPr>
              <w:t>113</w:t>
            </w:r>
          </w:p>
        </w:tc>
        <w:tc>
          <w:tcPr>
            <w:tcW w:w="1457" w:type="dxa"/>
            <w:tcBorders>
              <w:top w:val="nil"/>
              <w:left w:val="nil"/>
              <w:bottom w:val="single" w:sz="4" w:space="0" w:color="auto"/>
              <w:right w:val="single" w:sz="4" w:space="0" w:color="auto"/>
            </w:tcBorders>
            <w:shd w:val="clear" w:color="auto" w:fill="C6EFCE"/>
            <w:noWrap/>
            <w:vAlign w:val="center"/>
          </w:tcPr>
          <w:p w14:paraId="7E374BA4" w14:textId="0E61B57A" w:rsidR="0023462A" w:rsidRDefault="00A550FA">
            <w:pPr>
              <w:pStyle w:val="P68B1DB1-Normal32"/>
              <w:spacing w:after="120" w:line="240" w:lineRule="auto"/>
              <w:rPr>
                <w:noProof/>
              </w:rPr>
            </w:pPr>
            <w:r>
              <w:rPr>
                <w:noProof/>
              </w:rPr>
              <w:t>C9.I1. Mesure à plus grande échelle: Régime de subventions pour le développement du réseau électrique</w:t>
            </w:r>
          </w:p>
        </w:tc>
        <w:tc>
          <w:tcPr>
            <w:tcW w:w="1418" w:type="dxa"/>
            <w:tcBorders>
              <w:top w:val="nil"/>
              <w:left w:val="nil"/>
              <w:bottom w:val="single" w:sz="4" w:space="0" w:color="auto"/>
              <w:right w:val="single" w:sz="4" w:space="0" w:color="auto"/>
            </w:tcBorders>
            <w:shd w:val="clear" w:color="auto" w:fill="C6EFCE"/>
            <w:noWrap/>
            <w:vAlign w:val="center"/>
          </w:tcPr>
          <w:p w14:paraId="2A5DC9A4" w14:textId="0DE4C0A5" w:rsidR="0023462A" w:rsidRDefault="00A550FA">
            <w:pPr>
              <w:pStyle w:val="P68B1DB1-Normal27"/>
              <w:spacing w:after="120" w:line="240" w:lineRule="auto"/>
              <w:rPr>
                <w:noProof/>
              </w:rPr>
            </w:pPr>
            <w:r>
              <w:rPr>
                <w:noProof/>
              </w:rPr>
              <w:t>Étape</w:t>
            </w:r>
          </w:p>
        </w:tc>
        <w:tc>
          <w:tcPr>
            <w:tcW w:w="850" w:type="dxa"/>
            <w:tcBorders>
              <w:top w:val="nil"/>
              <w:left w:val="nil"/>
              <w:bottom w:val="single" w:sz="4" w:space="0" w:color="auto"/>
              <w:right w:val="single" w:sz="4" w:space="0" w:color="auto"/>
            </w:tcBorders>
            <w:shd w:val="clear" w:color="auto" w:fill="C6EFCE"/>
            <w:noWrap/>
            <w:vAlign w:val="center"/>
          </w:tcPr>
          <w:p w14:paraId="6B0D642E" w14:textId="77777777" w:rsidR="0023462A" w:rsidRDefault="00A550FA">
            <w:pPr>
              <w:pStyle w:val="P68B1DB1-Normal27"/>
              <w:spacing w:after="120" w:line="240" w:lineRule="auto"/>
              <w:rPr>
                <w:noProof/>
              </w:rPr>
            </w:pPr>
            <w:r>
              <w:rPr>
                <w:noProof/>
              </w:rPr>
              <w:t>Le ministère a terminé l'investissement</w:t>
            </w:r>
          </w:p>
        </w:tc>
        <w:tc>
          <w:tcPr>
            <w:tcW w:w="1559" w:type="dxa"/>
            <w:tcBorders>
              <w:top w:val="nil"/>
              <w:left w:val="nil"/>
              <w:bottom w:val="single" w:sz="4" w:space="0" w:color="auto"/>
              <w:right w:val="single" w:sz="4" w:space="0" w:color="auto"/>
            </w:tcBorders>
            <w:shd w:val="clear" w:color="auto" w:fill="C6EFCE"/>
            <w:noWrap/>
            <w:vAlign w:val="center"/>
          </w:tcPr>
          <w:p w14:paraId="7BC91D1D" w14:textId="77777777" w:rsidR="0023462A" w:rsidRDefault="00A550FA">
            <w:pPr>
              <w:pStyle w:val="P68B1DB1-Normal27"/>
              <w:spacing w:after="120" w:line="240" w:lineRule="auto"/>
              <w:rPr>
                <w:noProof/>
              </w:rPr>
            </w:pPr>
            <w:r>
              <w:rPr>
                <w:noProof/>
              </w:rPr>
              <w:t xml:space="preserve">Certificat de transfert </w:t>
            </w:r>
          </w:p>
        </w:tc>
        <w:tc>
          <w:tcPr>
            <w:tcW w:w="1843" w:type="dxa"/>
            <w:tcBorders>
              <w:top w:val="nil"/>
              <w:left w:val="nil"/>
              <w:bottom w:val="single" w:sz="4" w:space="0" w:color="auto"/>
              <w:right w:val="single" w:sz="4" w:space="0" w:color="auto"/>
            </w:tcBorders>
            <w:shd w:val="clear" w:color="auto" w:fill="C6EFCE"/>
            <w:noWrap/>
            <w:vAlign w:val="center"/>
          </w:tcPr>
          <w:p w14:paraId="6D6ECAA8" w14:textId="6999B3F2" w:rsidR="0023462A" w:rsidRDefault="0023462A">
            <w:pPr>
              <w:spacing w:after="120" w:line="240" w:lineRule="auto"/>
              <w:rPr>
                <w:rFonts w:ascii="Times New Roman" w:hAnsi="Times New Roman" w:cs="Times New Roman"/>
                <w:noProof/>
                <w:sz w:val="18"/>
                <w:szCs w:val="18"/>
              </w:rPr>
            </w:pPr>
          </w:p>
        </w:tc>
        <w:tc>
          <w:tcPr>
            <w:tcW w:w="1276" w:type="dxa"/>
            <w:tcBorders>
              <w:top w:val="nil"/>
              <w:left w:val="nil"/>
              <w:bottom w:val="single" w:sz="4" w:space="0" w:color="auto"/>
              <w:right w:val="single" w:sz="4" w:space="0" w:color="auto"/>
            </w:tcBorders>
            <w:shd w:val="clear" w:color="auto" w:fill="C6EFCE"/>
            <w:noWrap/>
            <w:vAlign w:val="center"/>
          </w:tcPr>
          <w:p w14:paraId="4E61893D" w14:textId="659F2CBA" w:rsidR="0023462A" w:rsidRDefault="00A550FA">
            <w:pPr>
              <w:pStyle w:val="P68B1DB1-Normal70"/>
              <w:spacing w:after="120" w:line="240" w:lineRule="auto"/>
              <w:rPr>
                <w:noProof/>
              </w:rPr>
            </w:pPr>
            <w:r>
              <w:rPr>
                <w:noProof/>
              </w:rPr>
              <w:t>856 756 163.36</w:t>
            </w:r>
          </w:p>
        </w:tc>
        <w:tc>
          <w:tcPr>
            <w:tcW w:w="850" w:type="dxa"/>
            <w:tcBorders>
              <w:top w:val="nil"/>
              <w:left w:val="nil"/>
              <w:bottom w:val="single" w:sz="4" w:space="0" w:color="auto"/>
              <w:right w:val="single" w:sz="4" w:space="0" w:color="auto"/>
            </w:tcBorders>
            <w:shd w:val="clear" w:color="auto" w:fill="C6EFCE"/>
            <w:noWrap/>
            <w:vAlign w:val="center"/>
          </w:tcPr>
          <w:p w14:paraId="0EDACCE5" w14:textId="1478FA70" w:rsidR="0023462A" w:rsidRDefault="00A550FA">
            <w:pPr>
              <w:pStyle w:val="P68B1DB1-Normal70"/>
              <w:spacing w:after="120" w:line="240" w:lineRule="auto"/>
              <w:rPr>
                <w:noProof/>
              </w:rPr>
            </w:pPr>
            <w:r>
              <w:rPr>
                <w:noProof/>
              </w:rPr>
              <w:t>1 500 000 000</w:t>
            </w:r>
          </w:p>
        </w:tc>
        <w:tc>
          <w:tcPr>
            <w:tcW w:w="851" w:type="dxa"/>
            <w:tcBorders>
              <w:top w:val="nil"/>
              <w:left w:val="nil"/>
              <w:bottom w:val="single" w:sz="4" w:space="0" w:color="auto"/>
              <w:right w:val="single" w:sz="4" w:space="0" w:color="auto"/>
            </w:tcBorders>
            <w:shd w:val="clear" w:color="auto" w:fill="C6EFCE"/>
            <w:noWrap/>
            <w:vAlign w:val="center"/>
          </w:tcPr>
          <w:p w14:paraId="7AF31799" w14:textId="7FD3278E" w:rsidR="0023462A" w:rsidRDefault="00A550FA">
            <w:pPr>
              <w:pStyle w:val="P68B1DB1-Normal20"/>
              <w:spacing w:after="120" w:line="240" w:lineRule="auto"/>
              <w:rPr>
                <w:rFonts w:cs="Times New Roman"/>
                <w:noProof/>
                <w:szCs w:val="18"/>
              </w:rPr>
            </w:pPr>
            <w:r>
              <w:rPr>
                <w:noProof/>
              </w:rPr>
              <w:t>T2</w:t>
            </w:r>
          </w:p>
        </w:tc>
        <w:tc>
          <w:tcPr>
            <w:tcW w:w="1134" w:type="dxa"/>
            <w:tcBorders>
              <w:top w:val="nil"/>
              <w:left w:val="nil"/>
              <w:bottom w:val="single" w:sz="4" w:space="0" w:color="auto"/>
              <w:right w:val="single" w:sz="4" w:space="0" w:color="auto"/>
            </w:tcBorders>
            <w:shd w:val="clear" w:color="auto" w:fill="C6EFCE"/>
            <w:noWrap/>
            <w:vAlign w:val="center"/>
          </w:tcPr>
          <w:p w14:paraId="5ADD4171" w14:textId="62A17855" w:rsidR="0023462A" w:rsidRDefault="00A550FA">
            <w:pPr>
              <w:pStyle w:val="P68B1DB1-Normal20"/>
              <w:spacing w:after="120" w:line="240" w:lineRule="auto"/>
              <w:rPr>
                <w:rFonts w:cs="Times New Roman"/>
                <w:noProof/>
                <w:szCs w:val="18"/>
              </w:rPr>
            </w:pPr>
            <w:r>
              <w:rPr>
                <w:noProof/>
              </w:rPr>
              <w:t>2026</w:t>
            </w:r>
          </w:p>
        </w:tc>
        <w:tc>
          <w:tcPr>
            <w:tcW w:w="3544" w:type="dxa"/>
            <w:tcBorders>
              <w:top w:val="nil"/>
              <w:left w:val="nil"/>
              <w:bottom w:val="single" w:sz="4" w:space="0" w:color="auto"/>
              <w:right w:val="single" w:sz="4" w:space="0" w:color="auto"/>
            </w:tcBorders>
            <w:shd w:val="clear" w:color="auto" w:fill="C6EFCE"/>
            <w:noWrap/>
            <w:vAlign w:val="center"/>
          </w:tcPr>
          <w:p w14:paraId="75246570" w14:textId="49A986E8" w:rsidR="0023462A" w:rsidRDefault="00A550FA">
            <w:pPr>
              <w:pStyle w:val="P68B1DB1-Normal27"/>
              <w:spacing w:after="120" w:line="240" w:lineRule="auto"/>
              <w:rPr>
                <w:noProof/>
              </w:rPr>
            </w:pPr>
            <w:r>
              <w:rPr>
                <w:noProof/>
              </w:rPr>
              <w:t>La Hongrie transfère 643 243 836,64 EUR à la MFB pour la facilité (en tenant compte des frais de gestion).</w:t>
            </w:r>
          </w:p>
        </w:tc>
      </w:tr>
      <w:tr w:rsidR="0023462A" w14:paraId="66A1BB2D" w14:textId="77777777" w:rsidTr="00E672FD">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1217658C" w14:textId="1E8BC275" w:rsidR="0023462A" w:rsidRDefault="00A550FA">
            <w:pPr>
              <w:pStyle w:val="P68B1DB1-Normal32"/>
              <w:spacing w:after="120" w:line="240" w:lineRule="auto"/>
              <w:rPr>
                <w:noProof/>
              </w:rPr>
            </w:pPr>
            <w:r>
              <w:rPr>
                <w:noProof/>
              </w:rPr>
              <w:t>114</w:t>
            </w:r>
          </w:p>
        </w:tc>
        <w:tc>
          <w:tcPr>
            <w:tcW w:w="1457" w:type="dxa"/>
            <w:tcBorders>
              <w:top w:val="nil"/>
              <w:left w:val="nil"/>
              <w:bottom w:val="single" w:sz="4" w:space="0" w:color="auto"/>
              <w:right w:val="single" w:sz="4" w:space="0" w:color="auto"/>
            </w:tcBorders>
            <w:shd w:val="clear" w:color="auto" w:fill="C6EFCE"/>
            <w:noWrap/>
            <w:vAlign w:val="center"/>
          </w:tcPr>
          <w:p w14:paraId="269F77D7" w14:textId="72A54844" w:rsidR="0023462A" w:rsidRDefault="00A550FA">
            <w:pPr>
              <w:pStyle w:val="P68B1DB1-Normal32"/>
              <w:spacing w:after="120" w:line="240" w:lineRule="auto"/>
              <w:rPr>
                <w:noProof/>
              </w:rPr>
            </w:pPr>
            <w:r>
              <w:rPr>
                <w:noProof/>
              </w:rPr>
              <w:t>C9.I2 : Mise en place d'un instrument financier pour améliorer l'efficacité énergétique des bâtiments résidentiels</w:t>
            </w:r>
          </w:p>
        </w:tc>
        <w:tc>
          <w:tcPr>
            <w:tcW w:w="1418" w:type="dxa"/>
            <w:tcBorders>
              <w:top w:val="nil"/>
              <w:left w:val="nil"/>
              <w:bottom w:val="single" w:sz="4" w:space="0" w:color="auto"/>
              <w:right w:val="single" w:sz="4" w:space="0" w:color="auto"/>
            </w:tcBorders>
            <w:shd w:val="clear" w:color="auto" w:fill="C6EFCE"/>
            <w:noWrap/>
            <w:vAlign w:val="center"/>
          </w:tcPr>
          <w:p w14:paraId="4EC52DA0" w14:textId="77777777" w:rsidR="0023462A" w:rsidRDefault="00A550FA">
            <w:pPr>
              <w:pStyle w:val="P68B1DB1-Normal32"/>
              <w:spacing w:after="120" w:line="240" w:lineRule="auto"/>
              <w:rPr>
                <w:noProof/>
              </w:rPr>
            </w:pPr>
            <w:r>
              <w:rPr>
                <w:noProof/>
              </w:rPr>
              <w:t>Étape</w:t>
            </w:r>
          </w:p>
        </w:tc>
        <w:tc>
          <w:tcPr>
            <w:tcW w:w="850" w:type="dxa"/>
            <w:tcBorders>
              <w:top w:val="nil"/>
              <w:left w:val="nil"/>
              <w:bottom w:val="single" w:sz="4" w:space="0" w:color="auto"/>
              <w:right w:val="single" w:sz="4" w:space="0" w:color="auto"/>
            </w:tcBorders>
            <w:shd w:val="clear" w:color="auto" w:fill="C6EFCE"/>
            <w:noWrap/>
            <w:vAlign w:val="center"/>
          </w:tcPr>
          <w:p w14:paraId="7D7427A4" w14:textId="77777777" w:rsidR="0023462A" w:rsidRDefault="00A550FA">
            <w:pPr>
              <w:pStyle w:val="P68B1DB1-Normal32"/>
              <w:spacing w:after="120" w:line="240" w:lineRule="auto"/>
              <w:rPr>
                <w:noProof/>
              </w:rPr>
            </w:pPr>
            <w:r>
              <w:rPr>
                <w:noProof/>
              </w:rPr>
              <w:t>Accord de mise en œuvre</w:t>
            </w:r>
          </w:p>
        </w:tc>
        <w:tc>
          <w:tcPr>
            <w:tcW w:w="1559" w:type="dxa"/>
            <w:tcBorders>
              <w:top w:val="nil"/>
              <w:left w:val="nil"/>
              <w:bottom w:val="single" w:sz="4" w:space="0" w:color="auto"/>
              <w:right w:val="single" w:sz="4" w:space="0" w:color="auto"/>
            </w:tcBorders>
            <w:shd w:val="clear" w:color="auto" w:fill="C6EFCE"/>
            <w:noWrap/>
            <w:vAlign w:val="center"/>
          </w:tcPr>
          <w:p w14:paraId="6C21BA95" w14:textId="77777777" w:rsidR="0023462A" w:rsidRDefault="00A550FA">
            <w:pPr>
              <w:pStyle w:val="P68B1DB1-Normal32"/>
              <w:spacing w:after="120" w:line="240" w:lineRule="auto"/>
              <w:rPr>
                <w:noProof/>
              </w:rPr>
            </w:pPr>
            <w:r>
              <w:rPr>
                <w:noProof/>
              </w:rPr>
              <w:t>Entrée en vigueur de l'accord de mise en œuvre</w:t>
            </w:r>
          </w:p>
        </w:tc>
        <w:tc>
          <w:tcPr>
            <w:tcW w:w="1843" w:type="dxa"/>
            <w:tcBorders>
              <w:top w:val="nil"/>
              <w:left w:val="nil"/>
              <w:bottom w:val="single" w:sz="4" w:space="0" w:color="auto"/>
              <w:right w:val="single" w:sz="4" w:space="0" w:color="auto"/>
            </w:tcBorders>
            <w:shd w:val="clear" w:color="auto" w:fill="C6EFCE"/>
            <w:noWrap/>
            <w:vAlign w:val="center"/>
          </w:tcPr>
          <w:p w14:paraId="64FFD7A5" w14:textId="77777777" w:rsidR="0023462A" w:rsidRDefault="00A550FA">
            <w:pPr>
              <w:pStyle w:val="P68B1DB1-Normal32"/>
              <w:spacing w:after="120" w:line="240" w:lineRule="auto"/>
              <w:rPr>
                <w:rFonts w:eastAsia="Calibri"/>
                <w:noProof/>
              </w:rPr>
            </w:pPr>
            <w:r>
              <w:rPr>
                <w:noProof/>
              </w:rPr>
              <w:t xml:space="preserve"> </w:t>
            </w:r>
          </w:p>
        </w:tc>
        <w:tc>
          <w:tcPr>
            <w:tcW w:w="1276" w:type="dxa"/>
            <w:tcBorders>
              <w:top w:val="nil"/>
              <w:left w:val="nil"/>
              <w:bottom w:val="single" w:sz="4" w:space="0" w:color="auto"/>
              <w:right w:val="single" w:sz="4" w:space="0" w:color="auto"/>
            </w:tcBorders>
            <w:shd w:val="clear" w:color="auto" w:fill="C6EFCE"/>
            <w:noWrap/>
            <w:vAlign w:val="center"/>
          </w:tcPr>
          <w:p w14:paraId="4600B5F9" w14:textId="77777777" w:rsidR="0023462A" w:rsidRDefault="00A550FA">
            <w:pPr>
              <w:pStyle w:val="P68B1DB1-Normal32"/>
              <w:spacing w:after="120" w:line="240" w:lineRule="auto"/>
              <w:rPr>
                <w:rFonts w:eastAsia="Calibri"/>
                <w:noProof/>
              </w:rPr>
            </w:pPr>
            <w:r>
              <w:rPr>
                <w:noProof/>
              </w:rPr>
              <w:t xml:space="preserve"> </w:t>
            </w:r>
          </w:p>
        </w:tc>
        <w:tc>
          <w:tcPr>
            <w:tcW w:w="850" w:type="dxa"/>
            <w:tcBorders>
              <w:top w:val="nil"/>
              <w:left w:val="nil"/>
              <w:bottom w:val="single" w:sz="4" w:space="0" w:color="auto"/>
              <w:right w:val="single" w:sz="4" w:space="0" w:color="auto"/>
            </w:tcBorders>
            <w:shd w:val="clear" w:color="auto" w:fill="C6EFCE"/>
            <w:noWrap/>
            <w:vAlign w:val="center"/>
          </w:tcPr>
          <w:p w14:paraId="2451F3EA" w14:textId="77777777" w:rsidR="0023462A" w:rsidRDefault="00A550FA">
            <w:pPr>
              <w:pStyle w:val="P68B1DB1-Normal32"/>
              <w:spacing w:after="120" w:line="240" w:lineRule="auto"/>
              <w:rPr>
                <w:rFonts w:eastAsia="Calibri"/>
                <w:noProof/>
              </w:rPr>
            </w:pPr>
            <w:r>
              <w:rPr>
                <w:noProof/>
              </w:rPr>
              <w:t xml:space="preserve"> </w:t>
            </w:r>
          </w:p>
        </w:tc>
        <w:tc>
          <w:tcPr>
            <w:tcW w:w="851" w:type="dxa"/>
            <w:tcBorders>
              <w:top w:val="nil"/>
              <w:left w:val="nil"/>
              <w:bottom w:val="single" w:sz="4" w:space="0" w:color="auto"/>
              <w:right w:val="single" w:sz="4" w:space="0" w:color="auto"/>
            </w:tcBorders>
            <w:shd w:val="clear" w:color="auto" w:fill="C6EFCE"/>
            <w:noWrap/>
            <w:vAlign w:val="center"/>
          </w:tcPr>
          <w:p w14:paraId="77072568" w14:textId="5BD5E271" w:rsidR="0023462A" w:rsidRDefault="00A550FA">
            <w:pPr>
              <w:pStyle w:val="P68B1DB1-Normal20"/>
              <w:spacing w:after="120" w:line="240" w:lineRule="auto"/>
              <w:rPr>
                <w:rFonts w:eastAsia="Calibri" w:cs="Times New Roman"/>
                <w:noProof/>
                <w:szCs w:val="18"/>
              </w:rPr>
            </w:pPr>
            <w:r>
              <w:rPr>
                <w:noProof/>
              </w:rPr>
              <w:t>T2</w:t>
            </w:r>
          </w:p>
        </w:tc>
        <w:tc>
          <w:tcPr>
            <w:tcW w:w="1134" w:type="dxa"/>
            <w:tcBorders>
              <w:top w:val="nil"/>
              <w:left w:val="nil"/>
              <w:bottom w:val="single" w:sz="4" w:space="0" w:color="auto"/>
              <w:right w:val="single" w:sz="4" w:space="0" w:color="auto"/>
            </w:tcBorders>
            <w:shd w:val="clear" w:color="auto" w:fill="C6EFCE"/>
            <w:noWrap/>
            <w:vAlign w:val="center"/>
          </w:tcPr>
          <w:p w14:paraId="6832F8F8" w14:textId="375CDD32" w:rsidR="0023462A" w:rsidRDefault="00A550FA">
            <w:pPr>
              <w:pStyle w:val="P68B1DB1-Normal20"/>
              <w:spacing w:after="120" w:line="240" w:lineRule="auto"/>
              <w:rPr>
                <w:rFonts w:eastAsia="Calibri" w:cs="Times New Roman"/>
                <w:noProof/>
                <w:szCs w:val="18"/>
              </w:rPr>
            </w:pPr>
            <w:r>
              <w:rPr>
                <w:noProof/>
              </w:rPr>
              <w:t>2026</w:t>
            </w:r>
          </w:p>
        </w:tc>
        <w:tc>
          <w:tcPr>
            <w:tcW w:w="3544" w:type="dxa"/>
            <w:tcBorders>
              <w:top w:val="nil"/>
              <w:left w:val="nil"/>
              <w:bottom w:val="single" w:sz="4" w:space="0" w:color="auto"/>
              <w:right w:val="single" w:sz="4" w:space="0" w:color="auto"/>
            </w:tcBorders>
            <w:shd w:val="clear" w:color="auto" w:fill="C6EFCE"/>
            <w:noWrap/>
            <w:vAlign w:val="center"/>
          </w:tcPr>
          <w:p w14:paraId="06863B68" w14:textId="77777777" w:rsidR="0023462A" w:rsidRDefault="00A550FA">
            <w:pPr>
              <w:pStyle w:val="P68B1DB1-Normal32"/>
              <w:spacing w:after="120" w:line="240" w:lineRule="auto"/>
              <w:rPr>
                <w:noProof/>
              </w:rPr>
            </w:pPr>
            <w:r>
              <w:rPr>
                <w:noProof/>
              </w:rPr>
              <w:t>Entrée en vigueur de l’accord de mise en œuvre entre la Hongrie et la Banque hongroise de développement (Magyar Fejlesztési Bank Zrt. – MFB).</w:t>
            </w:r>
          </w:p>
        </w:tc>
      </w:tr>
      <w:tr w:rsidR="0023462A" w14:paraId="5B3518CA" w14:textId="77777777" w:rsidTr="00E672FD">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6596A89A" w14:textId="5E79FB17" w:rsidR="0023462A" w:rsidRDefault="00A550FA">
            <w:pPr>
              <w:pStyle w:val="P68B1DB1-Normal32"/>
              <w:spacing w:after="120" w:line="240" w:lineRule="auto"/>
              <w:rPr>
                <w:noProof/>
              </w:rPr>
            </w:pPr>
            <w:r>
              <w:rPr>
                <w:noProof/>
              </w:rPr>
              <w:t>115</w:t>
            </w:r>
          </w:p>
        </w:tc>
        <w:tc>
          <w:tcPr>
            <w:tcW w:w="1457" w:type="dxa"/>
            <w:tcBorders>
              <w:top w:val="nil"/>
              <w:left w:val="nil"/>
              <w:bottom w:val="single" w:sz="4" w:space="0" w:color="auto"/>
              <w:right w:val="single" w:sz="4" w:space="0" w:color="auto"/>
            </w:tcBorders>
            <w:shd w:val="clear" w:color="auto" w:fill="C6EFCE"/>
            <w:noWrap/>
            <w:vAlign w:val="center"/>
          </w:tcPr>
          <w:p w14:paraId="5FCF146E" w14:textId="3C96DF34" w:rsidR="0023462A" w:rsidRDefault="00A550FA">
            <w:pPr>
              <w:pStyle w:val="P68B1DB1-Normal32"/>
              <w:spacing w:after="120" w:line="240" w:lineRule="auto"/>
              <w:rPr>
                <w:noProof/>
              </w:rPr>
            </w:pPr>
            <w:r>
              <w:rPr>
                <w:noProof/>
              </w:rPr>
              <w:t>C9.I2 : Mise en place d'un instrument financier pour améliorer l'efficacité énergétique des bâtiments résidentiels</w:t>
            </w:r>
          </w:p>
        </w:tc>
        <w:tc>
          <w:tcPr>
            <w:tcW w:w="1418" w:type="dxa"/>
            <w:tcBorders>
              <w:top w:val="nil"/>
              <w:left w:val="nil"/>
              <w:bottom w:val="single" w:sz="4" w:space="0" w:color="auto"/>
              <w:right w:val="single" w:sz="4" w:space="0" w:color="auto"/>
            </w:tcBorders>
            <w:shd w:val="clear" w:color="auto" w:fill="C6EFCE"/>
            <w:noWrap/>
            <w:vAlign w:val="center"/>
          </w:tcPr>
          <w:p w14:paraId="264F9CCD" w14:textId="77777777" w:rsidR="0023462A" w:rsidRDefault="00A550FA">
            <w:pPr>
              <w:pStyle w:val="P68B1DB1-Normal32"/>
              <w:spacing w:after="120" w:line="240" w:lineRule="auto"/>
              <w:rPr>
                <w:noProof/>
              </w:rPr>
            </w:pPr>
            <w:r>
              <w:rPr>
                <w:noProof/>
              </w:rPr>
              <w:t>Objectif</w:t>
            </w:r>
          </w:p>
        </w:tc>
        <w:tc>
          <w:tcPr>
            <w:tcW w:w="850" w:type="dxa"/>
            <w:tcBorders>
              <w:top w:val="nil"/>
              <w:left w:val="nil"/>
              <w:bottom w:val="single" w:sz="4" w:space="0" w:color="auto"/>
              <w:right w:val="single" w:sz="4" w:space="0" w:color="auto"/>
            </w:tcBorders>
            <w:shd w:val="clear" w:color="auto" w:fill="C6EFCE"/>
            <w:noWrap/>
            <w:vAlign w:val="center"/>
          </w:tcPr>
          <w:p w14:paraId="573F19F8" w14:textId="77777777" w:rsidR="0023462A" w:rsidRDefault="00A550FA">
            <w:pPr>
              <w:pStyle w:val="P68B1DB1-Normal32"/>
              <w:spacing w:after="120" w:line="240" w:lineRule="auto"/>
              <w:rPr>
                <w:noProof/>
              </w:rPr>
            </w:pPr>
            <w:r>
              <w:rPr>
                <w:noProof/>
              </w:rPr>
              <w:t>Accords juridiques signés avec les bénéficiaires finaux</w:t>
            </w:r>
          </w:p>
        </w:tc>
        <w:tc>
          <w:tcPr>
            <w:tcW w:w="1559" w:type="dxa"/>
            <w:tcBorders>
              <w:top w:val="nil"/>
              <w:left w:val="nil"/>
              <w:bottom w:val="single" w:sz="4" w:space="0" w:color="auto"/>
              <w:right w:val="single" w:sz="4" w:space="0" w:color="auto"/>
            </w:tcBorders>
            <w:shd w:val="clear" w:color="auto" w:fill="C6EFCE"/>
            <w:noWrap/>
            <w:vAlign w:val="center"/>
          </w:tcPr>
          <w:p w14:paraId="2AD43376" w14:textId="77777777" w:rsidR="0023462A" w:rsidRDefault="0023462A">
            <w:pPr>
              <w:spacing w:after="120" w:line="240" w:lineRule="auto"/>
              <w:rPr>
                <w:rFonts w:ascii="Times New Roman" w:hAnsi="Times New Roman" w:cs="Times New Roman"/>
                <w:noProof/>
                <w:sz w:val="18"/>
                <w:szCs w:val="18"/>
              </w:rPr>
            </w:pPr>
          </w:p>
        </w:tc>
        <w:tc>
          <w:tcPr>
            <w:tcW w:w="1843" w:type="dxa"/>
            <w:tcBorders>
              <w:top w:val="nil"/>
              <w:left w:val="nil"/>
              <w:bottom w:val="single" w:sz="4" w:space="0" w:color="auto"/>
              <w:right w:val="single" w:sz="4" w:space="0" w:color="auto"/>
            </w:tcBorders>
            <w:shd w:val="clear" w:color="auto" w:fill="C6EFCE"/>
            <w:noWrap/>
            <w:vAlign w:val="center"/>
          </w:tcPr>
          <w:p w14:paraId="29C6ECB7" w14:textId="77777777" w:rsidR="0023462A" w:rsidRDefault="00A550FA">
            <w:pPr>
              <w:pStyle w:val="P68B1DB1-Normal32"/>
              <w:spacing w:after="120" w:line="240" w:lineRule="auto"/>
              <w:rPr>
                <w:rFonts w:eastAsia="Calibri"/>
                <w:noProof/>
              </w:rPr>
            </w:pPr>
            <w:r>
              <w:rPr>
                <w:noProof/>
              </w:rPr>
              <w:t>%</w:t>
            </w:r>
          </w:p>
        </w:tc>
        <w:tc>
          <w:tcPr>
            <w:tcW w:w="1276" w:type="dxa"/>
            <w:tcBorders>
              <w:top w:val="nil"/>
              <w:left w:val="nil"/>
              <w:bottom w:val="single" w:sz="4" w:space="0" w:color="auto"/>
              <w:right w:val="single" w:sz="4" w:space="0" w:color="auto"/>
            </w:tcBorders>
            <w:shd w:val="clear" w:color="auto" w:fill="C6EFCE"/>
            <w:noWrap/>
            <w:vAlign w:val="center"/>
          </w:tcPr>
          <w:p w14:paraId="4F7400D2" w14:textId="77777777" w:rsidR="0023462A" w:rsidRDefault="00A550FA">
            <w:pPr>
              <w:pStyle w:val="P68B1DB1-Normal32"/>
              <w:spacing w:after="120" w:line="240" w:lineRule="auto"/>
              <w:rPr>
                <w:rFonts w:eastAsia="Calibri"/>
                <w:noProof/>
              </w:rPr>
            </w:pPr>
            <w:r>
              <w:rPr>
                <w:noProof/>
              </w:rPr>
              <w:t>0</w:t>
            </w:r>
          </w:p>
        </w:tc>
        <w:tc>
          <w:tcPr>
            <w:tcW w:w="850" w:type="dxa"/>
            <w:tcBorders>
              <w:top w:val="nil"/>
              <w:left w:val="nil"/>
              <w:bottom w:val="single" w:sz="4" w:space="0" w:color="auto"/>
              <w:right w:val="single" w:sz="4" w:space="0" w:color="auto"/>
            </w:tcBorders>
            <w:shd w:val="clear" w:color="auto" w:fill="C6EFCE"/>
            <w:noWrap/>
            <w:vAlign w:val="center"/>
          </w:tcPr>
          <w:p w14:paraId="3050580C" w14:textId="77777777" w:rsidR="0023462A" w:rsidRDefault="00A550FA">
            <w:pPr>
              <w:pStyle w:val="P68B1DB1-Normal32"/>
              <w:spacing w:after="120" w:line="240" w:lineRule="auto"/>
              <w:rPr>
                <w:rFonts w:eastAsia="Calibri"/>
                <w:noProof/>
              </w:rPr>
            </w:pPr>
            <w:r>
              <w:rPr>
                <w:noProof/>
              </w:rPr>
              <w:t>100</w:t>
            </w:r>
          </w:p>
        </w:tc>
        <w:tc>
          <w:tcPr>
            <w:tcW w:w="851" w:type="dxa"/>
            <w:tcBorders>
              <w:top w:val="nil"/>
              <w:left w:val="nil"/>
              <w:bottom w:val="single" w:sz="4" w:space="0" w:color="auto"/>
              <w:right w:val="single" w:sz="4" w:space="0" w:color="auto"/>
            </w:tcBorders>
            <w:shd w:val="clear" w:color="auto" w:fill="C6EFCE"/>
            <w:noWrap/>
            <w:vAlign w:val="center"/>
          </w:tcPr>
          <w:p w14:paraId="154EA372" w14:textId="77777777" w:rsidR="0023462A" w:rsidRDefault="00A550FA">
            <w:pPr>
              <w:pStyle w:val="P68B1DB1-Normal32"/>
              <w:spacing w:after="120" w:line="240" w:lineRule="auto"/>
              <w:rPr>
                <w:rFonts w:eastAsia="Calibri"/>
                <w:noProof/>
              </w:rPr>
            </w:pPr>
            <w:r>
              <w:rPr>
                <w:noProof/>
              </w:rPr>
              <w:t>T2</w:t>
            </w:r>
          </w:p>
        </w:tc>
        <w:tc>
          <w:tcPr>
            <w:tcW w:w="1134" w:type="dxa"/>
            <w:tcBorders>
              <w:top w:val="nil"/>
              <w:left w:val="nil"/>
              <w:bottom w:val="single" w:sz="4" w:space="0" w:color="auto"/>
              <w:right w:val="single" w:sz="4" w:space="0" w:color="auto"/>
            </w:tcBorders>
            <w:shd w:val="clear" w:color="auto" w:fill="C6EFCE"/>
            <w:noWrap/>
            <w:vAlign w:val="center"/>
          </w:tcPr>
          <w:p w14:paraId="04E11326" w14:textId="77777777" w:rsidR="0023462A" w:rsidRDefault="00A550FA">
            <w:pPr>
              <w:pStyle w:val="P68B1DB1-Normal32"/>
              <w:spacing w:after="120" w:line="240" w:lineRule="auto"/>
              <w:rPr>
                <w:rFonts w:eastAsia="Calibri"/>
                <w:noProof/>
              </w:rPr>
            </w:pPr>
            <w:r>
              <w:rPr>
                <w:noProof/>
              </w:rPr>
              <w:t>2026</w:t>
            </w:r>
          </w:p>
        </w:tc>
        <w:tc>
          <w:tcPr>
            <w:tcW w:w="3544" w:type="dxa"/>
            <w:tcBorders>
              <w:top w:val="nil"/>
              <w:left w:val="nil"/>
              <w:bottom w:val="single" w:sz="4" w:space="0" w:color="auto"/>
              <w:right w:val="single" w:sz="4" w:space="0" w:color="auto"/>
            </w:tcBorders>
            <w:shd w:val="clear" w:color="auto" w:fill="C6EFCE"/>
            <w:noWrap/>
            <w:vAlign w:val="center"/>
          </w:tcPr>
          <w:p w14:paraId="49A85E43" w14:textId="77777777" w:rsidR="0023462A" w:rsidRDefault="00A550FA">
            <w:pPr>
              <w:pStyle w:val="P68B1DB1-Normal32"/>
              <w:spacing w:after="120" w:line="240" w:lineRule="auto"/>
              <w:rPr>
                <w:noProof/>
              </w:rPr>
            </w:pPr>
            <w:r>
              <w:rPr>
                <w:noProof/>
              </w:rPr>
              <w:t xml:space="preserve">La MFB a conclu des conventions de financement légales avec les bénéficiaires finaux pour un montant nécessaire à l’utilisation de 100 % de l’investissement de la FRR dans la facilité (en tenant compte des frais de gestion). 100 % de ce financement contribue à la réalisation des objectifs climatiques en utilisant la méthode figurant à l’annexe VI du règlement FRR. </w:t>
            </w:r>
          </w:p>
        </w:tc>
      </w:tr>
      <w:tr w:rsidR="0023462A" w14:paraId="0F6CE261" w14:textId="77777777" w:rsidTr="00E672FD">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1F04DF2B" w14:textId="5D4E73F9" w:rsidR="0023462A" w:rsidRDefault="00A550FA">
            <w:pPr>
              <w:pStyle w:val="P68B1DB1-Normal32"/>
              <w:spacing w:after="120" w:line="240" w:lineRule="auto"/>
              <w:rPr>
                <w:noProof/>
              </w:rPr>
            </w:pPr>
            <w:r>
              <w:rPr>
                <w:noProof/>
              </w:rPr>
              <w:t>116</w:t>
            </w:r>
          </w:p>
        </w:tc>
        <w:tc>
          <w:tcPr>
            <w:tcW w:w="1457" w:type="dxa"/>
            <w:tcBorders>
              <w:top w:val="nil"/>
              <w:left w:val="nil"/>
              <w:bottom w:val="single" w:sz="4" w:space="0" w:color="auto"/>
              <w:right w:val="single" w:sz="4" w:space="0" w:color="auto"/>
            </w:tcBorders>
            <w:shd w:val="clear" w:color="auto" w:fill="C6EFCE"/>
            <w:noWrap/>
            <w:vAlign w:val="center"/>
          </w:tcPr>
          <w:p w14:paraId="18F229AC" w14:textId="6ADD7402" w:rsidR="0023462A" w:rsidRDefault="00A550FA">
            <w:pPr>
              <w:pStyle w:val="P68B1DB1-Normal32"/>
              <w:spacing w:after="120" w:line="240" w:lineRule="auto"/>
              <w:rPr>
                <w:noProof/>
              </w:rPr>
            </w:pPr>
            <w:r>
              <w:rPr>
                <w:noProof/>
              </w:rPr>
              <w:t>C9.I2 : Mise en place d'un instrument financier pour améliorer l'efficacité énergétique des bâtiments résidentiels</w:t>
            </w:r>
          </w:p>
        </w:tc>
        <w:tc>
          <w:tcPr>
            <w:tcW w:w="1418" w:type="dxa"/>
            <w:tcBorders>
              <w:top w:val="nil"/>
              <w:left w:val="nil"/>
              <w:bottom w:val="single" w:sz="4" w:space="0" w:color="auto"/>
              <w:right w:val="single" w:sz="4" w:space="0" w:color="auto"/>
            </w:tcBorders>
            <w:shd w:val="clear" w:color="auto" w:fill="C6EFCE"/>
            <w:noWrap/>
            <w:vAlign w:val="center"/>
          </w:tcPr>
          <w:p w14:paraId="1D35760A" w14:textId="77777777" w:rsidR="0023462A" w:rsidRDefault="00A550FA">
            <w:pPr>
              <w:pStyle w:val="P68B1DB1-Normal32"/>
              <w:spacing w:after="120" w:line="240" w:lineRule="auto"/>
              <w:rPr>
                <w:noProof/>
              </w:rPr>
            </w:pPr>
            <w:r>
              <w:rPr>
                <w:noProof/>
              </w:rPr>
              <w:t>Étape</w:t>
            </w:r>
          </w:p>
        </w:tc>
        <w:tc>
          <w:tcPr>
            <w:tcW w:w="850" w:type="dxa"/>
            <w:tcBorders>
              <w:top w:val="nil"/>
              <w:left w:val="nil"/>
              <w:bottom w:val="single" w:sz="4" w:space="0" w:color="auto"/>
              <w:right w:val="single" w:sz="4" w:space="0" w:color="auto"/>
            </w:tcBorders>
            <w:shd w:val="clear" w:color="auto" w:fill="C6EFCE"/>
            <w:noWrap/>
            <w:vAlign w:val="center"/>
          </w:tcPr>
          <w:p w14:paraId="26FE2D35" w14:textId="77777777" w:rsidR="0023462A" w:rsidRDefault="00A550FA">
            <w:pPr>
              <w:pStyle w:val="P68B1DB1-Normal32"/>
              <w:spacing w:after="120" w:line="240" w:lineRule="auto"/>
              <w:rPr>
                <w:noProof/>
              </w:rPr>
            </w:pPr>
            <w:r>
              <w:rPr>
                <w:noProof/>
              </w:rPr>
              <w:t>La MFB a terminé l'investissement</w:t>
            </w:r>
          </w:p>
        </w:tc>
        <w:tc>
          <w:tcPr>
            <w:tcW w:w="1559" w:type="dxa"/>
            <w:tcBorders>
              <w:top w:val="nil"/>
              <w:left w:val="nil"/>
              <w:bottom w:val="single" w:sz="4" w:space="0" w:color="auto"/>
              <w:right w:val="single" w:sz="4" w:space="0" w:color="auto"/>
            </w:tcBorders>
            <w:shd w:val="clear" w:color="auto" w:fill="C6EFCE"/>
            <w:noWrap/>
            <w:vAlign w:val="center"/>
          </w:tcPr>
          <w:p w14:paraId="0019205A" w14:textId="77777777" w:rsidR="0023462A" w:rsidRDefault="00A550FA">
            <w:pPr>
              <w:pStyle w:val="P68B1DB1-Normal32"/>
              <w:spacing w:after="120" w:line="240" w:lineRule="auto"/>
              <w:rPr>
                <w:noProof/>
              </w:rPr>
            </w:pPr>
            <w:r>
              <w:rPr>
                <w:noProof/>
              </w:rPr>
              <w:t xml:space="preserve">Certificat de transfert </w:t>
            </w:r>
          </w:p>
        </w:tc>
        <w:tc>
          <w:tcPr>
            <w:tcW w:w="1843" w:type="dxa"/>
            <w:tcBorders>
              <w:top w:val="nil"/>
              <w:left w:val="nil"/>
              <w:bottom w:val="single" w:sz="4" w:space="0" w:color="auto"/>
              <w:right w:val="single" w:sz="4" w:space="0" w:color="auto"/>
            </w:tcBorders>
            <w:shd w:val="clear" w:color="auto" w:fill="C6EFCE"/>
            <w:noWrap/>
            <w:vAlign w:val="center"/>
          </w:tcPr>
          <w:p w14:paraId="5EFAC4DB" w14:textId="77777777" w:rsidR="0023462A" w:rsidRDefault="0023462A">
            <w:pPr>
              <w:spacing w:after="120" w:line="240" w:lineRule="auto"/>
              <w:rPr>
                <w:rFonts w:ascii="Times New Roman" w:eastAsia="Calibri" w:hAnsi="Times New Roman" w:cs="Times New Roman"/>
                <w:noProof/>
                <w:sz w:val="18"/>
                <w:szCs w:val="18"/>
              </w:rPr>
            </w:pPr>
          </w:p>
        </w:tc>
        <w:tc>
          <w:tcPr>
            <w:tcW w:w="1276" w:type="dxa"/>
            <w:tcBorders>
              <w:top w:val="nil"/>
              <w:left w:val="nil"/>
              <w:bottom w:val="single" w:sz="4" w:space="0" w:color="auto"/>
              <w:right w:val="single" w:sz="4" w:space="0" w:color="auto"/>
            </w:tcBorders>
            <w:shd w:val="clear" w:color="auto" w:fill="C6EFCE"/>
            <w:noWrap/>
            <w:vAlign w:val="center"/>
          </w:tcPr>
          <w:p w14:paraId="555EED2F" w14:textId="77777777" w:rsidR="0023462A" w:rsidRDefault="0023462A">
            <w:pPr>
              <w:spacing w:after="120" w:line="240" w:lineRule="auto"/>
              <w:rPr>
                <w:rFonts w:ascii="Times New Roman" w:eastAsia="Calibri" w:hAnsi="Times New Roman" w:cs="Times New Roman"/>
                <w:noProof/>
                <w:sz w:val="18"/>
                <w:szCs w:val="18"/>
              </w:rPr>
            </w:pPr>
          </w:p>
        </w:tc>
        <w:tc>
          <w:tcPr>
            <w:tcW w:w="850" w:type="dxa"/>
            <w:tcBorders>
              <w:top w:val="nil"/>
              <w:left w:val="nil"/>
              <w:bottom w:val="single" w:sz="4" w:space="0" w:color="auto"/>
              <w:right w:val="single" w:sz="4" w:space="0" w:color="auto"/>
            </w:tcBorders>
            <w:shd w:val="clear" w:color="auto" w:fill="C6EFCE"/>
            <w:noWrap/>
            <w:vAlign w:val="center"/>
          </w:tcPr>
          <w:p w14:paraId="35BE1392" w14:textId="77777777" w:rsidR="0023462A" w:rsidRDefault="0023462A">
            <w:pPr>
              <w:spacing w:after="120" w:line="240" w:lineRule="auto"/>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5801864E" w14:textId="77777777" w:rsidR="0023462A" w:rsidRDefault="00A550FA">
            <w:pPr>
              <w:pStyle w:val="P68B1DB1-Normal32"/>
              <w:spacing w:after="120" w:line="240" w:lineRule="auto"/>
              <w:rPr>
                <w:rFonts w:eastAsia="Calibri"/>
                <w:noProof/>
              </w:rPr>
            </w:pPr>
            <w:r>
              <w:rPr>
                <w:noProof/>
              </w:rPr>
              <w:t>T2</w:t>
            </w:r>
          </w:p>
        </w:tc>
        <w:tc>
          <w:tcPr>
            <w:tcW w:w="1134" w:type="dxa"/>
            <w:tcBorders>
              <w:top w:val="nil"/>
              <w:left w:val="nil"/>
              <w:bottom w:val="single" w:sz="4" w:space="0" w:color="auto"/>
              <w:right w:val="single" w:sz="4" w:space="0" w:color="auto"/>
            </w:tcBorders>
            <w:shd w:val="clear" w:color="auto" w:fill="C6EFCE"/>
            <w:noWrap/>
            <w:vAlign w:val="center"/>
          </w:tcPr>
          <w:p w14:paraId="4D8A3600" w14:textId="77777777" w:rsidR="0023462A" w:rsidRDefault="00A550FA">
            <w:pPr>
              <w:pStyle w:val="P68B1DB1-Normal32"/>
              <w:spacing w:after="120" w:line="240" w:lineRule="auto"/>
              <w:rPr>
                <w:rFonts w:eastAsia="Calibri"/>
                <w:noProof/>
              </w:rPr>
            </w:pPr>
            <w:r>
              <w:rPr>
                <w:noProof/>
              </w:rPr>
              <w:t>2026</w:t>
            </w:r>
          </w:p>
        </w:tc>
        <w:tc>
          <w:tcPr>
            <w:tcW w:w="3544" w:type="dxa"/>
            <w:tcBorders>
              <w:top w:val="nil"/>
              <w:left w:val="nil"/>
              <w:bottom w:val="single" w:sz="4" w:space="0" w:color="auto"/>
              <w:right w:val="single" w:sz="4" w:space="0" w:color="auto"/>
            </w:tcBorders>
            <w:shd w:val="clear" w:color="auto" w:fill="C6EFCE"/>
            <w:noWrap/>
            <w:vAlign w:val="center"/>
          </w:tcPr>
          <w:p w14:paraId="4A468BC5" w14:textId="17D41190" w:rsidR="0023462A" w:rsidRDefault="00A550FA">
            <w:pPr>
              <w:pStyle w:val="P68B1DB1-Normal32"/>
              <w:spacing w:after="120" w:line="240" w:lineRule="auto"/>
              <w:rPr>
                <w:noProof/>
              </w:rPr>
            </w:pPr>
            <w:r>
              <w:rPr>
                <w:noProof/>
              </w:rPr>
              <w:t>La Hongrie transfère 61 266 991 EUR à la MFB pour la facilité.</w:t>
            </w:r>
          </w:p>
        </w:tc>
      </w:tr>
    </w:tbl>
    <w:p w14:paraId="723C291E" w14:textId="77777777" w:rsidR="0023462A" w:rsidRDefault="0023462A">
      <w:pPr>
        <w:keepNext/>
        <w:spacing w:after="120" w:line="240" w:lineRule="auto"/>
        <w:jc w:val="both"/>
        <w:rPr>
          <w:rFonts w:ascii="Times New Roman" w:eastAsia="Times New Roman" w:hAnsi="Times New Roman" w:cs="Times New Roman"/>
          <w:noProof/>
          <w:sz w:val="24"/>
          <w:szCs w:val="24"/>
        </w:rPr>
        <w:sectPr w:rsidR="0023462A" w:rsidSect="00673131">
          <w:headerReference w:type="default" r:id="rId108"/>
          <w:footerReference w:type="default" r:id="rId109"/>
          <w:pgSz w:w="16839" w:h="11907" w:orient="landscape"/>
          <w:pgMar w:top="1134" w:right="1134" w:bottom="1134" w:left="1134" w:header="567" w:footer="567" w:gutter="0"/>
          <w:cols w:space="708"/>
          <w:docGrid w:linePitch="326"/>
        </w:sectPr>
      </w:pPr>
    </w:p>
    <w:p w14:paraId="6BD54456" w14:textId="164CAAC1" w:rsidR="0023462A" w:rsidRDefault="00A550FA">
      <w:pPr>
        <w:pStyle w:val="P68B1DB1-Normal44"/>
        <w:keepNext/>
        <w:spacing w:after="120" w:line="240" w:lineRule="auto"/>
        <w:jc w:val="both"/>
        <w:outlineLvl w:val="1"/>
        <w:rPr>
          <w:noProof/>
        </w:rPr>
      </w:pPr>
      <w:r>
        <w:rPr>
          <w:noProof/>
        </w:rPr>
        <w:t>J. Élément 10: ENVIRONNEMENT DES ENTREPRISES</w:t>
      </w:r>
    </w:p>
    <w:p w14:paraId="0998E7E4" w14:textId="47D11652" w:rsidR="0023462A" w:rsidRDefault="00A550FA">
      <w:pPr>
        <w:pStyle w:val="P68B1DB1-Normal6"/>
        <w:autoSpaceDE w:val="0"/>
        <w:autoSpaceDN w:val="0"/>
        <w:adjustRightInd w:val="0"/>
        <w:spacing w:after="120" w:line="240" w:lineRule="auto"/>
        <w:jc w:val="both"/>
        <w:rPr>
          <w:noProof/>
        </w:rPr>
      </w:pPr>
      <w:r>
        <w:rPr>
          <w:noProof/>
        </w:rPr>
        <w:t>L'objectif de ce volet est de renforcer la capacité de la Banque hongroise de développement (Magyar Fejlesztési Bank, MFB) à remédier aux défaillances du marché et à soutenir le développement économique de la Hongrie, en associant une réforme de la gouvernance à une injection importante de fonds propres. La réforme de la gouvernance vise à renforcer l'indépendance, le cadre opérationnel et les structures de responsabilisation de la MFB. L’injection de fonds propres permettra à la MFB d’intensifier son activité de financement sur trois lignes de programme stratégiques: Compétitivité des PME, logements locatifs et étudiants abordables et capital-risque pour les entreprises en phase de démarrage et à forte croissance.</w:t>
      </w:r>
    </w:p>
    <w:p w14:paraId="4DD4FE44" w14:textId="1CC46AF1" w:rsidR="0023462A" w:rsidRDefault="00A550FA">
      <w:pPr>
        <w:pStyle w:val="P68B1DB1-Normal34"/>
        <w:spacing w:after="120" w:line="240" w:lineRule="auto"/>
        <w:jc w:val="both"/>
        <w:rPr>
          <w:noProof/>
        </w:rPr>
      </w:pPr>
      <w:r>
        <w:rPr>
          <w:noProof/>
        </w:rPr>
        <w:t>Ce volet contribue à donner suite aux recommandations par pays, en particulier la recommandation 2022.5 (promouvoir l’investissement dans la recherche et l’innovation), la recommandation 2023.1 (mesures de soutien ciblé dans le secteur du logement en faveur des ménages à faible revenu), la recommandation 2024.1 (mesures de soutien ciblé dans le secteur du logement en faveur des ménages à faible revenu), la recommandation 2025.1, les recommandations 3 et 6 (Supprimer progressivement les plafonds de prix et de taux d’intérêt restants et les mesures équivalentes; Stimuler le développement des marchés des capitaux en augmentant les incitations fiscales et réglementaires; renforcer le cadre d'innovation pour le secteur public et les entreprises en améliorant la prévisibilité des dépenses publiques de R&amp;D et en ciblant mieux les mesures existantes en faveur des PME; cibler les mesures de soutien dans le secteur du logement en faveur des ménages à faible revenu et accroître l’offre de logements, y compris pour les logements sociaux).</w:t>
      </w:r>
    </w:p>
    <w:p w14:paraId="44CFAB7E" w14:textId="203ACD63" w:rsidR="0023462A" w:rsidRDefault="00A550FA">
      <w:pPr>
        <w:pStyle w:val="P68B1DB1-Normal34"/>
        <w:spacing w:after="120" w:line="240" w:lineRule="auto"/>
        <w:jc w:val="both"/>
        <w:rPr>
          <w:noProof/>
        </w:rPr>
      </w:pPr>
      <w:r>
        <w:rPr>
          <w:noProof/>
        </w:rPr>
        <w:t>Aucune mesure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«ne pas causer de préjudice important» (2021/C58/01).</w:t>
      </w:r>
    </w:p>
    <w:p w14:paraId="6F8EAA6C" w14:textId="1B9AAC7C" w:rsidR="0023462A" w:rsidRDefault="00A550FA">
      <w:pPr>
        <w:pStyle w:val="P68B1DB1-Heading310"/>
        <w:spacing w:before="0" w:after="120"/>
        <w:rPr>
          <w:noProof/>
        </w:rPr>
      </w:pPr>
      <w:r>
        <w:rPr>
          <w:noProof/>
        </w:rPr>
        <w:t>J.1. Description des réformes et des investissements pour le soutien financier non remboursable</w:t>
      </w:r>
    </w:p>
    <w:p w14:paraId="561B97E9" w14:textId="432B5195" w:rsidR="0023462A" w:rsidRDefault="00A550FA">
      <w:pPr>
        <w:pStyle w:val="P68B1DB1-Heading411"/>
        <w:spacing w:before="0" w:after="120" w:line="240" w:lineRule="auto"/>
        <w:rPr>
          <w:noProof/>
        </w:rPr>
      </w:pPr>
      <w:r>
        <w:rPr>
          <w:noProof/>
        </w:rPr>
        <w:t>C10.R1 : Réforme de la gouvernance de la Magyar Fejlesztési Bank</w:t>
      </w:r>
    </w:p>
    <w:p w14:paraId="7B9F9C2F" w14:textId="7A38C37F" w:rsidR="0023462A" w:rsidRDefault="00A550FA">
      <w:pPr>
        <w:pStyle w:val="P68B1DB1-Normal34"/>
        <w:spacing w:after="120" w:line="240" w:lineRule="auto"/>
        <w:jc w:val="both"/>
        <w:rPr>
          <w:noProof/>
        </w:rPr>
      </w:pPr>
      <w:r>
        <w:rPr>
          <w:noProof/>
        </w:rPr>
        <w:t>L’objectif de cette mesure est de réformer la société à responsabilité limitée de la Banque hongroise de développement (Magyar</w:t>
      </w:r>
      <w:r>
        <w:rPr>
          <w:i/>
          <w:noProof/>
        </w:rPr>
        <w:t xml:space="preserve"> Fejlesztési Bank Zrt.</w:t>
      </w:r>
      <w:r>
        <w:rPr>
          <w:noProof/>
        </w:rPr>
        <w:t xml:space="preserve"> (MFB)), afin de renforcer son indépendance, sa gouvernance et son cadre opérationnel. </w:t>
      </w:r>
    </w:p>
    <w:p w14:paraId="299FBF5C" w14:textId="6EA147BD" w:rsidR="0023462A" w:rsidRDefault="00A550FA">
      <w:pPr>
        <w:pStyle w:val="P68B1DB1-Normal34"/>
        <w:spacing w:after="120" w:line="240" w:lineRule="auto"/>
        <w:jc w:val="both"/>
        <w:rPr>
          <w:noProof/>
        </w:rPr>
      </w:pPr>
      <w:r>
        <w:rPr>
          <w:noProof/>
        </w:rPr>
        <w:t>La réforme consiste en l’adoption d’une législation modifiant la gouvernance et le cadre opérationnel de la MFB, ainsi que les modalités de nomination du conseil d’administration, du conseil de surveillance et du comité d’audit.</w:t>
      </w:r>
    </w:p>
    <w:p w14:paraId="58B3ED1F" w14:textId="294EA3F3" w:rsidR="0023462A" w:rsidRDefault="00A550FA">
      <w:pPr>
        <w:pStyle w:val="P68B1DB1-Heading411"/>
        <w:spacing w:before="0" w:after="120" w:line="240" w:lineRule="auto"/>
        <w:rPr>
          <w:noProof/>
        </w:rPr>
      </w:pPr>
      <w:r>
        <w:rPr>
          <w:noProof/>
        </w:rPr>
        <w:t>C10.I1 : Injection de fonds propres dans Magyar Fejlesztési Bank (MFB)</w:t>
      </w:r>
    </w:p>
    <w:p w14:paraId="099C9243" w14:textId="545A0D88" w:rsidR="0023462A" w:rsidRDefault="00A550FA">
      <w:pPr>
        <w:pStyle w:val="P68B1DB1-Normal34"/>
        <w:spacing w:after="120" w:line="240" w:lineRule="auto"/>
        <w:jc w:val="both"/>
        <w:rPr>
          <w:noProof/>
        </w:rPr>
      </w:pPr>
      <w:r>
        <w:rPr>
          <w:noProof/>
        </w:rPr>
        <w:t>L’objectif de cette mesure est de soutenir le potentiel de croissance de l’économie hongroise en ajustant structurellement le niveau de soutien public disponible pour remédier aux défaillances et aux inefficacités du marché au sein de l’économie. La mesure consistera en une injection de fonds propres de 1 126 815 025 EUR dans la société anonyme hongroise</w:t>
      </w:r>
      <w:r>
        <w:rPr>
          <w:i/>
          <w:noProof/>
        </w:rPr>
        <w:t xml:space="preserve"> de la Banque de développement (Magyar Fejlesztési Bank Zrt.</w:t>
      </w:r>
      <w:r>
        <w:rPr>
          <w:noProof/>
        </w:rPr>
        <w:t xml:space="preserve"> (MFB)). </w:t>
      </w:r>
    </w:p>
    <w:p w14:paraId="144DCFAF" w14:textId="7C566E71" w:rsidR="0023462A" w:rsidRDefault="00A550FA">
      <w:pPr>
        <w:pStyle w:val="P68B1DB1-Normal34"/>
        <w:spacing w:after="120" w:line="240" w:lineRule="auto"/>
        <w:jc w:val="both"/>
        <w:rPr>
          <w:noProof/>
        </w:rPr>
      </w:pPr>
      <w:r>
        <w:rPr>
          <w:noProof/>
        </w:rPr>
        <w:t xml:space="preserve">La MFB adopte une nouvelle politique d'investissement pour l'utilisation des fonds propres supplémentaires. La politique d’investissement définit la répartition des fonds propres entre trois lignes de programme, à savoir i) la compétitivité des PME, ii) les logements locatifs abordables et le développement des dortoirs d’étudiants pour les ménages à faible revenu et les étudiants, iii) le capital-risque et le capital de croissance. Elle comprend également la description du ou des produits financiers, y compris le type attendu de bénéficiaires finaux éligibles </w:t>
      </w:r>
      <w:bookmarkStart w:id="5" w:name="_Hlk198572061"/>
      <w:r>
        <w:rPr>
          <w:noProof/>
        </w:rPr>
        <w:t>que les fonds propres supplémentaires devraient initialement soutenir,</w:t>
      </w:r>
      <w:bookmarkEnd w:id="5"/>
      <w:r>
        <w:rPr>
          <w:noProof/>
        </w:rPr>
        <w:t xml:space="preserve"> </w:t>
      </w:r>
      <w:bookmarkStart w:id="6" w:name="_Hlk198538454"/>
      <w:r>
        <w:rPr>
          <w:noProof/>
        </w:rPr>
        <w:t xml:space="preserve">le calendrier de mise en œuvre attendu et les montants alloués à chaque </w:t>
      </w:r>
      <w:bookmarkEnd w:id="6"/>
      <w:r>
        <w:rPr>
          <w:noProof/>
        </w:rPr>
        <w:t xml:space="preserve">programme financier, ainsi que le multiplicateur de levier attendu par programme d’investissement. </w:t>
      </w:r>
    </w:p>
    <w:p w14:paraId="2F05FC4C" w14:textId="77777777" w:rsidR="0023462A" w:rsidRDefault="00A550FA">
      <w:pPr>
        <w:pStyle w:val="P68B1DB1-Normal34"/>
        <w:spacing w:after="120" w:line="240" w:lineRule="auto"/>
        <w:jc w:val="both"/>
        <w:rPr>
          <w:noProof/>
        </w:rPr>
      </w:pPr>
      <w:r>
        <w:rPr>
          <w:noProof/>
        </w:rPr>
        <w:t xml:space="preserve">La MFB utilise pour les fonds propres supplémentaires le même système d’audit et de contrôle que celui qui a été évalué positivement par la Commission conformément à l’article 157 du règlement (UE, Euratom) 2024/2509. </w:t>
      </w:r>
    </w:p>
    <w:p w14:paraId="720C5FBE" w14:textId="77777777" w:rsidR="0023462A" w:rsidRDefault="00A550FA">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La politique d’investissement exige que le ou les produits financiers soutenus par les fonds propres supplémentaires respectent le principe consistant à «ne pas causer de préjudice important» (DNSH) énoncé dans les orientations techniques DNSH (2021/C58/01). En particulier, la politique d'investissement exclut de l'éligibilité la liste suivante d'activités et d'actifs: (i) les activités et les actifs liés aux combustibles fossiles, y compris l’utilisation en aval</w:t>
      </w:r>
      <w:r w:rsidRPr="008B7BE6">
        <w:rPr>
          <w:rFonts w:ascii="Times New Roman" w:hAnsi="Times New Roman" w:cs="Times New Roman"/>
          <w:noProof/>
          <w:sz w:val="24"/>
          <w:szCs w:val="24"/>
          <w:vertAlign w:val="superscript"/>
        </w:rPr>
        <w:footnoteReference w:id="18"/>
      </w:r>
      <w:r>
        <w:rPr>
          <w:rFonts w:ascii="Times New Roman" w:hAnsi="Times New Roman" w:cs="Times New Roman"/>
          <w:noProof/>
          <w:sz w:val="24"/>
          <w:szCs w:val="24"/>
        </w:rPr>
        <w:t>, (ii) les activités et les actifs relevant du système d’échange de quotas d’émission de l’UE (SEQE) permettant d’atteindre des émissions de gaz à effet de serre prévues qui ne sont pas inférieures aux référentiels pertinents</w:t>
      </w:r>
      <w:r w:rsidRPr="008B7BE6">
        <w:rPr>
          <w:rFonts w:ascii="Times New Roman" w:hAnsi="Times New Roman" w:cs="Times New Roman"/>
          <w:noProof/>
          <w:sz w:val="24"/>
          <w:szCs w:val="24"/>
          <w:vertAlign w:val="superscript"/>
        </w:rPr>
        <w:footnoteReference w:id="19"/>
      </w:r>
      <w:r>
        <w:rPr>
          <w:rFonts w:ascii="Times New Roman" w:hAnsi="Times New Roman" w:cs="Times New Roman"/>
          <w:noProof/>
          <w:sz w:val="24"/>
          <w:szCs w:val="24"/>
        </w:rPr>
        <w:t>, (iii) les activités et les actifs liés aux décharges de déchets, aux incinérateurs</w:t>
      </w:r>
      <w:r>
        <w:rPr>
          <w:rStyle w:val="FootnoteReference"/>
          <w:rFonts w:ascii="Times New Roman" w:hAnsi="Times New Roman" w:cs="Times New Roman"/>
          <w:b w:val="0"/>
          <w:noProof/>
          <w:sz w:val="24"/>
          <w:szCs w:val="24"/>
        </w:rPr>
        <w:footnoteReference w:id="20"/>
      </w:r>
      <w:r>
        <w:rPr>
          <w:rFonts w:ascii="Times New Roman" w:hAnsi="Times New Roman" w:cs="Times New Roman"/>
          <w:noProof/>
          <w:sz w:val="24"/>
          <w:szCs w:val="24"/>
        </w:rPr>
        <w:t xml:space="preserve"> et aux usines de traitement biologique mécanique</w:t>
      </w:r>
      <w:r>
        <w:rPr>
          <w:rStyle w:val="FootnoteReference"/>
          <w:rFonts w:ascii="Times New Roman" w:hAnsi="Times New Roman" w:cs="Times New Roman"/>
          <w:b w:val="0"/>
          <w:noProof/>
          <w:sz w:val="24"/>
          <w:szCs w:val="24"/>
        </w:rPr>
        <w:footnoteReference w:id="21"/>
      </w:r>
      <w:r>
        <w:rPr>
          <w:rFonts w:ascii="Times New Roman" w:hAnsi="Times New Roman" w:cs="Times New Roman"/>
          <w:noProof/>
          <w:sz w:val="24"/>
          <w:szCs w:val="24"/>
        </w:rPr>
        <w:t>. En outre, dans le cas d'un soutien général aux entreprises, la politique d'investissement exclut les entreprises qui se concentrent essentiellement</w:t>
      </w:r>
      <w:r w:rsidRPr="008B7BE6">
        <w:rPr>
          <w:rFonts w:ascii="Times New Roman" w:hAnsi="Times New Roman" w:cs="Times New Roman"/>
          <w:noProof/>
          <w:sz w:val="24"/>
          <w:szCs w:val="24"/>
          <w:vertAlign w:val="superscript"/>
        </w:rPr>
        <w:footnoteReference w:id="22"/>
      </w:r>
      <w:r>
        <w:rPr>
          <w:rFonts w:ascii="Times New Roman" w:hAnsi="Times New Roman" w:cs="Times New Roman"/>
          <w:noProof/>
          <w:sz w:val="24"/>
          <w:szCs w:val="24"/>
        </w:rPr>
        <w:t xml:space="preserve"> sur les secteurs suivants: i) la production d’énergie à partir de combustibles fossiles et les activités connexes;</w:t>
      </w:r>
      <w:r w:rsidRPr="008B7BE6">
        <w:rPr>
          <w:rFonts w:ascii="Times New Roman" w:hAnsi="Times New Roman" w:cs="Times New Roman"/>
          <w:noProof/>
          <w:sz w:val="24"/>
          <w:szCs w:val="24"/>
          <w:vertAlign w:val="superscript"/>
        </w:rPr>
        <w:footnoteReference w:id="23"/>
      </w:r>
      <w:r>
        <w:rPr>
          <w:rFonts w:ascii="Times New Roman" w:hAnsi="Times New Roman" w:cs="Times New Roman"/>
          <w:noProof/>
          <w:sz w:val="24"/>
          <w:szCs w:val="24"/>
        </w:rPr>
        <w:t xml:space="preserve"> ii) les industries à forte intensité énergétique et/ou à forte émission de CO2;</w:t>
      </w:r>
      <w:r w:rsidRPr="008B7BE6">
        <w:rPr>
          <w:rFonts w:ascii="Times New Roman" w:hAnsi="Times New Roman" w:cs="Times New Roman"/>
          <w:noProof/>
          <w:sz w:val="24"/>
          <w:szCs w:val="24"/>
          <w:vertAlign w:val="superscript"/>
        </w:rPr>
        <w:footnoteReference w:id="24"/>
      </w:r>
      <w:r>
        <w:rPr>
          <w:rFonts w:ascii="Times New Roman" w:hAnsi="Times New Roman" w:cs="Times New Roman"/>
          <w:noProof/>
          <w:sz w:val="24"/>
          <w:szCs w:val="24"/>
        </w:rPr>
        <w:t xml:space="preserve"> iii) la production, la location ou la vente de véhicules polluants;</w:t>
      </w:r>
      <w:r w:rsidRPr="008B7BE6">
        <w:rPr>
          <w:rFonts w:ascii="Times New Roman" w:hAnsi="Times New Roman" w:cs="Times New Roman"/>
          <w:noProof/>
          <w:sz w:val="24"/>
          <w:szCs w:val="24"/>
          <w:vertAlign w:val="superscript"/>
        </w:rPr>
        <w:footnoteReference w:id="25"/>
      </w:r>
      <w:r>
        <w:rPr>
          <w:rFonts w:ascii="Times New Roman" w:hAnsi="Times New Roman" w:cs="Times New Roman"/>
          <w:noProof/>
          <w:sz w:val="24"/>
          <w:szCs w:val="24"/>
        </w:rPr>
        <w:t xml:space="preserve"> iv) la collecte, le traitement et</w:t>
      </w:r>
      <w:r w:rsidRPr="008B7BE6">
        <w:rPr>
          <w:rFonts w:ascii="Times New Roman" w:hAnsi="Times New Roman" w:cs="Times New Roman"/>
          <w:noProof/>
          <w:sz w:val="24"/>
          <w:szCs w:val="24"/>
          <w:vertAlign w:val="superscript"/>
        </w:rPr>
        <w:footnoteReference w:id="26"/>
      </w:r>
      <w:r>
        <w:rPr>
          <w:rFonts w:ascii="Times New Roman" w:hAnsi="Times New Roman" w:cs="Times New Roman"/>
          <w:noProof/>
          <w:sz w:val="24"/>
          <w:szCs w:val="24"/>
        </w:rPr>
        <w:t xml:space="preserve"> l’élimination des déchets, v) le traitement du combustible nucléaire et la production d’énergie nucléaire. </w:t>
      </w:r>
    </w:p>
    <w:p w14:paraId="5B740BF3" w14:textId="5FC1E4D9" w:rsidR="0023462A" w:rsidRDefault="00A550FA">
      <w:pPr>
        <w:pStyle w:val="P68B1DB1-Normal34"/>
        <w:spacing w:after="120" w:line="240" w:lineRule="auto"/>
        <w:jc w:val="both"/>
        <w:rPr>
          <w:noProof/>
        </w:rPr>
      </w:pPr>
      <w:r>
        <w:rPr>
          <w:noProof/>
        </w:rPr>
        <w:t>En outre, la politique d'investissement exige le</w:t>
      </w:r>
      <w:r>
        <w:rPr>
          <w:b/>
          <w:noProof/>
        </w:rPr>
        <w:t xml:space="preserve"> </w:t>
      </w:r>
      <w:r>
        <w:rPr>
          <w:noProof/>
        </w:rPr>
        <w:t>respect de la législation environnementale pertinente de l'UE et des États membres par les bénéficiaires finals.</w:t>
      </w:r>
    </w:p>
    <w:p w14:paraId="19BD84AA" w14:textId="4F4EE808" w:rsidR="0023462A" w:rsidRDefault="00A550FA">
      <w:pPr>
        <w:pStyle w:val="P68B1DB1-Normal34"/>
        <w:spacing w:after="120" w:line="240" w:lineRule="auto"/>
        <w:jc w:val="both"/>
        <w:rPr>
          <w:noProof/>
        </w:rPr>
      </w:pPr>
      <w:r>
        <w:rPr>
          <w:noProof/>
        </w:rPr>
        <w:t>La réalisation satisfaisante des jalons au titre de cette mesure est subordonnée à la réalisation satisfaisante des jalons de la réforme 1 – réforme de la gouvernance de la Magyar Fejlesztési Bank.</w:t>
      </w:r>
    </w:p>
    <w:p w14:paraId="6204E7D0" w14:textId="25138860" w:rsidR="0023462A" w:rsidRDefault="0023462A">
      <w:pPr>
        <w:spacing w:after="120" w:line="240" w:lineRule="auto"/>
        <w:jc w:val="both"/>
        <w:rPr>
          <w:rFonts w:ascii="Times New Roman" w:hAnsi="Times New Roman" w:cs="Times New Roman"/>
          <w:noProof/>
          <w:sz w:val="24"/>
          <w:szCs w:val="24"/>
        </w:rPr>
        <w:sectPr w:rsidR="0023462A" w:rsidSect="004E6195">
          <w:headerReference w:type="even" r:id="rId110"/>
          <w:headerReference w:type="default" r:id="rId111"/>
          <w:footerReference w:type="even" r:id="rId112"/>
          <w:footerReference w:type="default" r:id="rId113"/>
          <w:headerReference w:type="first" r:id="rId114"/>
          <w:footerReference w:type="first" r:id="rId115"/>
          <w:pgSz w:w="12240" w:h="15840"/>
          <w:pgMar w:top="1440" w:right="1440" w:bottom="1440" w:left="1440" w:header="708" w:footer="708" w:gutter="0"/>
          <w:cols w:space="708"/>
          <w:docGrid w:linePitch="360"/>
        </w:sectPr>
      </w:pPr>
    </w:p>
    <w:p w14:paraId="1757975B" w14:textId="4AE60280" w:rsidR="0023462A" w:rsidRDefault="00A550FA">
      <w:pPr>
        <w:pStyle w:val="P68B1DB1-Heading310"/>
        <w:spacing w:before="0" w:after="120"/>
        <w:rPr>
          <w:noProof/>
        </w:rPr>
      </w:pPr>
      <w:r>
        <w:rPr>
          <w:noProof/>
        </w:rPr>
        <w:t xml:space="preserve">J.2. </w:t>
      </w:r>
      <w:r>
        <w:rPr>
          <w:noProof/>
        </w:rPr>
        <w:tab/>
        <w:t>Étapes, cibles, indicateurs et calendrier pour le suivi et la mise en œuvre du soutien financier non remboursable</w:t>
      </w:r>
    </w:p>
    <w:tbl>
      <w:tblPr>
        <w:tblW w:w="15307"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38"/>
        <w:gridCol w:w="1180"/>
        <w:gridCol w:w="1090"/>
        <w:gridCol w:w="2095"/>
        <w:gridCol w:w="1732"/>
        <w:gridCol w:w="945"/>
        <w:gridCol w:w="791"/>
        <w:gridCol w:w="756"/>
        <w:gridCol w:w="866"/>
        <w:gridCol w:w="888"/>
        <w:gridCol w:w="4126"/>
      </w:tblGrid>
      <w:tr w:rsidR="0023462A" w14:paraId="33185365" w14:textId="77777777">
        <w:trPr>
          <w:trHeight w:val="300"/>
          <w:tblHeader/>
          <w:jc w:val="center"/>
        </w:trPr>
        <w:tc>
          <w:tcPr>
            <w:tcW w:w="84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0EB38CB" w14:textId="77777777" w:rsidR="0023462A" w:rsidRDefault="00A550FA">
            <w:pPr>
              <w:pStyle w:val="P68B1DB1-Normal71"/>
              <w:spacing w:after="120" w:line="240" w:lineRule="auto"/>
              <w:jc w:val="center"/>
              <w:textAlignment w:val="baseline"/>
              <w:rPr>
                <w:noProof/>
              </w:rPr>
            </w:pPr>
            <w:r>
              <w:rPr>
                <w:noProof/>
              </w:rPr>
              <w:t>Seq. Numéro</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AEEB449" w14:textId="77777777" w:rsidR="0023462A" w:rsidRDefault="00A550FA">
            <w:pPr>
              <w:pStyle w:val="P68B1DB1-Normal71"/>
              <w:spacing w:after="120" w:line="240" w:lineRule="auto"/>
              <w:jc w:val="center"/>
              <w:textAlignment w:val="baseline"/>
              <w:rPr>
                <w:rFonts w:eastAsiaTheme="minorHAnsi"/>
                <w:noProof/>
              </w:rPr>
            </w:pPr>
            <w:r>
              <w:rPr>
                <w:noProof/>
              </w:rPr>
              <w:t>Mesure connexe (réforme ou investissement)</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2874DFA" w14:textId="3B9ADA48" w:rsidR="0023462A" w:rsidRDefault="00A550FA">
            <w:pPr>
              <w:pStyle w:val="P68B1DB1-Normal71"/>
              <w:spacing w:after="120" w:line="240" w:lineRule="auto"/>
              <w:jc w:val="center"/>
              <w:textAlignment w:val="baseline"/>
              <w:rPr>
                <w:rFonts w:eastAsiaTheme="minorHAnsi"/>
                <w:noProof/>
              </w:rPr>
            </w:pPr>
            <w:r>
              <w:rPr>
                <w:noProof/>
              </w:rPr>
              <w:t>Étape/objectif</w:t>
            </w:r>
          </w:p>
        </w:tc>
        <w:tc>
          <w:tcPr>
            <w:tcW w:w="212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BC75A97" w14:textId="77777777" w:rsidR="0023462A" w:rsidRDefault="00A550FA">
            <w:pPr>
              <w:pStyle w:val="P68B1DB1-Normal71"/>
              <w:spacing w:after="120" w:line="240" w:lineRule="auto"/>
              <w:jc w:val="center"/>
              <w:textAlignment w:val="baseline"/>
              <w:rPr>
                <w:rFonts w:eastAsiaTheme="minorHAnsi"/>
                <w:noProof/>
              </w:rPr>
            </w:pPr>
            <w:r>
              <w:rPr>
                <w:noProof/>
              </w:rPr>
              <w:t>Nom</w:t>
            </w:r>
          </w:p>
        </w:tc>
        <w:tc>
          <w:tcPr>
            <w:tcW w:w="175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9EB4CD7" w14:textId="11101C30" w:rsidR="0023462A" w:rsidRDefault="00A550FA">
            <w:pPr>
              <w:pStyle w:val="P68B1DB1-Normal72"/>
              <w:spacing w:after="120" w:line="240" w:lineRule="auto"/>
              <w:jc w:val="center"/>
              <w:textAlignment w:val="baseline"/>
              <w:rPr>
                <w:rFonts w:eastAsiaTheme="minorHAnsi"/>
                <w:noProof/>
              </w:rPr>
            </w:pPr>
            <w:r>
              <w:rPr>
                <w:b/>
                <w:noProof/>
              </w:rPr>
              <w:t>Indicateurs qualitatifs</w:t>
            </w:r>
            <w:r>
              <w:rPr>
                <w:noProof/>
              </w:rPr>
              <w:br/>
            </w:r>
            <w:r>
              <w:rPr>
                <w:b/>
                <w:noProof/>
              </w:rPr>
              <w:t>(pour les jalons)</w:t>
            </w:r>
          </w:p>
        </w:tc>
        <w:tc>
          <w:tcPr>
            <w:tcW w:w="2512"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42EFA2DB" w14:textId="53970DCB" w:rsidR="0023462A" w:rsidRDefault="00A550FA">
            <w:pPr>
              <w:pStyle w:val="P68B1DB1-Normal72"/>
              <w:spacing w:after="120" w:line="240" w:lineRule="auto"/>
              <w:jc w:val="center"/>
              <w:textAlignment w:val="baseline"/>
              <w:rPr>
                <w:rFonts w:eastAsiaTheme="minorHAnsi"/>
                <w:noProof/>
              </w:rPr>
            </w:pPr>
            <w:r>
              <w:rPr>
                <w:b/>
                <w:noProof/>
              </w:rPr>
              <w:t>Indicateurs quantitatifs</w:t>
            </w:r>
            <w:r>
              <w:rPr>
                <w:noProof/>
              </w:rPr>
              <w:t xml:space="preserve"> </w:t>
            </w:r>
            <w:r>
              <w:rPr>
                <w:noProof/>
              </w:rPr>
              <w:br/>
            </w:r>
            <w:r>
              <w:rPr>
                <w:b/>
                <w:noProof/>
              </w:rPr>
              <w:t>(pour les objectifs)</w:t>
            </w:r>
          </w:p>
        </w:tc>
        <w:tc>
          <w:tcPr>
            <w:tcW w:w="1771"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7E4781B9" w14:textId="421D11B4" w:rsidR="0023462A" w:rsidRDefault="00A550FA">
            <w:pPr>
              <w:pStyle w:val="P68B1DB1-Normal71"/>
              <w:spacing w:after="120" w:line="240" w:lineRule="auto"/>
              <w:jc w:val="center"/>
              <w:textAlignment w:val="baseline"/>
              <w:rPr>
                <w:rFonts w:eastAsiaTheme="minorHAnsi"/>
                <w:noProof/>
              </w:rPr>
            </w:pPr>
            <w:r>
              <w:rPr>
                <w:noProof/>
              </w:rPr>
              <w:t xml:space="preserve">Calendrier indicatif d'achèvement </w:t>
            </w:r>
          </w:p>
        </w:tc>
        <w:tc>
          <w:tcPr>
            <w:tcW w:w="420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489211" w14:textId="77777777" w:rsidR="0023462A" w:rsidRDefault="00A550FA">
            <w:pPr>
              <w:pStyle w:val="P68B1DB1-Normal71"/>
              <w:spacing w:after="120" w:line="240" w:lineRule="auto"/>
              <w:jc w:val="center"/>
              <w:textAlignment w:val="baseline"/>
              <w:rPr>
                <w:rFonts w:eastAsiaTheme="minorHAnsi"/>
                <w:noProof/>
              </w:rPr>
            </w:pPr>
            <w:r>
              <w:rPr>
                <w:noProof/>
              </w:rPr>
              <w:t>Description de chaque jalon et cible</w:t>
            </w:r>
          </w:p>
        </w:tc>
      </w:tr>
      <w:tr w:rsidR="0023462A" w14:paraId="1F99499C" w14:textId="77777777">
        <w:trPr>
          <w:trHeight w:val="79"/>
          <w:tblHeader/>
          <w:jc w:val="center"/>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47440C87" w14:textId="77777777" w:rsidR="0023462A" w:rsidRDefault="0023462A">
            <w:pPr>
              <w:spacing w:after="120" w:line="240" w:lineRule="auto"/>
              <w:jc w:val="center"/>
              <w:rPr>
                <w:rFonts w:ascii="Times New Roman" w:hAnsi="Times New Roman" w:cs="Times New Roman"/>
                <w:noProof/>
                <w:sz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8A171C9" w14:textId="77777777" w:rsidR="0023462A" w:rsidRDefault="0023462A">
            <w:pPr>
              <w:spacing w:after="120" w:line="240" w:lineRule="auto"/>
              <w:jc w:val="center"/>
              <w:rPr>
                <w:rFonts w:ascii="Times New Roman" w:hAnsi="Times New Roman" w:cs="Times New Roman"/>
                <w:noProof/>
                <w:sz w:val="18"/>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0496DE3A" w14:textId="77777777" w:rsidR="0023462A" w:rsidRDefault="0023462A">
            <w:pPr>
              <w:spacing w:after="120" w:line="240" w:lineRule="auto"/>
              <w:jc w:val="center"/>
              <w:rPr>
                <w:rFonts w:ascii="Times New Roman" w:hAnsi="Times New Roman" w:cs="Times New Roman"/>
                <w:noProof/>
                <w:sz w:val="18"/>
              </w:rPr>
            </w:pPr>
          </w:p>
        </w:tc>
        <w:tc>
          <w:tcPr>
            <w:tcW w:w="2128" w:type="dxa"/>
            <w:vMerge/>
            <w:tcBorders>
              <w:top w:val="single" w:sz="4" w:space="0" w:color="auto"/>
              <w:left w:val="single" w:sz="4" w:space="0" w:color="auto"/>
              <w:bottom w:val="single" w:sz="4" w:space="0" w:color="auto"/>
              <w:right w:val="single" w:sz="4" w:space="0" w:color="auto"/>
            </w:tcBorders>
            <w:vAlign w:val="center"/>
            <w:hideMark/>
          </w:tcPr>
          <w:p w14:paraId="2AD7FF02" w14:textId="77777777" w:rsidR="0023462A" w:rsidRDefault="0023462A">
            <w:pPr>
              <w:spacing w:after="120" w:line="240" w:lineRule="auto"/>
              <w:jc w:val="center"/>
              <w:rPr>
                <w:rFonts w:ascii="Times New Roman" w:hAnsi="Times New Roman" w:cs="Times New Roman"/>
                <w:noProof/>
                <w:sz w:val="18"/>
              </w:rPr>
            </w:pPr>
          </w:p>
        </w:tc>
        <w:tc>
          <w:tcPr>
            <w:tcW w:w="1752" w:type="dxa"/>
            <w:vMerge/>
            <w:tcBorders>
              <w:top w:val="single" w:sz="4" w:space="0" w:color="auto"/>
              <w:left w:val="single" w:sz="4" w:space="0" w:color="auto"/>
              <w:bottom w:val="single" w:sz="4" w:space="0" w:color="auto"/>
              <w:right w:val="single" w:sz="4" w:space="0" w:color="auto"/>
            </w:tcBorders>
            <w:vAlign w:val="center"/>
            <w:hideMark/>
          </w:tcPr>
          <w:p w14:paraId="3B5EC273" w14:textId="77777777" w:rsidR="0023462A" w:rsidRDefault="0023462A">
            <w:pPr>
              <w:spacing w:after="120" w:line="240" w:lineRule="auto"/>
              <w:jc w:val="center"/>
              <w:rPr>
                <w:rFonts w:ascii="Times New Roman" w:hAnsi="Times New Roman" w:cs="Times New Roman"/>
                <w:noProof/>
                <w:sz w:val="18"/>
              </w:rPr>
            </w:pPr>
          </w:p>
        </w:tc>
        <w:tc>
          <w:tcPr>
            <w:tcW w:w="95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D567DA2" w14:textId="77777777" w:rsidR="0023462A" w:rsidRDefault="00A550FA">
            <w:pPr>
              <w:pStyle w:val="P68B1DB1-Normal71"/>
              <w:spacing w:after="120" w:line="240" w:lineRule="auto"/>
              <w:jc w:val="center"/>
              <w:textAlignment w:val="baseline"/>
              <w:rPr>
                <w:rFonts w:eastAsiaTheme="minorHAnsi"/>
                <w:noProof/>
              </w:rPr>
            </w:pPr>
            <w:r>
              <w:rPr>
                <w:noProof/>
              </w:rPr>
              <w:t>Unité de mesure</w:t>
            </w:r>
          </w:p>
        </w:tc>
        <w:tc>
          <w:tcPr>
            <w:tcW w:w="7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A1E911C" w14:textId="77777777" w:rsidR="0023462A" w:rsidRDefault="00A550FA">
            <w:pPr>
              <w:pStyle w:val="P68B1DB1-Normal71"/>
              <w:spacing w:after="120" w:line="240" w:lineRule="auto"/>
              <w:jc w:val="center"/>
              <w:textAlignment w:val="baseline"/>
              <w:rPr>
                <w:rFonts w:eastAsiaTheme="minorHAnsi"/>
                <w:noProof/>
              </w:rPr>
            </w:pPr>
            <w:r>
              <w:rPr>
                <w:noProof/>
              </w:rPr>
              <w:t>Données de référence</w:t>
            </w:r>
          </w:p>
        </w:tc>
        <w:tc>
          <w:tcPr>
            <w:tcW w:w="76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1B1B02B" w14:textId="77777777" w:rsidR="0023462A" w:rsidRDefault="00A550FA">
            <w:pPr>
              <w:pStyle w:val="P68B1DB1-Normal71"/>
              <w:spacing w:after="120" w:line="240" w:lineRule="auto"/>
              <w:jc w:val="center"/>
              <w:textAlignment w:val="baseline"/>
              <w:rPr>
                <w:rFonts w:eastAsiaTheme="minorHAnsi"/>
                <w:noProof/>
              </w:rPr>
            </w:pPr>
            <w:r>
              <w:rPr>
                <w:noProof/>
              </w:rPr>
              <w:t>Objectif</w:t>
            </w:r>
          </w:p>
        </w:tc>
        <w:tc>
          <w:tcPr>
            <w:tcW w:w="86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8C04905" w14:textId="77777777" w:rsidR="0023462A" w:rsidRDefault="00A550FA">
            <w:pPr>
              <w:pStyle w:val="P68B1DB1-Normal71"/>
              <w:spacing w:after="120" w:line="240" w:lineRule="auto"/>
              <w:jc w:val="center"/>
              <w:textAlignment w:val="baseline"/>
              <w:rPr>
                <w:rFonts w:eastAsiaTheme="minorHAnsi"/>
                <w:noProof/>
              </w:rPr>
            </w:pPr>
            <w:r>
              <w:rPr>
                <w:noProof/>
              </w:rPr>
              <w:t>Trimestre</w:t>
            </w:r>
          </w:p>
        </w:tc>
        <w:tc>
          <w:tcPr>
            <w:tcW w:w="90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3BE3821" w14:textId="77777777" w:rsidR="0023462A" w:rsidRDefault="00A550FA">
            <w:pPr>
              <w:pStyle w:val="P68B1DB1-Normal71"/>
              <w:spacing w:after="120" w:line="240" w:lineRule="auto"/>
              <w:jc w:val="center"/>
              <w:textAlignment w:val="baseline"/>
              <w:rPr>
                <w:rFonts w:eastAsiaTheme="minorHAnsi"/>
                <w:noProof/>
              </w:rPr>
            </w:pPr>
            <w:r>
              <w:rPr>
                <w:noProof/>
              </w:rPr>
              <w:t>Année</w:t>
            </w:r>
          </w:p>
        </w:tc>
        <w:tc>
          <w:tcPr>
            <w:tcW w:w="4204" w:type="dxa"/>
            <w:vMerge/>
            <w:vAlign w:val="center"/>
            <w:hideMark/>
          </w:tcPr>
          <w:p w14:paraId="137C38BC" w14:textId="77777777" w:rsidR="0023462A" w:rsidRDefault="0023462A">
            <w:pPr>
              <w:spacing w:after="120" w:line="240" w:lineRule="auto"/>
              <w:rPr>
                <w:rFonts w:ascii="Times New Roman" w:hAnsi="Times New Roman" w:cs="Times New Roman"/>
                <w:noProof/>
                <w:sz w:val="18"/>
              </w:rPr>
            </w:pPr>
          </w:p>
        </w:tc>
      </w:tr>
      <w:tr w:rsidR="0023462A" w14:paraId="542F635B" w14:textId="77777777">
        <w:trPr>
          <w:trHeight w:val="915"/>
          <w:jc w:val="center"/>
        </w:trPr>
        <w:tc>
          <w:tcPr>
            <w:tcW w:w="846" w:type="dxa"/>
            <w:tcBorders>
              <w:top w:val="single" w:sz="4" w:space="0" w:color="auto"/>
              <w:left w:val="single" w:sz="4" w:space="0" w:color="auto"/>
              <w:bottom w:val="single" w:sz="4" w:space="0" w:color="auto"/>
              <w:right w:val="single" w:sz="4" w:space="0" w:color="auto"/>
            </w:tcBorders>
            <w:shd w:val="clear" w:color="auto" w:fill="C6EFCE"/>
          </w:tcPr>
          <w:p w14:paraId="56A999D2" w14:textId="68D9049B" w:rsidR="0023462A" w:rsidRDefault="00A550FA">
            <w:pPr>
              <w:pStyle w:val="P68B1DB1-Normal72"/>
              <w:spacing w:after="120" w:line="240" w:lineRule="auto"/>
              <w:rPr>
                <w:noProof/>
              </w:rPr>
            </w:pPr>
            <w:r>
              <w:rPr>
                <w:noProof/>
              </w:rPr>
              <w:t>117</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437EF750" w14:textId="711BE8D2" w:rsidR="0023462A" w:rsidRDefault="00A550FA">
            <w:pPr>
              <w:pStyle w:val="P68B1DB1-Normal32"/>
              <w:spacing w:after="120" w:line="240" w:lineRule="auto"/>
              <w:rPr>
                <w:rFonts w:eastAsiaTheme="minorHAnsi"/>
                <w:noProof/>
              </w:rPr>
            </w:pPr>
            <w:r>
              <w:rPr>
                <w:noProof/>
              </w:rPr>
              <w:t>C10.R1 Réforme de la gouvernance de la Magyar Fejlesztési Bank</w:t>
            </w:r>
          </w:p>
        </w:tc>
        <w:tc>
          <w:tcPr>
            <w:tcW w:w="960" w:type="dxa"/>
            <w:tcBorders>
              <w:top w:val="single" w:sz="4" w:space="0" w:color="auto"/>
              <w:left w:val="single" w:sz="4" w:space="0" w:color="auto"/>
              <w:bottom w:val="single" w:sz="4" w:space="0" w:color="auto"/>
              <w:right w:val="single" w:sz="4" w:space="0" w:color="auto"/>
            </w:tcBorders>
            <w:shd w:val="clear" w:color="auto" w:fill="C6EFCE"/>
          </w:tcPr>
          <w:p w14:paraId="78E292B9" w14:textId="191B6D25" w:rsidR="0023462A" w:rsidRDefault="00A550FA">
            <w:pPr>
              <w:pStyle w:val="P68B1DB1-Normal27"/>
              <w:spacing w:after="120" w:line="240" w:lineRule="auto"/>
              <w:rPr>
                <w:rFonts w:eastAsiaTheme="minorHAnsi"/>
                <w:noProof/>
              </w:rPr>
            </w:pPr>
            <w:r>
              <w:rPr>
                <w:noProof/>
              </w:rPr>
              <w:t>Étape</w:t>
            </w:r>
          </w:p>
        </w:tc>
        <w:tc>
          <w:tcPr>
            <w:tcW w:w="2128" w:type="dxa"/>
            <w:tcBorders>
              <w:top w:val="single" w:sz="4" w:space="0" w:color="auto"/>
              <w:left w:val="single" w:sz="4" w:space="0" w:color="auto"/>
              <w:bottom w:val="single" w:sz="4" w:space="0" w:color="auto"/>
              <w:right w:val="single" w:sz="4" w:space="0" w:color="auto"/>
            </w:tcBorders>
            <w:shd w:val="clear" w:color="auto" w:fill="C6EFCE"/>
          </w:tcPr>
          <w:p w14:paraId="20D0331F" w14:textId="20ADD25A" w:rsidR="0023462A" w:rsidRDefault="00A550FA">
            <w:pPr>
              <w:pStyle w:val="P68B1DB1-Normal32"/>
              <w:spacing w:after="120" w:line="240" w:lineRule="auto"/>
              <w:rPr>
                <w:rFonts w:eastAsiaTheme="minorHAnsi"/>
                <w:noProof/>
              </w:rPr>
            </w:pPr>
            <w:r>
              <w:rPr>
                <w:noProof/>
              </w:rPr>
              <w:t>Législation modifiant la gouvernance de la Magyar Fejlesztési Bank (MFB)</w:t>
            </w:r>
          </w:p>
        </w:tc>
        <w:tc>
          <w:tcPr>
            <w:tcW w:w="1752" w:type="dxa"/>
            <w:tcBorders>
              <w:top w:val="single" w:sz="4" w:space="0" w:color="auto"/>
              <w:left w:val="single" w:sz="4" w:space="0" w:color="auto"/>
              <w:bottom w:val="single" w:sz="4" w:space="0" w:color="auto"/>
              <w:right w:val="single" w:sz="4" w:space="0" w:color="auto"/>
            </w:tcBorders>
            <w:shd w:val="clear" w:color="auto" w:fill="C6EFCE"/>
          </w:tcPr>
          <w:p w14:paraId="6E45DF36" w14:textId="20560490" w:rsidR="0023462A" w:rsidRDefault="00A550FA">
            <w:pPr>
              <w:pStyle w:val="P68B1DB1-Normal27"/>
              <w:spacing w:after="120" w:line="240" w:lineRule="auto"/>
              <w:rPr>
                <w:rFonts w:eastAsiaTheme="minorHAnsi"/>
                <w:noProof/>
              </w:rPr>
            </w:pPr>
            <w:r>
              <w:rPr>
                <w:noProof/>
              </w:rPr>
              <w:t xml:space="preserve">Disposition de la législation indiquant l'entrée en vigueur de la législation </w:t>
            </w:r>
          </w:p>
        </w:tc>
        <w:tc>
          <w:tcPr>
            <w:tcW w:w="959" w:type="dxa"/>
            <w:tcBorders>
              <w:top w:val="single" w:sz="4" w:space="0" w:color="auto"/>
              <w:left w:val="single" w:sz="4" w:space="0" w:color="auto"/>
              <w:bottom w:val="single" w:sz="4" w:space="0" w:color="auto"/>
              <w:right w:val="single" w:sz="4" w:space="0" w:color="auto"/>
            </w:tcBorders>
            <w:shd w:val="clear" w:color="auto" w:fill="C6EFCE"/>
          </w:tcPr>
          <w:p w14:paraId="0991083E" w14:textId="71BC56FA" w:rsidR="0023462A" w:rsidRDefault="00A550FA">
            <w:pPr>
              <w:pStyle w:val="P68B1DB1-Normal27"/>
              <w:spacing w:after="120" w:line="240" w:lineRule="auto"/>
              <w:rPr>
                <w:rFonts w:eastAsiaTheme="minorHAnsi"/>
                <w:noProof/>
              </w:rPr>
            </w:pPr>
            <w:r>
              <w:rPr>
                <w:noProof/>
              </w:rPr>
              <w:t xml:space="preserve"> </w:t>
            </w:r>
          </w:p>
        </w:tc>
        <w:tc>
          <w:tcPr>
            <w:tcW w:w="793" w:type="dxa"/>
            <w:tcBorders>
              <w:top w:val="single" w:sz="4" w:space="0" w:color="auto"/>
              <w:left w:val="single" w:sz="4" w:space="0" w:color="auto"/>
              <w:bottom w:val="single" w:sz="4" w:space="0" w:color="auto"/>
              <w:right w:val="single" w:sz="4" w:space="0" w:color="auto"/>
            </w:tcBorders>
            <w:shd w:val="clear" w:color="auto" w:fill="C6EFCE"/>
          </w:tcPr>
          <w:p w14:paraId="1BF5DC1C" w14:textId="7BC3C06D" w:rsidR="0023462A" w:rsidRDefault="00A550FA">
            <w:pPr>
              <w:pStyle w:val="P68B1DB1-Normal27"/>
              <w:spacing w:after="120" w:line="240" w:lineRule="auto"/>
              <w:rPr>
                <w:rFonts w:eastAsiaTheme="minorHAnsi"/>
                <w:noProof/>
              </w:rPr>
            </w:pPr>
            <w:r>
              <w:rPr>
                <w:noProof/>
              </w:rPr>
              <w:t xml:space="preserve"> </w:t>
            </w:r>
          </w:p>
        </w:tc>
        <w:tc>
          <w:tcPr>
            <w:tcW w:w="760" w:type="dxa"/>
            <w:tcBorders>
              <w:top w:val="single" w:sz="4" w:space="0" w:color="auto"/>
              <w:left w:val="single" w:sz="4" w:space="0" w:color="auto"/>
              <w:bottom w:val="single" w:sz="4" w:space="0" w:color="auto"/>
              <w:right w:val="single" w:sz="4" w:space="0" w:color="auto"/>
            </w:tcBorders>
            <w:shd w:val="clear" w:color="auto" w:fill="C6EFCE"/>
          </w:tcPr>
          <w:p w14:paraId="4209F0BE" w14:textId="3D70B2D9" w:rsidR="0023462A" w:rsidRDefault="00A550FA">
            <w:pPr>
              <w:pStyle w:val="P68B1DB1-Normal27"/>
              <w:spacing w:after="120" w:line="240" w:lineRule="auto"/>
              <w:rPr>
                <w:rFonts w:eastAsiaTheme="minorHAnsi"/>
                <w:noProof/>
              </w:rPr>
            </w:pPr>
            <w:r>
              <w:rPr>
                <w:noProof/>
              </w:rPr>
              <w:t xml:space="preserve"> </w:t>
            </w:r>
          </w:p>
        </w:tc>
        <w:tc>
          <w:tcPr>
            <w:tcW w:w="869" w:type="dxa"/>
            <w:tcBorders>
              <w:top w:val="single" w:sz="4" w:space="0" w:color="auto"/>
              <w:left w:val="single" w:sz="4" w:space="0" w:color="auto"/>
              <w:bottom w:val="single" w:sz="4" w:space="0" w:color="auto"/>
              <w:right w:val="single" w:sz="4" w:space="0" w:color="auto"/>
            </w:tcBorders>
            <w:shd w:val="clear" w:color="auto" w:fill="C6EFCE"/>
          </w:tcPr>
          <w:p w14:paraId="1265894F" w14:textId="754AA25A" w:rsidR="0023462A" w:rsidRDefault="00A550FA">
            <w:pPr>
              <w:pStyle w:val="P68B1DB1-Normal27"/>
              <w:spacing w:after="120" w:line="240" w:lineRule="auto"/>
              <w:jc w:val="center"/>
              <w:rPr>
                <w:rFonts w:eastAsiaTheme="minorHAnsi"/>
                <w:noProof/>
              </w:rPr>
            </w:pPr>
            <w:r>
              <w:rPr>
                <w:noProof/>
              </w:rPr>
              <w:t>T2</w:t>
            </w:r>
          </w:p>
        </w:tc>
        <w:tc>
          <w:tcPr>
            <w:tcW w:w="902" w:type="dxa"/>
            <w:tcBorders>
              <w:top w:val="single" w:sz="4" w:space="0" w:color="auto"/>
              <w:left w:val="single" w:sz="4" w:space="0" w:color="auto"/>
              <w:bottom w:val="single" w:sz="4" w:space="0" w:color="auto"/>
              <w:right w:val="single" w:sz="4" w:space="0" w:color="auto"/>
            </w:tcBorders>
            <w:shd w:val="clear" w:color="auto" w:fill="C6EFCE"/>
          </w:tcPr>
          <w:p w14:paraId="5C515ED5" w14:textId="70587383" w:rsidR="0023462A" w:rsidRDefault="00A550FA">
            <w:pPr>
              <w:pStyle w:val="P68B1DB1-Normal27"/>
              <w:spacing w:after="120" w:line="240" w:lineRule="auto"/>
              <w:rPr>
                <w:rFonts w:eastAsiaTheme="minorHAnsi"/>
                <w:noProof/>
              </w:rPr>
            </w:pPr>
            <w:r>
              <w:rPr>
                <w:noProof/>
              </w:rPr>
              <w:t>2026</w:t>
            </w:r>
          </w:p>
        </w:tc>
        <w:tc>
          <w:tcPr>
            <w:tcW w:w="4204" w:type="dxa"/>
            <w:tcBorders>
              <w:top w:val="single" w:sz="4" w:space="0" w:color="auto"/>
              <w:left w:val="single" w:sz="4" w:space="0" w:color="auto"/>
              <w:bottom w:val="single" w:sz="4" w:space="0" w:color="auto"/>
              <w:right w:val="single" w:sz="4" w:space="0" w:color="auto"/>
            </w:tcBorders>
            <w:shd w:val="clear" w:color="auto" w:fill="C6EFCE"/>
          </w:tcPr>
          <w:p w14:paraId="49B7CB51" w14:textId="77777777" w:rsidR="0023462A" w:rsidRDefault="00A550FA">
            <w:pPr>
              <w:pStyle w:val="P68B1DB1-Normal27"/>
              <w:spacing w:after="120" w:line="240" w:lineRule="auto"/>
              <w:jc w:val="both"/>
              <w:rPr>
                <w:noProof/>
              </w:rPr>
            </w:pPr>
            <w:r>
              <w:rPr>
                <w:noProof/>
              </w:rPr>
              <w:t>La législation modifiant la gouvernance de la MFB entre en vigueur. La législation exige:</w:t>
            </w:r>
          </w:p>
          <w:p w14:paraId="2AFFBA18" w14:textId="5456A27C" w:rsidR="0023462A" w:rsidRDefault="00A550FA">
            <w:pPr>
              <w:pStyle w:val="P68B1DB1-ListParagraph68"/>
              <w:numPr>
                <w:ilvl w:val="0"/>
                <w:numId w:val="136"/>
              </w:numPr>
              <w:spacing w:after="120" w:line="240" w:lineRule="auto"/>
              <w:contextualSpacing w:val="0"/>
              <w:jc w:val="both"/>
              <w:rPr>
                <w:noProof/>
              </w:rPr>
            </w:pPr>
            <w:r>
              <w:rPr>
                <w:noProof/>
              </w:rPr>
              <w:t>L'interdiction pour les personnes occupant un poste politique de haut niveau, les personnes occupant un poste de haut niveau dans l'administration publique (y compris le secrétaire d'État administratif, le secrétaire d'État adjoint, le chef de département, le chef de département adjoint) et les personnes exerçant des activités professionnelles de lobbying (telles que définies dans la loi sur la MFB) d'occuper des postes au sein du conseil d'administration, du conseil de surveillance ou du comité d'audit de la MFB, complétée par une période de réflexion de six mois.</w:t>
            </w:r>
          </w:p>
          <w:p w14:paraId="2F92F220" w14:textId="3E12D019" w:rsidR="0023462A" w:rsidRDefault="00A550FA">
            <w:pPr>
              <w:pStyle w:val="P68B1DB1-ListParagraph68"/>
              <w:numPr>
                <w:ilvl w:val="0"/>
                <w:numId w:val="136"/>
              </w:numPr>
              <w:spacing w:after="120" w:line="240" w:lineRule="auto"/>
              <w:contextualSpacing w:val="0"/>
              <w:jc w:val="both"/>
              <w:rPr>
                <w:noProof/>
              </w:rPr>
            </w:pPr>
            <w:r>
              <w:rPr>
                <w:noProof/>
              </w:rPr>
              <w:t>L’établissement des procédures de nomination des membres du conseil d’administration, du conseil de surveillance et du comité d’audit, y compris en ce qui concerne l’adéquation objective et les critères professionnels, les garanties en matière de conflits d’intérêts, les déclarations d’intérêts obligatoires et les limites aux renouvellements de mandat.</w:t>
            </w:r>
          </w:p>
          <w:p w14:paraId="335F9370" w14:textId="72C62698" w:rsidR="0023462A" w:rsidRDefault="00A550FA">
            <w:pPr>
              <w:pStyle w:val="P68B1DB1-ListParagraph68"/>
              <w:numPr>
                <w:ilvl w:val="0"/>
                <w:numId w:val="136"/>
              </w:numPr>
              <w:spacing w:after="120" w:line="240" w:lineRule="auto"/>
              <w:contextualSpacing w:val="0"/>
              <w:jc w:val="both"/>
              <w:rPr>
                <w:noProof/>
              </w:rPr>
            </w:pPr>
            <w:r>
              <w:rPr>
                <w:noProof/>
              </w:rPr>
              <w:t>Les membres du conseil d'administration, du conseil de surveillance et du comité d'audit ne peuvent être révoqués que pour des motifs objectifs, qui sont précisés dans la loi.</w:t>
            </w:r>
          </w:p>
          <w:p w14:paraId="74A7F30C" w14:textId="69C2545C" w:rsidR="0023462A" w:rsidRDefault="00A550FA">
            <w:pPr>
              <w:pStyle w:val="P68B1DB1-ListParagraph68"/>
              <w:numPr>
                <w:ilvl w:val="0"/>
                <w:numId w:val="136"/>
              </w:numPr>
              <w:spacing w:after="120" w:line="240" w:lineRule="auto"/>
              <w:contextualSpacing w:val="0"/>
              <w:jc w:val="both"/>
              <w:rPr>
                <w:noProof/>
              </w:rPr>
            </w:pPr>
            <w:r>
              <w:rPr>
                <w:noProof/>
              </w:rPr>
              <w:t>la mise en place d’un comité d’entreprise et de gestion des risques chargé de fournir des avis et des recommandations non contraignants au conseil d’administration chargé des évaluations techniques et réglementaires des opérations d’investissement proposées et de vérifier le respect de la politique d’investissement, des règles de la FRR et d’autres exigences réglementaires applicables;</w:t>
            </w:r>
          </w:p>
          <w:p w14:paraId="6A23F883" w14:textId="77777777" w:rsidR="0023462A" w:rsidRDefault="00A550FA">
            <w:pPr>
              <w:pStyle w:val="P68B1DB1-ListParagraph43"/>
              <w:numPr>
                <w:ilvl w:val="0"/>
                <w:numId w:val="136"/>
              </w:numPr>
              <w:spacing w:after="120" w:line="240" w:lineRule="auto"/>
              <w:contextualSpacing w:val="0"/>
              <w:jc w:val="both"/>
              <w:rPr>
                <w:noProof/>
              </w:rPr>
            </w:pPr>
            <w:r>
              <w:rPr>
                <w:noProof/>
              </w:rPr>
              <w:t>L’interdiction faite à la MFB de financer des entités dont les bénéficiaires effectifs ne peuvent être vérifiés.</w:t>
            </w:r>
          </w:p>
          <w:p w14:paraId="01019BD3" w14:textId="4F79E01E" w:rsidR="0023462A" w:rsidRDefault="00A550FA">
            <w:pPr>
              <w:pStyle w:val="P68B1DB1-ListParagraph43"/>
              <w:numPr>
                <w:ilvl w:val="0"/>
                <w:numId w:val="136"/>
              </w:numPr>
              <w:spacing w:after="120" w:line="240" w:lineRule="auto"/>
              <w:contextualSpacing w:val="0"/>
              <w:jc w:val="both"/>
              <w:rPr>
                <w:noProof/>
              </w:rPr>
            </w:pPr>
            <w:r>
              <w:rPr>
                <w:noProof/>
              </w:rPr>
              <w:t>La vérification obligatoire des bénéficiaires effectifs avant les décisions de financement, ainsi que la publication annuelle d’informations sur les fonds financés, les véhicules de titrisation gérés par la MFB.</w:t>
            </w:r>
          </w:p>
          <w:p w14:paraId="35C3A626" w14:textId="7830FA02" w:rsidR="0023462A" w:rsidRDefault="00A550FA">
            <w:pPr>
              <w:pStyle w:val="P68B1DB1-ListParagraph43"/>
              <w:numPr>
                <w:ilvl w:val="0"/>
                <w:numId w:val="136"/>
              </w:numPr>
              <w:spacing w:after="120" w:line="240" w:lineRule="auto"/>
              <w:contextualSpacing w:val="0"/>
              <w:jc w:val="both"/>
              <w:rPr>
                <w:noProof/>
              </w:rPr>
            </w:pPr>
            <w:r>
              <w:rPr>
                <w:noProof/>
              </w:rPr>
              <w:t>La sélection de tous les intermédiaires financiers au moyen d'appels ouverts, concurrentiels et non exclusifs</w:t>
            </w:r>
          </w:p>
          <w:p w14:paraId="38B007FE" w14:textId="1E21D790" w:rsidR="0023462A" w:rsidRDefault="00A550FA">
            <w:pPr>
              <w:pStyle w:val="P68B1DB1-ListParagraph43"/>
              <w:numPr>
                <w:ilvl w:val="0"/>
                <w:numId w:val="136"/>
              </w:numPr>
              <w:spacing w:after="120" w:line="240" w:lineRule="auto"/>
              <w:contextualSpacing w:val="0"/>
              <w:jc w:val="both"/>
              <w:rPr>
                <w:noProof/>
              </w:rPr>
            </w:pPr>
            <w:r>
              <w:rPr>
                <w:noProof/>
              </w:rPr>
              <w:t>l’obligation de publier un rapport annuel de conformité établi par des auditeurs indépendants vérifiant le respect des critères énumérés ci-dessus. L’audit évalue également les procédures en matière d’intégrité et de conflits d’intérêts, le respect des procédures, la transparence des structures de redevances et les mécanismes mis en place pour éviter le double financement par des sources allouées au titre des programmes de l’Union.</w:t>
            </w:r>
          </w:p>
        </w:tc>
      </w:tr>
      <w:tr w:rsidR="0023462A" w14:paraId="53E26D0F" w14:textId="77777777">
        <w:trPr>
          <w:trHeight w:val="915"/>
          <w:jc w:val="center"/>
        </w:trPr>
        <w:tc>
          <w:tcPr>
            <w:tcW w:w="846" w:type="dxa"/>
            <w:tcBorders>
              <w:top w:val="single" w:sz="4" w:space="0" w:color="auto"/>
              <w:left w:val="single" w:sz="4" w:space="0" w:color="auto"/>
              <w:bottom w:val="single" w:sz="4" w:space="0" w:color="auto"/>
              <w:right w:val="single" w:sz="4" w:space="0" w:color="auto"/>
            </w:tcBorders>
            <w:shd w:val="clear" w:color="auto" w:fill="C6EFCE"/>
          </w:tcPr>
          <w:p w14:paraId="46A406A9" w14:textId="5DCAAE6F" w:rsidR="0023462A" w:rsidRDefault="00A550FA">
            <w:pPr>
              <w:pStyle w:val="P68B1DB1-Normal27"/>
              <w:autoSpaceDE w:val="0"/>
              <w:autoSpaceDN w:val="0"/>
              <w:adjustRightInd w:val="0"/>
              <w:spacing w:after="120" w:line="240" w:lineRule="auto"/>
              <w:jc w:val="both"/>
              <w:rPr>
                <w:noProof/>
              </w:rPr>
            </w:pPr>
            <w:r>
              <w:rPr>
                <w:noProof/>
              </w:rPr>
              <w:t>118</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DA06355" w14:textId="1545BF28" w:rsidR="0023462A" w:rsidRDefault="00A550FA">
            <w:pPr>
              <w:pStyle w:val="P68B1DB1-Normal32"/>
              <w:spacing w:after="120" w:line="240" w:lineRule="auto"/>
              <w:rPr>
                <w:noProof/>
              </w:rPr>
            </w:pPr>
            <w:r>
              <w:rPr>
                <w:noProof/>
              </w:rPr>
              <w:t>C10.R1 Réforme de la gouvernance de la Magyar Fejlesztési Bank</w:t>
            </w:r>
          </w:p>
        </w:tc>
        <w:tc>
          <w:tcPr>
            <w:tcW w:w="960" w:type="dxa"/>
            <w:tcBorders>
              <w:top w:val="single" w:sz="4" w:space="0" w:color="auto"/>
              <w:left w:val="single" w:sz="4" w:space="0" w:color="auto"/>
              <w:bottom w:val="single" w:sz="4" w:space="0" w:color="auto"/>
              <w:right w:val="single" w:sz="4" w:space="0" w:color="auto"/>
            </w:tcBorders>
            <w:shd w:val="clear" w:color="auto" w:fill="C6EFCE"/>
          </w:tcPr>
          <w:p w14:paraId="2D0F6782" w14:textId="5668D2AB" w:rsidR="0023462A" w:rsidRDefault="00A550FA">
            <w:pPr>
              <w:pStyle w:val="P68B1DB1-Normal27"/>
              <w:spacing w:after="120" w:line="240" w:lineRule="auto"/>
              <w:rPr>
                <w:noProof/>
              </w:rPr>
            </w:pPr>
            <w:r>
              <w:rPr>
                <w:noProof/>
              </w:rPr>
              <w:t>Étape</w:t>
            </w:r>
          </w:p>
        </w:tc>
        <w:tc>
          <w:tcPr>
            <w:tcW w:w="2128" w:type="dxa"/>
            <w:tcBorders>
              <w:top w:val="single" w:sz="4" w:space="0" w:color="auto"/>
              <w:left w:val="single" w:sz="4" w:space="0" w:color="auto"/>
              <w:bottom w:val="single" w:sz="4" w:space="0" w:color="auto"/>
              <w:right w:val="single" w:sz="4" w:space="0" w:color="auto"/>
            </w:tcBorders>
            <w:shd w:val="clear" w:color="auto" w:fill="C6EFCE"/>
          </w:tcPr>
          <w:p w14:paraId="43029F79" w14:textId="0E66E0F6" w:rsidR="0023462A" w:rsidRDefault="00A550FA">
            <w:pPr>
              <w:pStyle w:val="P68B1DB1-Normal27"/>
              <w:spacing w:after="120" w:line="240" w:lineRule="auto"/>
              <w:rPr>
                <w:noProof/>
              </w:rPr>
            </w:pPr>
            <w:r>
              <w:rPr>
                <w:noProof/>
              </w:rPr>
              <w:t>Désignation des organes de gouvernance de la MFB</w:t>
            </w:r>
          </w:p>
        </w:tc>
        <w:tc>
          <w:tcPr>
            <w:tcW w:w="1752" w:type="dxa"/>
            <w:tcBorders>
              <w:top w:val="single" w:sz="4" w:space="0" w:color="auto"/>
              <w:left w:val="single" w:sz="4" w:space="0" w:color="auto"/>
              <w:bottom w:val="single" w:sz="4" w:space="0" w:color="auto"/>
              <w:right w:val="single" w:sz="4" w:space="0" w:color="auto"/>
            </w:tcBorders>
            <w:shd w:val="clear" w:color="auto" w:fill="C6EFCE"/>
          </w:tcPr>
          <w:p w14:paraId="56ACB61A" w14:textId="3A2D1AB6" w:rsidR="0023462A" w:rsidRDefault="00A550FA">
            <w:pPr>
              <w:pStyle w:val="P68B1DB1-Normal27"/>
              <w:spacing w:after="120" w:line="240" w:lineRule="auto"/>
              <w:rPr>
                <w:noProof/>
              </w:rPr>
            </w:pPr>
            <w:r>
              <w:rPr>
                <w:noProof/>
              </w:rPr>
              <w:t xml:space="preserve">Nomination formelle des organes de gouvernance de la MFB conformément au nouveau cadre de gouvernance. </w:t>
            </w:r>
          </w:p>
        </w:tc>
        <w:tc>
          <w:tcPr>
            <w:tcW w:w="959" w:type="dxa"/>
            <w:tcBorders>
              <w:top w:val="single" w:sz="4" w:space="0" w:color="auto"/>
              <w:left w:val="single" w:sz="4" w:space="0" w:color="auto"/>
              <w:bottom w:val="single" w:sz="4" w:space="0" w:color="auto"/>
              <w:right w:val="single" w:sz="4" w:space="0" w:color="auto"/>
            </w:tcBorders>
            <w:shd w:val="clear" w:color="auto" w:fill="C6EFCE"/>
          </w:tcPr>
          <w:p w14:paraId="3AD2F8C9" w14:textId="77777777" w:rsidR="0023462A" w:rsidRDefault="0023462A">
            <w:pPr>
              <w:spacing w:after="120" w:line="240" w:lineRule="auto"/>
              <w:rPr>
                <w:rFonts w:ascii="Times New Roman" w:eastAsia="Times New Roman" w:hAnsi="Times New Roman" w:cs="Times New Roman"/>
                <w:noProof/>
                <w:sz w:val="18"/>
                <w:szCs w:val="18"/>
              </w:rPr>
            </w:pPr>
          </w:p>
        </w:tc>
        <w:tc>
          <w:tcPr>
            <w:tcW w:w="793" w:type="dxa"/>
            <w:tcBorders>
              <w:top w:val="single" w:sz="4" w:space="0" w:color="auto"/>
              <w:left w:val="single" w:sz="4" w:space="0" w:color="auto"/>
              <w:bottom w:val="single" w:sz="4" w:space="0" w:color="auto"/>
              <w:right w:val="single" w:sz="4" w:space="0" w:color="auto"/>
            </w:tcBorders>
            <w:shd w:val="clear" w:color="auto" w:fill="C6EFCE"/>
          </w:tcPr>
          <w:p w14:paraId="4A9EFBBA" w14:textId="77777777" w:rsidR="0023462A" w:rsidRDefault="0023462A">
            <w:pPr>
              <w:spacing w:after="120" w:line="240" w:lineRule="auto"/>
              <w:rPr>
                <w:rFonts w:ascii="Times New Roman" w:eastAsia="Times New Roman" w:hAnsi="Times New Roman" w:cs="Times New Roman"/>
                <w:noProof/>
                <w:sz w:val="18"/>
                <w:szCs w:val="18"/>
              </w:rPr>
            </w:pPr>
          </w:p>
        </w:tc>
        <w:tc>
          <w:tcPr>
            <w:tcW w:w="760" w:type="dxa"/>
            <w:tcBorders>
              <w:top w:val="single" w:sz="4" w:space="0" w:color="auto"/>
              <w:left w:val="single" w:sz="4" w:space="0" w:color="auto"/>
              <w:bottom w:val="single" w:sz="4" w:space="0" w:color="auto"/>
              <w:right w:val="single" w:sz="4" w:space="0" w:color="auto"/>
            </w:tcBorders>
            <w:shd w:val="clear" w:color="auto" w:fill="C6EFCE"/>
          </w:tcPr>
          <w:p w14:paraId="502BFE10" w14:textId="77777777" w:rsidR="0023462A" w:rsidRDefault="0023462A">
            <w:pPr>
              <w:spacing w:after="120" w:line="240" w:lineRule="auto"/>
              <w:rPr>
                <w:rFonts w:ascii="Times New Roman" w:eastAsia="Times New Roman" w:hAnsi="Times New Roman" w:cs="Times New Roman"/>
                <w:noProof/>
                <w:sz w:val="18"/>
                <w:szCs w:val="18"/>
              </w:rPr>
            </w:pPr>
          </w:p>
        </w:tc>
        <w:tc>
          <w:tcPr>
            <w:tcW w:w="869" w:type="dxa"/>
            <w:tcBorders>
              <w:top w:val="single" w:sz="4" w:space="0" w:color="auto"/>
              <w:left w:val="single" w:sz="4" w:space="0" w:color="auto"/>
              <w:bottom w:val="single" w:sz="4" w:space="0" w:color="auto"/>
              <w:right w:val="single" w:sz="4" w:space="0" w:color="auto"/>
            </w:tcBorders>
            <w:shd w:val="clear" w:color="auto" w:fill="C6EFCE"/>
          </w:tcPr>
          <w:p w14:paraId="42BE9071" w14:textId="2FCC4C2E" w:rsidR="0023462A" w:rsidRDefault="00A550FA">
            <w:pPr>
              <w:pStyle w:val="P68B1DB1-Normal27"/>
              <w:spacing w:after="120" w:line="240" w:lineRule="auto"/>
              <w:jc w:val="center"/>
              <w:rPr>
                <w:noProof/>
              </w:rPr>
            </w:pPr>
            <w:r>
              <w:rPr>
                <w:noProof/>
              </w:rPr>
              <w:t>T2</w:t>
            </w:r>
          </w:p>
        </w:tc>
        <w:tc>
          <w:tcPr>
            <w:tcW w:w="902" w:type="dxa"/>
            <w:tcBorders>
              <w:top w:val="single" w:sz="4" w:space="0" w:color="auto"/>
              <w:left w:val="single" w:sz="4" w:space="0" w:color="auto"/>
              <w:bottom w:val="single" w:sz="4" w:space="0" w:color="auto"/>
              <w:right w:val="single" w:sz="4" w:space="0" w:color="auto"/>
            </w:tcBorders>
            <w:shd w:val="clear" w:color="auto" w:fill="C6EFCE"/>
          </w:tcPr>
          <w:p w14:paraId="23B816B8" w14:textId="7A4646C8" w:rsidR="0023462A" w:rsidRDefault="00A550FA">
            <w:pPr>
              <w:pStyle w:val="P68B1DB1-Normal27"/>
              <w:spacing w:after="120" w:line="240" w:lineRule="auto"/>
              <w:rPr>
                <w:noProof/>
              </w:rPr>
            </w:pPr>
            <w:r>
              <w:rPr>
                <w:noProof/>
              </w:rPr>
              <w:t>2026</w:t>
            </w:r>
          </w:p>
        </w:tc>
        <w:tc>
          <w:tcPr>
            <w:tcW w:w="4204" w:type="dxa"/>
            <w:tcBorders>
              <w:top w:val="single" w:sz="4" w:space="0" w:color="auto"/>
              <w:left w:val="single" w:sz="4" w:space="0" w:color="auto"/>
              <w:bottom w:val="single" w:sz="4" w:space="0" w:color="auto"/>
              <w:right w:val="single" w:sz="4" w:space="0" w:color="auto"/>
            </w:tcBorders>
            <w:shd w:val="clear" w:color="auto" w:fill="C6EFCE"/>
          </w:tcPr>
          <w:p w14:paraId="684C5840" w14:textId="7516679B" w:rsidR="0023462A" w:rsidRDefault="00A550FA">
            <w:pPr>
              <w:pStyle w:val="P68B1DB1-Normal27"/>
              <w:spacing w:after="120" w:line="240" w:lineRule="auto"/>
              <w:jc w:val="both"/>
              <w:rPr>
                <w:noProof/>
              </w:rPr>
            </w:pPr>
            <w:r>
              <w:rPr>
                <w:noProof/>
              </w:rPr>
              <w:t xml:space="preserve">Nomination du conseil d'administration, du conseil de surveillance et du comité d'audit de la MFB conformément à la législation modifiant la gouvernance de la MFB. </w:t>
            </w:r>
          </w:p>
        </w:tc>
      </w:tr>
      <w:tr w:rsidR="0023462A" w14:paraId="3B724F0B" w14:textId="77777777">
        <w:trPr>
          <w:trHeight w:val="915"/>
          <w:jc w:val="center"/>
        </w:trPr>
        <w:tc>
          <w:tcPr>
            <w:tcW w:w="846" w:type="dxa"/>
            <w:tcBorders>
              <w:top w:val="single" w:sz="4" w:space="0" w:color="auto"/>
              <w:left w:val="single" w:sz="4" w:space="0" w:color="auto"/>
              <w:bottom w:val="single" w:sz="4" w:space="0" w:color="auto"/>
              <w:right w:val="single" w:sz="4" w:space="0" w:color="auto"/>
            </w:tcBorders>
            <w:shd w:val="clear" w:color="auto" w:fill="C6EFCE"/>
          </w:tcPr>
          <w:p w14:paraId="35791335" w14:textId="22265045" w:rsidR="0023462A" w:rsidRDefault="00A550FA">
            <w:pPr>
              <w:pStyle w:val="P68B1DB1-Normal27"/>
              <w:spacing w:after="120" w:line="240" w:lineRule="auto"/>
              <w:rPr>
                <w:noProof/>
              </w:rPr>
            </w:pPr>
            <w:r>
              <w:rPr>
                <w:noProof/>
              </w:rPr>
              <w:t>119</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00E2AA74" w14:textId="4F104755" w:rsidR="0023462A" w:rsidRDefault="00A550FA">
            <w:pPr>
              <w:pStyle w:val="P68B1DB1-Normal32"/>
              <w:spacing w:after="120" w:line="240" w:lineRule="auto"/>
              <w:rPr>
                <w:noProof/>
              </w:rPr>
            </w:pPr>
            <w:r>
              <w:rPr>
                <w:noProof/>
              </w:rPr>
              <w:t xml:space="preserve">C10.R1 Réforme de la gouvernance de la Magyar Fejlesztési Bank </w:t>
            </w:r>
          </w:p>
        </w:tc>
        <w:tc>
          <w:tcPr>
            <w:tcW w:w="960" w:type="dxa"/>
            <w:tcBorders>
              <w:top w:val="single" w:sz="4" w:space="0" w:color="auto"/>
              <w:left w:val="single" w:sz="4" w:space="0" w:color="auto"/>
              <w:bottom w:val="single" w:sz="4" w:space="0" w:color="auto"/>
              <w:right w:val="single" w:sz="4" w:space="0" w:color="auto"/>
            </w:tcBorders>
            <w:shd w:val="clear" w:color="auto" w:fill="C6EFCE"/>
          </w:tcPr>
          <w:p w14:paraId="12B1E196" w14:textId="585ECFF6" w:rsidR="0023462A" w:rsidRDefault="00A550FA">
            <w:pPr>
              <w:pStyle w:val="P68B1DB1-Normal27"/>
              <w:spacing w:after="120" w:line="240" w:lineRule="auto"/>
              <w:rPr>
                <w:noProof/>
              </w:rPr>
            </w:pPr>
            <w:r>
              <w:rPr>
                <w:noProof/>
              </w:rPr>
              <w:t>Étape</w:t>
            </w:r>
          </w:p>
        </w:tc>
        <w:tc>
          <w:tcPr>
            <w:tcW w:w="2128" w:type="dxa"/>
            <w:tcBorders>
              <w:top w:val="single" w:sz="4" w:space="0" w:color="auto"/>
              <w:left w:val="single" w:sz="4" w:space="0" w:color="auto"/>
              <w:bottom w:val="single" w:sz="4" w:space="0" w:color="auto"/>
              <w:right w:val="single" w:sz="4" w:space="0" w:color="auto"/>
            </w:tcBorders>
            <w:shd w:val="clear" w:color="auto" w:fill="C6EFCE"/>
          </w:tcPr>
          <w:p w14:paraId="4D27E8DF" w14:textId="485CED34" w:rsidR="0023462A" w:rsidRDefault="00A550FA">
            <w:pPr>
              <w:pStyle w:val="P68B1DB1-Normal27"/>
              <w:spacing w:after="120" w:line="240" w:lineRule="auto"/>
              <w:rPr>
                <w:noProof/>
              </w:rPr>
            </w:pPr>
            <w:r>
              <w:rPr>
                <w:noProof/>
              </w:rPr>
              <w:t>Réexamen des régimes de prêts bonifiés de la MFB</w:t>
            </w:r>
          </w:p>
        </w:tc>
        <w:tc>
          <w:tcPr>
            <w:tcW w:w="1752" w:type="dxa"/>
            <w:tcBorders>
              <w:top w:val="single" w:sz="4" w:space="0" w:color="auto"/>
              <w:left w:val="single" w:sz="4" w:space="0" w:color="auto"/>
              <w:bottom w:val="single" w:sz="4" w:space="0" w:color="auto"/>
              <w:right w:val="single" w:sz="4" w:space="0" w:color="auto"/>
            </w:tcBorders>
            <w:shd w:val="clear" w:color="auto" w:fill="C6EFCE"/>
          </w:tcPr>
          <w:p w14:paraId="0F1D8CE4" w14:textId="3004BFC1" w:rsidR="0023462A" w:rsidRDefault="00A550FA">
            <w:pPr>
              <w:pStyle w:val="P68B1DB1-Normal27"/>
              <w:spacing w:after="120" w:line="240" w:lineRule="auto"/>
              <w:rPr>
                <w:noProof/>
              </w:rPr>
            </w:pPr>
            <w:r>
              <w:rPr>
                <w:noProof/>
              </w:rPr>
              <w:t xml:space="preserve"> Réexamen des régimes de prêts bonifiés de la MFB. </w:t>
            </w:r>
          </w:p>
        </w:tc>
        <w:tc>
          <w:tcPr>
            <w:tcW w:w="959" w:type="dxa"/>
            <w:tcBorders>
              <w:top w:val="single" w:sz="4" w:space="0" w:color="auto"/>
              <w:left w:val="single" w:sz="4" w:space="0" w:color="auto"/>
              <w:bottom w:val="single" w:sz="4" w:space="0" w:color="auto"/>
              <w:right w:val="single" w:sz="4" w:space="0" w:color="auto"/>
            </w:tcBorders>
            <w:shd w:val="clear" w:color="auto" w:fill="C6EFCE"/>
          </w:tcPr>
          <w:p w14:paraId="7BB2C8C3" w14:textId="77777777" w:rsidR="0023462A" w:rsidRDefault="0023462A">
            <w:pPr>
              <w:spacing w:after="120" w:line="240" w:lineRule="auto"/>
              <w:rPr>
                <w:rFonts w:ascii="Times New Roman" w:eastAsia="Times New Roman" w:hAnsi="Times New Roman" w:cs="Times New Roman"/>
                <w:noProof/>
                <w:sz w:val="18"/>
                <w:szCs w:val="18"/>
              </w:rPr>
            </w:pPr>
          </w:p>
        </w:tc>
        <w:tc>
          <w:tcPr>
            <w:tcW w:w="793" w:type="dxa"/>
            <w:tcBorders>
              <w:top w:val="single" w:sz="4" w:space="0" w:color="auto"/>
              <w:left w:val="single" w:sz="4" w:space="0" w:color="auto"/>
              <w:bottom w:val="single" w:sz="4" w:space="0" w:color="auto"/>
              <w:right w:val="single" w:sz="4" w:space="0" w:color="auto"/>
            </w:tcBorders>
            <w:shd w:val="clear" w:color="auto" w:fill="C6EFCE"/>
          </w:tcPr>
          <w:p w14:paraId="14CCDB0D" w14:textId="77777777" w:rsidR="0023462A" w:rsidRDefault="0023462A">
            <w:pPr>
              <w:spacing w:after="120" w:line="240" w:lineRule="auto"/>
              <w:rPr>
                <w:rFonts w:ascii="Times New Roman" w:eastAsia="Times New Roman" w:hAnsi="Times New Roman" w:cs="Times New Roman"/>
                <w:noProof/>
                <w:sz w:val="18"/>
                <w:szCs w:val="18"/>
              </w:rPr>
            </w:pPr>
          </w:p>
        </w:tc>
        <w:tc>
          <w:tcPr>
            <w:tcW w:w="760" w:type="dxa"/>
            <w:tcBorders>
              <w:top w:val="single" w:sz="4" w:space="0" w:color="auto"/>
              <w:left w:val="single" w:sz="4" w:space="0" w:color="auto"/>
              <w:bottom w:val="single" w:sz="4" w:space="0" w:color="auto"/>
              <w:right w:val="single" w:sz="4" w:space="0" w:color="auto"/>
            </w:tcBorders>
            <w:shd w:val="clear" w:color="auto" w:fill="C6EFCE"/>
          </w:tcPr>
          <w:p w14:paraId="11FC3F18" w14:textId="77777777" w:rsidR="0023462A" w:rsidRDefault="0023462A">
            <w:pPr>
              <w:spacing w:after="120" w:line="240" w:lineRule="auto"/>
              <w:rPr>
                <w:rFonts w:ascii="Times New Roman" w:eastAsia="Times New Roman" w:hAnsi="Times New Roman" w:cs="Times New Roman"/>
                <w:noProof/>
                <w:sz w:val="18"/>
                <w:szCs w:val="18"/>
              </w:rPr>
            </w:pPr>
          </w:p>
        </w:tc>
        <w:tc>
          <w:tcPr>
            <w:tcW w:w="869" w:type="dxa"/>
            <w:tcBorders>
              <w:top w:val="single" w:sz="4" w:space="0" w:color="auto"/>
              <w:left w:val="single" w:sz="4" w:space="0" w:color="auto"/>
              <w:bottom w:val="single" w:sz="4" w:space="0" w:color="auto"/>
              <w:right w:val="single" w:sz="4" w:space="0" w:color="auto"/>
            </w:tcBorders>
            <w:shd w:val="clear" w:color="auto" w:fill="C6EFCE"/>
          </w:tcPr>
          <w:p w14:paraId="150D2622" w14:textId="06C68CC1" w:rsidR="0023462A" w:rsidRDefault="00A550FA">
            <w:pPr>
              <w:pStyle w:val="P68B1DB1-Normal27"/>
              <w:spacing w:after="120" w:line="240" w:lineRule="auto"/>
              <w:jc w:val="center"/>
              <w:rPr>
                <w:noProof/>
              </w:rPr>
            </w:pPr>
            <w:r>
              <w:rPr>
                <w:noProof/>
              </w:rPr>
              <w:t>T2</w:t>
            </w:r>
          </w:p>
        </w:tc>
        <w:tc>
          <w:tcPr>
            <w:tcW w:w="902" w:type="dxa"/>
            <w:tcBorders>
              <w:top w:val="single" w:sz="4" w:space="0" w:color="auto"/>
              <w:left w:val="single" w:sz="4" w:space="0" w:color="auto"/>
              <w:bottom w:val="single" w:sz="4" w:space="0" w:color="auto"/>
              <w:right w:val="single" w:sz="4" w:space="0" w:color="auto"/>
            </w:tcBorders>
            <w:shd w:val="clear" w:color="auto" w:fill="C6EFCE"/>
          </w:tcPr>
          <w:p w14:paraId="347C927C" w14:textId="0C602855" w:rsidR="0023462A" w:rsidRDefault="00A550FA">
            <w:pPr>
              <w:pStyle w:val="P68B1DB1-Normal27"/>
              <w:spacing w:after="120" w:line="240" w:lineRule="auto"/>
              <w:rPr>
                <w:noProof/>
              </w:rPr>
            </w:pPr>
            <w:r>
              <w:rPr>
                <w:noProof/>
              </w:rPr>
              <w:t>2026</w:t>
            </w:r>
          </w:p>
        </w:tc>
        <w:tc>
          <w:tcPr>
            <w:tcW w:w="4204" w:type="dxa"/>
            <w:tcBorders>
              <w:top w:val="single" w:sz="4" w:space="0" w:color="auto"/>
              <w:left w:val="single" w:sz="4" w:space="0" w:color="auto"/>
              <w:bottom w:val="single" w:sz="4" w:space="0" w:color="auto"/>
              <w:right w:val="single" w:sz="4" w:space="0" w:color="auto"/>
            </w:tcBorders>
            <w:shd w:val="clear" w:color="auto" w:fill="C6EFCE"/>
          </w:tcPr>
          <w:p w14:paraId="6A273684" w14:textId="0DDC4B72" w:rsidR="0023462A" w:rsidRDefault="00A550FA">
            <w:pPr>
              <w:pStyle w:val="P68B1DB1-Normal27"/>
              <w:spacing w:after="120" w:line="240" w:lineRule="auto"/>
              <w:jc w:val="both"/>
              <w:rPr>
                <w:noProof/>
              </w:rPr>
            </w:pPr>
            <w:r>
              <w:rPr>
                <w:noProof/>
              </w:rPr>
              <w:t>Un rapport d’examen de la MFB sur les régimes de prêts subventionnés existants de la MFB, qui recense les régimes qui manquent clairement d’additionnalité ou évincent le financement du marché privé et formule des recommandations au conseil d’administration de la MFB sur une stratégie visant à abolir ces régimes.</w:t>
            </w:r>
          </w:p>
          <w:p w14:paraId="2A0C785D" w14:textId="037774C5" w:rsidR="0023462A" w:rsidRDefault="00A550FA">
            <w:pPr>
              <w:pStyle w:val="P68B1DB1-Normal27"/>
              <w:spacing w:after="120" w:line="240" w:lineRule="auto"/>
              <w:jc w:val="both"/>
              <w:rPr>
                <w:noProof/>
              </w:rPr>
            </w:pPr>
            <w:r>
              <w:rPr>
                <w:noProof/>
              </w:rPr>
              <w:t xml:space="preserve">Une résolution du conseil d'administration de la MFB s'engageant à donner suite aux recommandations du rapport est adoptée. </w:t>
            </w:r>
          </w:p>
        </w:tc>
      </w:tr>
      <w:tr w:rsidR="0023462A" w14:paraId="0BEC3AE1" w14:textId="77777777">
        <w:trPr>
          <w:trHeight w:val="915"/>
          <w:jc w:val="center"/>
        </w:trPr>
        <w:tc>
          <w:tcPr>
            <w:tcW w:w="846" w:type="dxa"/>
            <w:tcBorders>
              <w:top w:val="single" w:sz="4" w:space="0" w:color="auto"/>
              <w:left w:val="single" w:sz="4" w:space="0" w:color="auto"/>
              <w:bottom w:val="single" w:sz="4" w:space="0" w:color="auto"/>
              <w:right w:val="single" w:sz="4" w:space="0" w:color="auto"/>
            </w:tcBorders>
            <w:shd w:val="clear" w:color="auto" w:fill="C6EFCE"/>
          </w:tcPr>
          <w:p w14:paraId="65804E6C" w14:textId="2B120AC7" w:rsidR="0023462A" w:rsidRDefault="00A550FA">
            <w:pPr>
              <w:pStyle w:val="P68B1DB1-Normal27"/>
              <w:spacing w:after="120" w:line="240" w:lineRule="auto"/>
              <w:rPr>
                <w:noProof/>
              </w:rPr>
            </w:pPr>
            <w:r>
              <w:rPr>
                <w:noProof/>
              </w:rPr>
              <w:t>120</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064D6213" w14:textId="21A9DE84" w:rsidR="0023462A" w:rsidRDefault="00A550FA">
            <w:pPr>
              <w:pStyle w:val="P68B1DB1-Normal32"/>
              <w:spacing w:after="120" w:line="240" w:lineRule="auto"/>
              <w:rPr>
                <w:noProof/>
              </w:rPr>
            </w:pPr>
            <w:r>
              <w:rPr>
                <w:noProof/>
              </w:rPr>
              <w:t>C10.R1 Réforme de la gouvernance de la Magyar Fejlesztési Bank</w:t>
            </w:r>
          </w:p>
        </w:tc>
        <w:tc>
          <w:tcPr>
            <w:tcW w:w="960" w:type="dxa"/>
            <w:tcBorders>
              <w:top w:val="single" w:sz="4" w:space="0" w:color="auto"/>
              <w:left w:val="single" w:sz="4" w:space="0" w:color="auto"/>
              <w:bottom w:val="single" w:sz="4" w:space="0" w:color="auto"/>
              <w:right w:val="single" w:sz="4" w:space="0" w:color="auto"/>
            </w:tcBorders>
            <w:shd w:val="clear" w:color="auto" w:fill="C6EFCE"/>
          </w:tcPr>
          <w:p w14:paraId="61B82866" w14:textId="5483BBFA" w:rsidR="0023462A" w:rsidRDefault="00A550FA">
            <w:pPr>
              <w:pStyle w:val="P68B1DB1-Normal27"/>
              <w:spacing w:after="120" w:line="240" w:lineRule="auto"/>
              <w:rPr>
                <w:noProof/>
              </w:rPr>
            </w:pPr>
            <w:r>
              <w:rPr>
                <w:noProof/>
              </w:rPr>
              <w:t>Étape</w:t>
            </w:r>
          </w:p>
        </w:tc>
        <w:tc>
          <w:tcPr>
            <w:tcW w:w="2128" w:type="dxa"/>
            <w:tcBorders>
              <w:top w:val="single" w:sz="4" w:space="0" w:color="auto"/>
              <w:left w:val="single" w:sz="4" w:space="0" w:color="auto"/>
              <w:bottom w:val="single" w:sz="4" w:space="0" w:color="auto"/>
              <w:right w:val="single" w:sz="4" w:space="0" w:color="auto"/>
            </w:tcBorders>
            <w:shd w:val="clear" w:color="auto" w:fill="C6EFCE"/>
          </w:tcPr>
          <w:p w14:paraId="70F2C56A" w14:textId="5CCF408F" w:rsidR="0023462A" w:rsidRDefault="00A550FA">
            <w:pPr>
              <w:pStyle w:val="P68B1DB1-Normal27"/>
              <w:spacing w:after="120" w:line="240" w:lineRule="auto"/>
              <w:rPr>
                <w:noProof/>
              </w:rPr>
            </w:pPr>
            <w:r>
              <w:rPr>
                <w:noProof/>
              </w:rPr>
              <w:t>Réexamen des garanties d'État et autres mesures d'aide d'État couvrant les opérations de la MFB</w:t>
            </w:r>
          </w:p>
        </w:tc>
        <w:tc>
          <w:tcPr>
            <w:tcW w:w="1752" w:type="dxa"/>
            <w:tcBorders>
              <w:top w:val="single" w:sz="4" w:space="0" w:color="auto"/>
              <w:left w:val="single" w:sz="4" w:space="0" w:color="auto"/>
              <w:bottom w:val="single" w:sz="4" w:space="0" w:color="auto"/>
              <w:right w:val="single" w:sz="4" w:space="0" w:color="auto"/>
            </w:tcBorders>
            <w:shd w:val="clear" w:color="auto" w:fill="C6EFCE"/>
            <w:vAlign w:val="center"/>
          </w:tcPr>
          <w:p w14:paraId="2C8C7715" w14:textId="15EC8684" w:rsidR="0023462A" w:rsidRDefault="00A550FA">
            <w:pPr>
              <w:pStyle w:val="P68B1DB1-Normal27"/>
              <w:spacing w:after="120" w:line="240" w:lineRule="auto"/>
              <w:rPr>
                <w:noProof/>
              </w:rPr>
            </w:pPr>
            <w:r>
              <w:rPr>
                <w:noProof/>
              </w:rPr>
              <w:t xml:space="preserve"> Examen des garanties d'État et autres mesures d'aide d'État couvrant les opérations de la MFB.</w:t>
            </w:r>
          </w:p>
        </w:tc>
        <w:tc>
          <w:tcPr>
            <w:tcW w:w="959" w:type="dxa"/>
            <w:tcBorders>
              <w:top w:val="single" w:sz="4" w:space="0" w:color="auto"/>
              <w:left w:val="single" w:sz="4" w:space="0" w:color="auto"/>
              <w:bottom w:val="single" w:sz="4" w:space="0" w:color="auto"/>
              <w:right w:val="single" w:sz="4" w:space="0" w:color="auto"/>
            </w:tcBorders>
            <w:shd w:val="clear" w:color="auto" w:fill="C6EFCE"/>
          </w:tcPr>
          <w:p w14:paraId="23C138F9" w14:textId="77777777" w:rsidR="0023462A" w:rsidRDefault="0023462A">
            <w:pPr>
              <w:spacing w:after="120" w:line="240" w:lineRule="auto"/>
              <w:rPr>
                <w:rFonts w:ascii="Times New Roman" w:eastAsia="Times New Roman" w:hAnsi="Times New Roman" w:cs="Times New Roman"/>
                <w:noProof/>
                <w:sz w:val="18"/>
                <w:szCs w:val="18"/>
              </w:rPr>
            </w:pPr>
          </w:p>
        </w:tc>
        <w:tc>
          <w:tcPr>
            <w:tcW w:w="793" w:type="dxa"/>
            <w:tcBorders>
              <w:top w:val="single" w:sz="4" w:space="0" w:color="auto"/>
              <w:left w:val="single" w:sz="4" w:space="0" w:color="auto"/>
              <w:bottom w:val="single" w:sz="4" w:space="0" w:color="auto"/>
              <w:right w:val="single" w:sz="4" w:space="0" w:color="auto"/>
            </w:tcBorders>
            <w:shd w:val="clear" w:color="auto" w:fill="C6EFCE"/>
          </w:tcPr>
          <w:p w14:paraId="46B361DA" w14:textId="77777777" w:rsidR="0023462A" w:rsidRDefault="0023462A">
            <w:pPr>
              <w:spacing w:after="120" w:line="240" w:lineRule="auto"/>
              <w:rPr>
                <w:rFonts w:ascii="Times New Roman" w:eastAsia="Times New Roman" w:hAnsi="Times New Roman" w:cs="Times New Roman"/>
                <w:noProof/>
                <w:sz w:val="18"/>
                <w:szCs w:val="18"/>
              </w:rPr>
            </w:pPr>
          </w:p>
        </w:tc>
        <w:tc>
          <w:tcPr>
            <w:tcW w:w="760" w:type="dxa"/>
            <w:tcBorders>
              <w:top w:val="single" w:sz="4" w:space="0" w:color="auto"/>
              <w:left w:val="single" w:sz="4" w:space="0" w:color="auto"/>
              <w:bottom w:val="single" w:sz="4" w:space="0" w:color="auto"/>
              <w:right w:val="single" w:sz="4" w:space="0" w:color="auto"/>
            </w:tcBorders>
            <w:shd w:val="clear" w:color="auto" w:fill="C6EFCE"/>
          </w:tcPr>
          <w:p w14:paraId="6ABDC747" w14:textId="77777777" w:rsidR="0023462A" w:rsidRDefault="0023462A">
            <w:pPr>
              <w:spacing w:after="120" w:line="240" w:lineRule="auto"/>
              <w:rPr>
                <w:rFonts w:ascii="Times New Roman" w:eastAsia="Times New Roman" w:hAnsi="Times New Roman" w:cs="Times New Roman"/>
                <w:noProof/>
                <w:sz w:val="18"/>
                <w:szCs w:val="18"/>
              </w:rPr>
            </w:pPr>
          </w:p>
        </w:tc>
        <w:tc>
          <w:tcPr>
            <w:tcW w:w="869" w:type="dxa"/>
            <w:tcBorders>
              <w:top w:val="single" w:sz="4" w:space="0" w:color="auto"/>
              <w:left w:val="single" w:sz="4" w:space="0" w:color="auto"/>
              <w:bottom w:val="single" w:sz="4" w:space="0" w:color="auto"/>
              <w:right w:val="single" w:sz="4" w:space="0" w:color="auto"/>
            </w:tcBorders>
            <w:shd w:val="clear" w:color="auto" w:fill="C6EFCE"/>
          </w:tcPr>
          <w:p w14:paraId="0D92DBE4" w14:textId="424EA0AD" w:rsidR="0023462A" w:rsidRDefault="00A550FA">
            <w:pPr>
              <w:pStyle w:val="P68B1DB1-Normal27"/>
              <w:spacing w:after="120" w:line="240" w:lineRule="auto"/>
              <w:jc w:val="center"/>
              <w:rPr>
                <w:noProof/>
              </w:rPr>
            </w:pPr>
            <w:r>
              <w:rPr>
                <w:noProof/>
              </w:rPr>
              <w:t>T2</w:t>
            </w:r>
          </w:p>
        </w:tc>
        <w:tc>
          <w:tcPr>
            <w:tcW w:w="902" w:type="dxa"/>
            <w:tcBorders>
              <w:top w:val="single" w:sz="4" w:space="0" w:color="auto"/>
              <w:left w:val="single" w:sz="4" w:space="0" w:color="auto"/>
              <w:bottom w:val="single" w:sz="4" w:space="0" w:color="auto"/>
              <w:right w:val="single" w:sz="4" w:space="0" w:color="auto"/>
            </w:tcBorders>
            <w:shd w:val="clear" w:color="auto" w:fill="C6EFCE"/>
          </w:tcPr>
          <w:p w14:paraId="560A7F49" w14:textId="1BD44456" w:rsidR="0023462A" w:rsidRDefault="00A550FA">
            <w:pPr>
              <w:pStyle w:val="P68B1DB1-Normal27"/>
              <w:spacing w:after="120" w:line="240" w:lineRule="auto"/>
              <w:rPr>
                <w:noProof/>
              </w:rPr>
            </w:pPr>
            <w:r>
              <w:rPr>
                <w:noProof/>
              </w:rPr>
              <w:t>2026</w:t>
            </w:r>
          </w:p>
        </w:tc>
        <w:tc>
          <w:tcPr>
            <w:tcW w:w="4204" w:type="dxa"/>
            <w:tcBorders>
              <w:top w:val="single" w:sz="4" w:space="0" w:color="auto"/>
              <w:left w:val="single" w:sz="4" w:space="0" w:color="auto"/>
              <w:bottom w:val="single" w:sz="4" w:space="0" w:color="auto"/>
              <w:right w:val="single" w:sz="4" w:space="0" w:color="auto"/>
            </w:tcBorders>
            <w:shd w:val="clear" w:color="auto" w:fill="C6EFCE"/>
          </w:tcPr>
          <w:p w14:paraId="6BC1FBF8" w14:textId="2AAFC03E" w:rsidR="0023462A" w:rsidRDefault="00A550FA">
            <w:pPr>
              <w:pStyle w:val="P68B1DB1-Normal27"/>
              <w:spacing w:after="120" w:line="240" w:lineRule="auto"/>
              <w:jc w:val="both"/>
              <w:rPr>
                <w:noProof/>
              </w:rPr>
            </w:pPr>
            <w:r>
              <w:rPr>
                <w:noProof/>
              </w:rPr>
              <w:t xml:space="preserve">un rapport d’examen des garanties d’État sur les prêts de la MFB et le partage des risques de l’État (régime de péréquation des fonds propres, système de péréquation des intérêts et système de couverture des taux de change), assorti de recommandations au conseil d’administration de la MFB en vue de limiter l’exposition directe du budget des administrations publiques aux opérations de la MFB et d’une stratégie visant à supprimer progressivement les garanties d’État inutiles (y compris le système de péréquation des intérêts). Une lettre officielle du ministre des Finances s'engageant à donner suite aux recommandations du rapport est soumise à la Commission. </w:t>
            </w:r>
          </w:p>
        </w:tc>
      </w:tr>
      <w:tr w:rsidR="0023462A" w14:paraId="044447A0" w14:textId="77777777">
        <w:trPr>
          <w:trHeight w:val="915"/>
          <w:jc w:val="center"/>
        </w:trPr>
        <w:tc>
          <w:tcPr>
            <w:tcW w:w="846" w:type="dxa"/>
            <w:tcBorders>
              <w:top w:val="single" w:sz="4" w:space="0" w:color="auto"/>
              <w:left w:val="single" w:sz="4" w:space="0" w:color="auto"/>
              <w:bottom w:val="single" w:sz="4" w:space="0" w:color="auto"/>
              <w:right w:val="single" w:sz="4" w:space="0" w:color="auto"/>
            </w:tcBorders>
            <w:shd w:val="clear" w:color="auto" w:fill="C6EFCE"/>
          </w:tcPr>
          <w:p w14:paraId="7F37CE2A" w14:textId="63874F7C" w:rsidR="0023462A" w:rsidRDefault="00A550FA">
            <w:pPr>
              <w:pStyle w:val="P68B1DB1-Normal27"/>
              <w:spacing w:after="120" w:line="240" w:lineRule="auto"/>
              <w:rPr>
                <w:noProof/>
              </w:rPr>
            </w:pPr>
            <w:r>
              <w:rPr>
                <w:noProof/>
              </w:rPr>
              <w:t>121</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AED2C8D" w14:textId="714EC08C" w:rsidR="0023462A" w:rsidRDefault="00A550FA">
            <w:pPr>
              <w:pStyle w:val="P68B1DB1-Normal32"/>
              <w:spacing w:after="120" w:line="240" w:lineRule="auto"/>
              <w:rPr>
                <w:noProof/>
              </w:rPr>
            </w:pPr>
            <w:r>
              <w:rPr>
                <w:noProof/>
              </w:rPr>
              <w:t>C10.I1 Injection de fonds propres dans Magyar Fejlesztési Bank (MFB)</w:t>
            </w:r>
          </w:p>
        </w:tc>
        <w:tc>
          <w:tcPr>
            <w:tcW w:w="960" w:type="dxa"/>
            <w:tcBorders>
              <w:top w:val="single" w:sz="4" w:space="0" w:color="auto"/>
              <w:left w:val="single" w:sz="4" w:space="0" w:color="auto"/>
              <w:bottom w:val="single" w:sz="4" w:space="0" w:color="auto"/>
              <w:right w:val="single" w:sz="4" w:space="0" w:color="auto"/>
            </w:tcBorders>
            <w:shd w:val="clear" w:color="auto" w:fill="C6EFCE"/>
          </w:tcPr>
          <w:p w14:paraId="17D2EA7A" w14:textId="07922D13" w:rsidR="0023462A" w:rsidRDefault="00A550FA">
            <w:pPr>
              <w:pStyle w:val="P68B1DB1-Normal27"/>
              <w:spacing w:after="120" w:line="240" w:lineRule="auto"/>
              <w:rPr>
                <w:noProof/>
              </w:rPr>
            </w:pPr>
            <w:r>
              <w:rPr>
                <w:noProof/>
              </w:rPr>
              <w:t>Étape</w:t>
            </w:r>
          </w:p>
        </w:tc>
        <w:tc>
          <w:tcPr>
            <w:tcW w:w="2128" w:type="dxa"/>
            <w:tcBorders>
              <w:top w:val="single" w:sz="4" w:space="0" w:color="auto"/>
              <w:left w:val="single" w:sz="4" w:space="0" w:color="auto"/>
              <w:bottom w:val="single" w:sz="4" w:space="0" w:color="auto"/>
              <w:right w:val="single" w:sz="4" w:space="0" w:color="auto"/>
            </w:tcBorders>
            <w:shd w:val="clear" w:color="auto" w:fill="C6EFCE"/>
          </w:tcPr>
          <w:p w14:paraId="117A0837" w14:textId="77683769" w:rsidR="0023462A" w:rsidRDefault="00A550FA">
            <w:pPr>
              <w:pStyle w:val="P68B1DB1-Normal27"/>
              <w:spacing w:after="120" w:line="240" w:lineRule="auto"/>
              <w:rPr>
                <w:noProof/>
              </w:rPr>
            </w:pPr>
            <w:r>
              <w:rPr>
                <w:noProof/>
              </w:rPr>
              <w:t>Politique d'investissement</w:t>
            </w:r>
          </w:p>
        </w:tc>
        <w:tc>
          <w:tcPr>
            <w:tcW w:w="1752" w:type="dxa"/>
            <w:tcBorders>
              <w:top w:val="single" w:sz="4" w:space="0" w:color="auto"/>
              <w:left w:val="single" w:sz="4" w:space="0" w:color="auto"/>
              <w:bottom w:val="single" w:sz="4" w:space="0" w:color="auto"/>
              <w:right w:val="single" w:sz="4" w:space="0" w:color="auto"/>
            </w:tcBorders>
            <w:shd w:val="clear" w:color="auto" w:fill="C6EFCE"/>
          </w:tcPr>
          <w:p w14:paraId="1199DACF" w14:textId="7422A6DC" w:rsidR="0023462A" w:rsidRDefault="00A550FA">
            <w:pPr>
              <w:pStyle w:val="P68B1DB1-Normal27"/>
              <w:spacing w:after="120" w:line="240" w:lineRule="auto"/>
              <w:rPr>
                <w:noProof/>
              </w:rPr>
            </w:pPr>
            <w:r>
              <w:rPr>
                <w:noProof/>
              </w:rPr>
              <w:t>Adoption d'une politique d'investissement</w:t>
            </w:r>
          </w:p>
        </w:tc>
        <w:tc>
          <w:tcPr>
            <w:tcW w:w="959" w:type="dxa"/>
            <w:tcBorders>
              <w:top w:val="single" w:sz="4" w:space="0" w:color="auto"/>
              <w:left w:val="single" w:sz="4" w:space="0" w:color="auto"/>
              <w:bottom w:val="single" w:sz="4" w:space="0" w:color="auto"/>
              <w:right w:val="single" w:sz="4" w:space="0" w:color="auto"/>
            </w:tcBorders>
            <w:shd w:val="clear" w:color="auto" w:fill="C6EFCE"/>
          </w:tcPr>
          <w:p w14:paraId="566BECD9" w14:textId="70683F87" w:rsidR="0023462A" w:rsidRDefault="00A550FA">
            <w:pPr>
              <w:pStyle w:val="P68B1DB1-Normal27"/>
              <w:spacing w:after="120" w:line="240" w:lineRule="auto"/>
              <w:rPr>
                <w:noProof/>
              </w:rPr>
            </w:pPr>
            <w:r>
              <w:rPr>
                <w:noProof/>
              </w:rPr>
              <w:t xml:space="preserve"> </w:t>
            </w:r>
          </w:p>
        </w:tc>
        <w:tc>
          <w:tcPr>
            <w:tcW w:w="793" w:type="dxa"/>
            <w:tcBorders>
              <w:top w:val="single" w:sz="4" w:space="0" w:color="auto"/>
              <w:left w:val="single" w:sz="4" w:space="0" w:color="auto"/>
              <w:bottom w:val="single" w:sz="4" w:space="0" w:color="auto"/>
              <w:right w:val="single" w:sz="4" w:space="0" w:color="auto"/>
            </w:tcBorders>
            <w:shd w:val="clear" w:color="auto" w:fill="C6EFCE"/>
          </w:tcPr>
          <w:p w14:paraId="056A1CC6" w14:textId="6A5A16C0" w:rsidR="0023462A" w:rsidRDefault="00A550FA">
            <w:pPr>
              <w:pStyle w:val="P68B1DB1-Normal27"/>
              <w:spacing w:after="120" w:line="240" w:lineRule="auto"/>
              <w:rPr>
                <w:noProof/>
              </w:rPr>
            </w:pPr>
            <w:r>
              <w:rPr>
                <w:noProof/>
              </w:rPr>
              <w:t xml:space="preserve"> </w:t>
            </w:r>
          </w:p>
        </w:tc>
        <w:tc>
          <w:tcPr>
            <w:tcW w:w="760" w:type="dxa"/>
            <w:tcBorders>
              <w:top w:val="single" w:sz="4" w:space="0" w:color="auto"/>
              <w:left w:val="single" w:sz="4" w:space="0" w:color="auto"/>
              <w:bottom w:val="single" w:sz="4" w:space="0" w:color="auto"/>
              <w:right w:val="single" w:sz="4" w:space="0" w:color="auto"/>
            </w:tcBorders>
            <w:shd w:val="clear" w:color="auto" w:fill="C6EFCE"/>
          </w:tcPr>
          <w:p w14:paraId="52DE8689" w14:textId="1D27B592" w:rsidR="0023462A" w:rsidRDefault="00A550FA">
            <w:pPr>
              <w:pStyle w:val="P68B1DB1-Normal27"/>
              <w:spacing w:after="120" w:line="240" w:lineRule="auto"/>
              <w:rPr>
                <w:noProof/>
              </w:rPr>
            </w:pPr>
            <w:r>
              <w:rPr>
                <w:noProof/>
              </w:rPr>
              <w:t xml:space="preserve"> </w:t>
            </w:r>
          </w:p>
        </w:tc>
        <w:tc>
          <w:tcPr>
            <w:tcW w:w="869" w:type="dxa"/>
            <w:tcBorders>
              <w:top w:val="single" w:sz="4" w:space="0" w:color="auto"/>
              <w:left w:val="single" w:sz="4" w:space="0" w:color="auto"/>
              <w:bottom w:val="single" w:sz="4" w:space="0" w:color="auto"/>
              <w:right w:val="single" w:sz="4" w:space="0" w:color="auto"/>
            </w:tcBorders>
            <w:shd w:val="clear" w:color="auto" w:fill="C6EFCE"/>
          </w:tcPr>
          <w:p w14:paraId="3DDC0EDC" w14:textId="128FCFA4" w:rsidR="0023462A" w:rsidRDefault="00A550FA">
            <w:pPr>
              <w:pStyle w:val="P68B1DB1-Normal27"/>
              <w:spacing w:after="120" w:line="240" w:lineRule="auto"/>
              <w:jc w:val="center"/>
              <w:rPr>
                <w:noProof/>
              </w:rPr>
            </w:pPr>
            <w:r>
              <w:rPr>
                <w:noProof/>
              </w:rPr>
              <w:t>T2</w:t>
            </w:r>
          </w:p>
        </w:tc>
        <w:tc>
          <w:tcPr>
            <w:tcW w:w="902" w:type="dxa"/>
            <w:tcBorders>
              <w:top w:val="single" w:sz="4" w:space="0" w:color="auto"/>
              <w:left w:val="single" w:sz="4" w:space="0" w:color="auto"/>
              <w:bottom w:val="single" w:sz="4" w:space="0" w:color="auto"/>
              <w:right w:val="single" w:sz="4" w:space="0" w:color="auto"/>
            </w:tcBorders>
            <w:shd w:val="clear" w:color="auto" w:fill="C6EFCE"/>
          </w:tcPr>
          <w:p w14:paraId="3E32E6A3" w14:textId="57F52072" w:rsidR="0023462A" w:rsidRDefault="00A550FA">
            <w:pPr>
              <w:pStyle w:val="P68B1DB1-Normal27"/>
              <w:spacing w:after="120" w:line="240" w:lineRule="auto"/>
              <w:rPr>
                <w:noProof/>
              </w:rPr>
            </w:pPr>
            <w:r>
              <w:rPr>
                <w:noProof/>
              </w:rPr>
              <w:t>2026</w:t>
            </w:r>
          </w:p>
        </w:tc>
        <w:tc>
          <w:tcPr>
            <w:tcW w:w="4204" w:type="dxa"/>
            <w:tcBorders>
              <w:top w:val="single" w:sz="4" w:space="0" w:color="auto"/>
              <w:left w:val="single" w:sz="4" w:space="0" w:color="auto"/>
              <w:bottom w:val="single" w:sz="4" w:space="0" w:color="auto"/>
              <w:right w:val="single" w:sz="4" w:space="0" w:color="auto"/>
            </w:tcBorders>
            <w:shd w:val="clear" w:color="auto" w:fill="C6EFCE"/>
          </w:tcPr>
          <w:p w14:paraId="41C6D774" w14:textId="63B21042" w:rsidR="0023462A" w:rsidRDefault="00A550FA">
            <w:pPr>
              <w:pStyle w:val="P68B1DB1-Normal27"/>
              <w:spacing w:after="120" w:line="240" w:lineRule="auto"/>
              <w:jc w:val="both"/>
              <w:rPr>
                <w:noProof/>
              </w:rPr>
            </w:pPr>
            <w:r>
              <w:rPr>
                <w:noProof/>
              </w:rPr>
              <w:t>Adoption d’une nouvelle politique d’investissement de la MFB pour l’utilisation des fonds propres supplémentaires conformément à la description de la mesure.</w:t>
            </w:r>
          </w:p>
        </w:tc>
      </w:tr>
      <w:tr w:rsidR="0023462A" w14:paraId="094585E2" w14:textId="77777777">
        <w:trPr>
          <w:trHeight w:val="915"/>
          <w:jc w:val="center"/>
        </w:trPr>
        <w:tc>
          <w:tcPr>
            <w:tcW w:w="846" w:type="dxa"/>
            <w:tcBorders>
              <w:top w:val="single" w:sz="4" w:space="0" w:color="auto"/>
              <w:left w:val="single" w:sz="4" w:space="0" w:color="auto"/>
              <w:bottom w:val="single" w:sz="4" w:space="0" w:color="auto"/>
              <w:right w:val="single" w:sz="4" w:space="0" w:color="auto"/>
            </w:tcBorders>
            <w:shd w:val="clear" w:color="auto" w:fill="C6EFCE"/>
          </w:tcPr>
          <w:p w14:paraId="36588A3E" w14:textId="42F7A805" w:rsidR="0023462A" w:rsidRDefault="00A550FA">
            <w:pPr>
              <w:pStyle w:val="P68B1DB1-Normal27"/>
              <w:spacing w:after="120" w:line="240" w:lineRule="auto"/>
              <w:rPr>
                <w:noProof/>
              </w:rPr>
            </w:pPr>
            <w:r>
              <w:rPr>
                <w:noProof/>
              </w:rPr>
              <w:t>122</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7DBC2CBC" w14:textId="235D70EF" w:rsidR="0023462A" w:rsidRDefault="00A550FA">
            <w:pPr>
              <w:pStyle w:val="P68B1DB1-Normal32"/>
              <w:spacing w:after="120" w:line="240" w:lineRule="auto"/>
              <w:rPr>
                <w:noProof/>
              </w:rPr>
            </w:pPr>
            <w:r>
              <w:rPr>
                <w:noProof/>
              </w:rPr>
              <w:t>C10.I1 Injection de fonds propres dans Magyar Fejlesztési Bank (MFB)</w:t>
            </w:r>
          </w:p>
        </w:tc>
        <w:tc>
          <w:tcPr>
            <w:tcW w:w="960" w:type="dxa"/>
            <w:tcBorders>
              <w:top w:val="single" w:sz="4" w:space="0" w:color="auto"/>
              <w:left w:val="single" w:sz="4" w:space="0" w:color="auto"/>
              <w:bottom w:val="single" w:sz="4" w:space="0" w:color="auto"/>
              <w:right w:val="single" w:sz="4" w:space="0" w:color="auto"/>
            </w:tcBorders>
            <w:shd w:val="clear" w:color="auto" w:fill="C6EFCE"/>
          </w:tcPr>
          <w:p w14:paraId="370D1BB0" w14:textId="027C6064" w:rsidR="0023462A" w:rsidRDefault="00A550FA">
            <w:pPr>
              <w:pStyle w:val="P68B1DB1-Normal27"/>
              <w:spacing w:after="120" w:line="240" w:lineRule="auto"/>
              <w:rPr>
                <w:noProof/>
              </w:rPr>
            </w:pPr>
            <w:r>
              <w:rPr>
                <w:noProof/>
              </w:rPr>
              <w:t>Étape</w:t>
            </w:r>
          </w:p>
        </w:tc>
        <w:tc>
          <w:tcPr>
            <w:tcW w:w="2128" w:type="dxa"/>
            <w:tcBorders>
              <w:top w:val="single" w:sz="4" w:space="0" w:color="auto"/>
              <w:left w:val="single" w:sz="4" w:space="0" w:color="auto"/>
              <w:bottom w:val="single" w:sz="4" w:space="0" w:color="auto"/>
              <w:right w:val="single" w:sz="4" w:space="0" w:color="auto"/>
            </w:tcBorders>
            <w:shd w:val="clear" w:color="auto" w:fill="C6EFCE"/>
          </w:tcPr>
          <w:p w14:paraId="0CEBFE4A" w14:textId="39D1C1CC" w:rsidR="0023462A" w:rsidRDefault="00A550FA">
            <w:pPr>
              <w:pStyle w:val="P68B1DB1-Normal27"/>
              <w:spacing w:after="120" w:line="240" w:lineRule="auto"/>
              <w:rPr>
                <w:noProof/>
              </w:rPr>
            </w:pPr>
            <w:r>
              <w:rPr>
                <w:noProof/>
              </w:rPr>
              <w:t>Injection de fonds propres</w:t>
            </w:r>
          </w:p>
        </w:tc>
        <w:tc>
          <w:tcPr>
            <w:tcW w:w="1752" w:type="dxa"/>
            <w:tcBorders>
              <w:top w:val="single" w:sz="4" w:space="0" w:color="auto"/>
              <w:left w:val="single" w:sz="4" w:space="0" w:color="auto"/>
              <w:bottom w:val="single" w:sz="4" w:space="0" w:color="auto"/>
              <w:right w:val="single" w:sz="4" w:space="0" w:color="auto"/>
            </w:tcBorders>
            <w:shd w:val="clear" w:color="auto" w:fill="C6EFCE"/>
          </w:tcPr>
          <w:p w14:paraId="54871E12" w14:textId="3F04855A" w:rsidR="0023462A" w:rsidRDefault="00A550FA">
            <w:pPr>
              <w:pStyle w:val="P68B1DB1-Normal27"/>
              <w:spacing w:after="120" w:line="240" w:lineRule="auto"/>
              <w:rPr>
                <w:noProof/>
              </w:rPr>
            </w:pPr>
            <w:r>
              <w:rPr>
                <w:noProof/>
              </w:rPr>
              <w:t xml:space="preserve">Certificat de transfert </w:t>
            </w:r>
          </w:p>
        </w:tc>
        <w:tc>
          <w:tcPr>
            <w:tcW w:w="959" w:type="dxa"/>
            <w:tcBorders>
              <w:top w:val="single" w:sz="4" w:space="0" w:color="auto"/>
              <w:left w:val="single" w:sz="4" w:space="0" w:color="auto"/>
              <w:bottom w:val="single" w:sz="4" w:space="0" w:color="auto"/>
              <w:right w:val="single" w:sz="4" w:space="0" w:color="auto"/>
            </w:tcBorders>
            <w:shd w:val="clear" w:color="auto" w:fill="C6EFCE"/>
          </w:tcPr>
          <w:p w14:paraId="5E99736D" w14:textId="77777777" w:rsidR="0023462A" w:rsidRDefault="0023462A">
            <w:pPr>
              <w:spacing w:after="120" w:line="240" w:lineRule="auto"/>
              <w:rPr>
                <w:rFonts w:ascii="Times New Roman" w:eastAsia="Times New Roman" w:hAnsi="Times New Roman" w:cs="Times New Roman"/>
                <w:noProof/>
                <w:sz w:val="18"/>
                <w:szCs w:val="18"/>
              </w:rPr>
            </w:pPr>
          </w:p>
        </w:tc>
        <w:tc>
          <w:tcPr>
            <w:tcW w:w="793" w:type="dxa"/>
            <w:tcBorders>
              <w:top w:val="single" w:sz="4" w:space="0" w:color="auto"/>
              <w:left w:val="single" w:sz="4" w:space="0" w:color="auto"/>
              <w:bottom w:val="single" w:sz="4" w:space="0" w:color="auto"/>
              <w:right w:val="single" w:sz="4" w:space="0" w:color="auto"/>
            </w:tcBorders>
            <w:shd w:val="clear" w:color="auto" w:fill="C6EFCE"/>
          </w:tcPr>
          <w:p w14:paraId="3FEE031A" w14:textId="77777777" w:rsidR="0023462A" w:rsidRDefault="0023462A">
            <w:pPr>
              <w:spacing w:after="120" w:line="240" w:lineRule="auto"/>
              <w:rPr>
                <w:rFonts w:ascii="Times New Roman" w:eastAsia="Times New Roman" w:hAnsi="Times New Roman" w:cs="Times New Roman"/>
                <w:noProof/>
                <w:sz w:val="18"/>
                <w:szCs w:val="18"/>
              </w:rPr>
            </w:pPr>
          </w:p>
        </w:tc>
        <w:tc>
          <w:tcPr>
            <w:tcW w:w="760" w:type="dxa"/>
            <w:tcBorders>
              <w:top w:val="single" w:sz="4" w:space="0" w:color="auto"/>
              <w:left w:val="single" w:sz="4" w:space="0" w:color="auto"/>
              <w:bottom w:val="single" w:sz="4" w:space="0" w:color="auto"/>
              <w:right w:val="single" w:sz="4" w:space="0" w:color="auto"/>
            </w:tcBorders>
            <w:shd w:val="clear" w:color="auto" w:fill="C6EFCE"/>
          </w:tcPr>
          <w:p w14:paraId="28F9C281" w14:textId="77777777" w:rsidR="0023462A" w:rsidRDefault="0023462A">
            <w:pPr>
              <w:spacing w:after="120" w:line="240" w:lineRule="auto"/>
              <w:rPr>
                <w:rFonts w:ascii="Times New Roman" w:eastAsia="Times New Roman" w:hAnsi="Times New Roman" w:cs="Times New Roman"/>
                <w:noProof/>
                <w:sz w:val="18"/>
                <w:szCs w:val="18"/>
              </w:rPr>
            </w:pPr>
          </w:p>
        </w:tc>
        <w:tc>
          <w:tcPr>
            <w:tcW w:w="869" w:type="dxa"/>
            <w:tcBorders>
              <w:top w:val="single" w:sz="4" w:space="0" w:color="auto"/>
              <w:left w:val="single" w:sz="4" w:space="0" w:color="auto"/>
              <w:bottom w:val="single" w:sz="4" w:space="0" w:color="auto"/>
              <w:right w:val="single" w:sz="4" w:space="0" w:color="auto"/>
            </w:tcBorders>
            <w:shd w:val="clear" w:color="auto" w:fill="C6EFCE"/>
          </w:tcPr>
          <w:p w14:paraId="10A7A256" w14:textId="2F8CE082" w:rsidR="0023462A" w:rsidRDefault="00A550FA">
            <w:pPr>
              <w:pStyle w:val="P68B1DB1-Normal27"/>
              <w:spacing w:after="120" w:line="240" w:lineRule="auto"/>
              <w:jc w:val="center"/>
              <w:rPr>
                <w:noProof/>
              </w:rPr>
            </w:pPr>
            <w:r>
              <w:rPr>
                <w:noProof/>
              </w:rPr>
              <w:t>T2</w:t>
            </w:r>
          </w:p>
        </w:tc>
        <w:tc>
          <w:tcPr>
            <w:tcW w:w="902" w:type="dxa"/>
            <w:tcBorders>
              <w:top w:val="single" w:sz="4" w:space="0" w:color="auto"/>
              <w:left w:val="single" w:sz="4" w:space="0" w:color="auto"/>
              <w:bottom w:val="single" w:sz="4" w:space="0" w:color="auto"/>
              <w:right w:val="single" w:sz="4" w:space="0" w:color="auto"/>
            </w:tcBorders>
            <w:shd w:val="clear" w:color="auto" w:fill="C6EFCE"/>
          </w:tcPr>
          <w:p w14:paraId="0A0B7E0F" w14:textId="68989FEA" w:rsidR="0023462A" w:rsidRDefault="00A550FA">
            <w:pPr>
              <w:pStyle w:val="P68B1DB1-Normal27"/>
              <w:spacing w:after="120" w:line="240" w:lineRule="auto"/>
              <w:rPr>
                <w:noProof/>
              </w:rPr>
            </w:pPr>
            <w:r>
              <w:rPr>
                <w:noProof/>
              </w:rPr>
              <w:t>2026</w:t>
            </w:r>
          </w:p>
        </w:tc>
        <w:tc>
          <w:tcPr>
            <w:tcW w:w="4204" w:type="dxa"/>
            <w:tcBorders>
              <w:top w:val="single" w:sz="4" w:space="0" w:color="auto"/>
              <w:left w:val="single" w:sz="4" w:space="0" w:color="auto"/>
              <w:bottom w:val="single" w:sz="4" w:space="0" w:color="auto"/>
              <w:right w:val="single" w:sz="4" w:space="0" w:color="auto"/>
            </w:tcBorders>
            <w:shd w:val="clear" w:color="auto" w:fill="C6EFCE"/>
          </w:tcPr>
          <w:p w14:paraId="423BB69D" w14:textId="28798966" w:rsidR="0023462A" w:rsidRDefault="00A550FA">
            <w:pPr>
              <w:pStyle w:val="P68B1DB1-Normal27"/>
              <w:spacing w:after="120" w:line="240" w:lineRule="auto"/>
              <w:jc w:val="both"/>
              <w:rPr>
                <w:noProof/>
              </w:rPr>
            </w:pPr>
            <w:r>
              <w:rPr>
                <w:noProof/>
              </w:rPr>
              <w:t>La Hongrie transfère 1 126 815 025 EUR à la MFB pour augmenter ses fonds propres.</w:t>
            </w:r>
          </w:p>
          <w:p w14:paraId="75EFBD7E" w14:textId="07D98060" w:rsidR="0023462A" w:rsidRDefault="00A550FA">
            <w:pPr>
              <w:pStyle w:val="P68B1DB1-Normal32"/>
              <w:spacing w:after="120" w:line="240" w:lineRule="auto"/>
              <w:jc w:val="both"/>
              <w:rPr>
                <w:rFonts w:eastAsia="Times New Roman"/>
                <w:noProof/>
              </w:rPr>
            </w:pPr>
            <w:r>
              <w:rPr>
                <w:noProof/>
              </w:rPr>
              <w:t>Au-delà de l’injection de fonds propres dans la MFB qui constitue l’investissement au titre de la FRR, la Hongrie transmet un rapport décrivant les mesures prises par la MFB au plus tard le 31 août 2026 pour mettre en œuvre la politique d’investissement, y compris les mesures prises pour la mise en œuvre des produits financiers que les fonds propres supplémentaires devraient initialement soutenir, ainsi que les mesures attendues pour la poursuite de la mise en œuvre de ces produits.</w:t>
            </w:r>
          </w:p>
        </w:tc>
      </w:tr>
    </w:tbl>
    <w:p w14:paraId="13278655" w14:textId="77777777" w:rsidR="0023462A" w:rsidRDefault="0023462A">
      <w:pPr>
        <w:spacing w:after="120" w:line="240" w:lineRule="auto"/>
        <w:jc w:val="both"/>
        <w:rPr>
          <w:rFonts w:ascii="Times New Roman" w:hAnsi="Times New Roman" w:cs="Times New Roman"/>
          <w:noProof/>
          <w:sz w:val="24"/>
          <w:szCs w:val="24"/>
        </w:rPr>
      </w:pPr>
    </w:p>
    <w:p w14:paraId="3537AF69" w14:textId="77777777" w:rsidR="0023462A" w:rsidRDefault="0023462A">
      <w:pPr>
        <w:spacing w:after="120" w:line="240" w:lineRule="auto"/>
        <w:jc w:val="both"/>
        <w:rPr>
          <w:rFonts w:ascii="Times New Roman" w:hAnsi="Times New Roman" w:cs="Times New Roman"/>
          <w:noProof/>
          <w:sz w:val="24"/>
          <w:szCs w:val="24"/>
        </w:rPr>
        <w:sectPr w:rsidR="0023462A" w:rsidSect="00632EA4">
          <w:headerReference w:type="default" r:id="rId116"/>
          <w:footerReference w:type="default" r:id="rId117"/>
          <w:pgSz w:w="15840" w:h="12240" w:orient="landscape"/>
          <w:pgMar w:top="1440" w:right="1440" w:bottom="1440" w:left="1440" w:header="708" w:footer="708" w:gutter="0"/>
          <w:cols w:space="708"/>
          <w:docGrid w:linePitch="360"/>
        </w:sectPr>
      </w:pPr>
    </w:p>
    <w:p w14:paraId="385A22F8" w14:textId="51970571" w:rsidR="0023462A" w:rsidRDefault="00A550FA">
      <w:pPr>
        <w:pStyle w:val="P68B1DB1-Heading310"/>
        <w:spacing w:before="0" w:after="120"/>
        <w:rPr>
          <w:noProof/>
        </w:rPr>
      </w:pPr>
      <w:r>
        <w:rPr>
          <w:noProof/>
        </w:rPr>
        <w:t>J.3. Description des réformes et des investissements pour le prêt</w:t>
      </w:r>
    </w:p>
    <w:p w14:paraId="74FC64D3" w14:textId="2CD34971" w:rsidR="0023462A" w:rsidRDefault="00A550FA">
      <w:pPr>
        <w:pStyle w:val="P68B1DB1-Heading411"/>
        <w:spacing w:before="0" w:after="120" w:line="240" w:lineRule="auto"/>
        <w:rPr>
          <w:noProof/>
        </w:rPr>
      </w:pPr>
      <w:r>
        <w:rPr>
          <w:noProof/>
        </w:rPr>
        <w:t>C10.I2 : Complément à l’injection de fonds propres dans Magyar Fejlesztési Bank (MFB)</w:t>
      </w:r>
    </w:p>
    <w:p w14:paraId="11B4DF9A" w14:textId="77777777" w:rsidR="0023462A" w:rsidRDefault="00A550FA">
      <w:pPr>
        <w:pStyle w:val="P68B1DB1-Normal34"/>
        <w:spacing w:after="120" w:line="240" w:lineRule="auto"/>
        <w:jc w:val="both"/>
        <w:rPr>
          <w:noProof/>
        </w:rPr>
      </w:pPr>
      <w:r>
        <w:rPr>
          <w:noProof/>
        </w:rPr>
        <w:t xml:space="preserve">L’objectif de cette mesure est de soutenir le potentiel de croissance de l’économie hongroise en ajustant structurellement le niveau de soutien public disponible pour remédier aux défaillances et aux inefficacités du marché au sein de l’économie. </w:t>
      </w:r>
    </w:p>
    <w:p w14:paraId="62F2CE9D" w14:textId="06706B33" w:rsidR="0023462A" w:rsidRDefault="00A550FA">
      <w:pPr>
        <w:pStyle w:val="P68B1DB1-Normal34"/>
        <w:spacing w:after="120" w:line="240" w:lineRule="auto"/>
        <w:jc w:val="both"/>
        <w:rPr>
          <w:noProof/>
        </w:rPr>
      </w:pPr>
      <w:r>
        <w:rPr>
          <w:noProof/>
        </w:rPr>
        <w:t>La mesure consistera en une injection de fonds propres de 688 338 565 EUR dans la Hungarian Development Bank Private Limited Company (Magyar Fejlesztési Bank Zrt. (MFB)). Ce montant s'ajoute à tout montant fourni au titre de la mesure C10.I1. Ce montant de 688 millions d'EUR sera utilisé pour cofinancer des investissements avec la BEI au sein de l'économie hongroise. La réalisation satisfaisante des jalons au titre de cette mesure est subordonnée à la réalisation satisfaisante des jalons de la réforme 1 – réforme de la gouvernance de la Magyar Fejlesztési Bank.</w:t>
      </w:r>
    </w:p>
    <w:p w14:paraId="74580686" w14:textId="77777777" w:rsidR="0023462A" w:rsidRDefault="0023462A">
      <w:pPr>
        <w:spacing w:after="120" w:line="240" w:lineRule="auto"/>
        <w:rPr>
          <w:rFonts w:ascii="Times New Roman" w:hAnsi="Times New Roman" w:cs="Times New Roman"/>
          <w:noProof/>
          <w:sz w:val="24"/>
          <w:szCs w:val="24"/>
        </w:rPr>
        <w:sectPr w:rsidR="0023462A" w:rsidSect="002E313A">
          <w:headerReference w:type="default" r:id="rId118"/>
          <w:footerReference w:type="default" r:id="rId119"/>
          <w:pgSz w:w="11907" w:h="16839"/>
          <w:pgMar w:top="1134" w:right="1134" w:bottom="1134" w:left="1134" w:header="567" w:footer="567" w:gutter="0"/>
          <w:cols w:space="708"/>
          <w:docGrid w:linePitch="326"/>
        </w:sectPr>
      </w:pPr>
    </w:p>
    <w:p w14:paraId="55B53F1F" w14:textId="2C5BB5D3" w:rsidR="0023462A" w:rsidRDefault="00A550FA">
      <w:pPr>
        <w:pStyle w:val="P68B1DB1-Heading310"/>
        <w:spacing w:before="0" w:after="120"/>
        <w:rPr>
          <w:noProof/>
        </w:rPr>
      </w:pPr>
      <w:r>
        <w:rPr>
          <w:noProof/>
        </w:rPr>
        <w:t xml:space="preserve">J.4. </w:t>
      </w:r>
      <w:r>
        <w:rPr>
          <w:noProof/>
        </w:rPr>
        <w:tab/>
        <w:t>Étapes, objectifs, indicateurs et calendrier du suivi et de la mise en œuvre du prêt</w:t>
      </w:r>
    </w:p>
    <w:tbl>
      <w:tblPr>
        <w:tblW w:w="15307"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50"/>
        <w:gridCol w:w="1180"/>
        <w:gridCol w:w="1111"/>
        <w:gridCol w:w="2128"/>
        <w:gridCol w:w="1752"/>
        <w:gridCol w:w="959"/>
        <w:gridCol w:w="793"/>
        <w:gridCol w:w="760"/>
        <w:gridCol w:w="1165"/>
        <w:gridCol w:w="834"/>
        <w:gridCol w:w="3975"/>
      </w:tblGrid>
      <w:tr w:rsidR="0023462A" w14:paraId="41B006DC" w14:textId="77777777">
        <w:trPr>
          <w:trHeight w:val="300"/>
          <w:tblHeader/>
          <w:jc w:val="center"/>
        </w:trPr>
        <w:tc>
          <w:tcPr>
            <w:tcW w:w="65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9771FFF" w14:textId="77777777" w:rsidR="0023462A" w:rsidRDefault="00A550FA">
            <w:pPr>
              <w:pStyle w:val="P68B1DB1-Normal71"/>
              <w:spacing w:after="120" w:line="240" w:lineRule="auto"/>
              <w:jc w:val="center"/>
              <w:textAlignment w:val="baseline"/>
              <w:rPr>
                <w:noProof/>
              </w:rPr>
            </w:pPr>
            <w:r>
              <w:rPr>
                <w:noProof/>
              </w:rPr>
              <w:t>Seq. Numéro</w:t>
            </w:r>
          </w:p>
        </w:tc>
        <w:tc>
          <w:tcPr>
            <w:tcW w:w="117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A132925" w14:textId="77777777" w:rsidR="0023462A" w:rsidRDefault="00A550FA">
            <w:pPr>
              <w:pStyle w:val="P68B1DB1-Normal71"/>
              <w:spacing w:after="120" w:line="240" w:lineRule="auto"/>
              <w:jc w:val="center"/>
              <w:textAlignment w:val="baseline"/>
              <w:rPr>
                <w:rFonts w:eastAsiaTheme="minorHAnsi"/>
                <w:noProof/>
              </w:rPr>
            </w:pPr>
            <w:r>
              <w:rPr>
                <w:noProof/>
              </w:rPr>
              <w:t>Mesure connexe (réforme ou investissement)</w:t>
            </w:r>
          </w:p>
        </w:tc>
        <w:tc>
          <w:tcPr>
            <w:tcW w:w="111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72993E7" w14:textId="77777777" w:rsidR="0023462A" w:rsidRDefault="00A550FA">
            <w:pPr>
              <w:pStyle w:val="P68B1DB1-Normal71"/>
              <w:spacing w:after="120" w:line="240" w:lineRule="auto"/>
              <w:jc w:val="center"/>
              <w:textAlignment w:val="baseline"/>
              <w:rPr>
                <w:noProof/>
              </w:rPr>
            </w:pPr>
            <w:r>
              <w:rPr>
                <w:noProof/>
              </w:rPr>
              <w:t>Étape/</w:t>
            </w:r>
          </w:p>
          <w:p w14:paraId="1C1E2A10" w14:textId="3B73DE72" w:rsidR="0023462A" w:rsidRDefault="00A550FA">
            <w:pPr>
              <w:pStyle w:val="P68B1DB1-Normal71"/>
              <w:spacing w:after="120" w:line="240" w:lineRule="auto"/>
              <w:jc w:val="center"/>
              <w:textAlignment w:val="baseline"/>
              <w:rPr>
                <w:rFonts w:eastAsiaTheme="minorHAnsi"/>
                <w:noProof/>
              </w:rPr>
            </w:pPr>
            <w:r>
              <w:rPr>
                <w:noProof/>
              </w:rPr>
              <w:t>Objectif</w:t>
            </w:r>
          </w:p>
        </w:tc>
        <w:tc>
          <w:tcPr>
            <w:tcW w:w="212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C407570" w14:textId="77777777" w:rsidR="0023462A" w:rsidRDefault="00A550FA">
            <w:pPr>
              <w:pStyle w:val="P68B1DB1-Normal71"/>
              <w:spacing w:after="120" w:line="240" w:lineRule="auto"/>
              <w:jc w:val="center"/>
              <w:textAlignment w:val="baseline"/>
              <w:rPr>
                <w:rFonts w:eastAsiaTheme="minorHAnsi"/>
                <w:noProof/>
              </w:rPr>
            </w:pPr>
            <w:r>
              <w:rPr>
                <w:noProof/>
              </w:rPr>
              <w:t>Nom</w:t>
            </w:r>
          </w:p>
        </w:tc>
        <w:tc>
          <w:tcPr>
            <w:tcW w:w="175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FE62A6B" w14:textId="7A36C5FD" w:rsidR="0023462A" w:rsidRDefault="00A550FA">
            <w:pPr>
              <w:pStyle w:val="P68B1DB1-Normal72"/>
              <w:spacing w:after="120" w:line="240" w:lineRule="auto"/>
              <w:jc w:val="center"/>
              <w:textAlignment w:val="baseline"/>
              <w:rPr>
                <w:rFonts w:eastAsiaTheme="minorHAnsi"/>
                <w:noProof/>
              </w:rPr>
            </w:pPr>
            <w:r>
              <w:rPr>
                <w:b/>
                <w:noProof/>
              </w:rPr>
              <w:t>Indicateurs qualitatifs</w:t>
            </w:r>
            <w:r>
              <w:rPr>
                <w:noProof/>
              </w:rPr>
              <w:br/>
            </w:r>
            <w:r>
              <w:rPr>
                <w:b/>
                <w:noProof/>
              </w:rPr>
              <w:t>(pour les jalons)</w:t>
            </w:r>
          </w:p>
        </w:tc>
        <w:tc>
          <w:tcPr>
            <w:tcW w:w="2512"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1BF637D2" w14:textId="14A299BA" w:rsidR="0023462A" w:rsidRDefault="00A550FA">
            <w:pPr>
              <w:pStyle w:val="P68B1DB1-Normal72"/>
              <w:spacing w:after="120" w:line="240" w:lineRule="auto"/>
              <w:jc w:val="center"/>
              <w:textAlignment w:val="baseline"/>
              <w:rPr>
                <w:rFonts w:eastAsiaTheme="minorHAnsi"/>
                <w:noProof/>
              </w:rPr>
            </w:pPr>
            <w:r>
              <w:rPr>
                <w:b/>
                <w:noProof/>
              </w:rPr>
              <w:t>Indicateurs quantitatifs</w:t>
            </w:r>
            <w:r>
              <w:rPr>
                <w:noProof/>
              </w:rPr>
              <w:t xml:space="preserve"> </w:t>
            </w:r>
            <w:r>
              <w:rPr>
                <w:noProof/>
              </w:rPr>
              <w:br/>
            </w:r>
            <w:r>
              <w:rPr>
                <w:b/>
                <w:noProof/>
              </w:rPr>
              <w:t>(pour les objectifs)</w:t>
            </w:r>
          </w:p>
        </w:tc>
        <w:tc>
          <w:tcPr>
            <w:tcW w:w="1999"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4FC82ACF" w14:textId="66878BA6" w:rsidR="0023462A" w:rsidRDefault="00A550FA">
            <w:pPr>
              <w:pStyle w:val="P68B1DB1-Normal71"/>
              <w:spacing w:after="120" w:line="240" w:lineRule="auto"/>
              <w:jc w:val="center"/>
              <w:textAlignment w:val="baseline"/>
              <w:rPr>
                <w:rFonts w:eastAsiaTheme="minorHAnsi"/>
                <w:noProof/>
              </w:rPr>
            </w:pPr>
            <w:r>
              <w:rPr>
                <w:noProof/>
              </w:rPr>
              <w:t xml:space="preserve">Calendrier indicatif d'achèvement </w:t>
            </w:r>
          </w:p>
        </w:tc>
        <w:tc>
          <w:tcPr>
            <w:tcW w:w="397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D1F37E4" w14:textId="77777777" w:rsidR="0023462A" w:rsidRDefault="00A550FA">
            <w:pPr>
              <w:pStyle w:val="P68B1DB1-Normal71"/>
              <w:spacing w:after="120" w:line="240" w:lineRule="auto"/>
              <w:jc w:val="center"/>
              <w:textAlignment w:val="baseline"/>
              <w:rPr>
                <w:rFonts w:eastAsiaTheme="minorHAnsi"/>
                <w:noProof/>
              </w:rPr>
            </w:pPr>
            <w:r>
              <w:rPr>
                <w:noProof/>
              </w:rPr>
              <w:t>Description de chaque jalon et cible</w:t>
            </w:r>
          </w:p>
        </w:tc>
      </w:tr>
      <w:tr w:rsidR="0023462A" w14:paraId="59BF2C1E" w14:textId="77777777">
        <w:trPr>
          <w:trHeight w:val="975"/>
          <w:tblHeader/>
          <w:jc w:val="center"/>
        </w:trPr>
        <w:tc>
          <w:tcPr>
            <w:tcW w:w="651" w:type="dxa"/>
            <w:vMerge/>
            <w:tcBorders>
              <w:top w:val="single" w:sz="4" w:space="0" w:color="auto"/>
              <w:left w:val="single" w:sz="4" w:space="0" w:color="auto"/>
              <w:bottom w:val="single" w:sz="4" w:space="0" w:color="auto"/>
              <w:right w:val="single" w:sz="4" w:space="0" w:color="auto"/>
            </w:tcBorders>
            <w:vAlign w:val="center"/>
            <w:hideMark/>
          </w:tcPr>
          <w:p w14:paraId="19040861" w14:textId="77777777" w:rsidR="0023462A" w:rsidRDefault="0023462A">
            <w:pPr>
              <w:spacing w:after="120" w:line="240" w:lineRule="auto"/>
              <w:jc w:val="center"/>
              <w:rPr>
                <w:rFonts w:ascii="Times New Roman" w:hAnsi="Times New Roman" w:cs="Times New Roman"/>
                <w:noProof/>
                <w:sz w:val="18"/>
              </w:rPr>
            </w:pPr>
          </w:p>
        </w:tc>
        <w:tc>
          <w:tcPr>
            <w:tcW w:w="1178" w:type="dxa"/>
            <w:vMerge/>
            <w:tcBorders>
              <w:top w:val="single" w:sz="4" w:space="0" w:color="auto"/>
              <w:left w:val="single" w:sz="4" w:space="0" w:color="auto"/>
              <w:bottom w:val="single" w:sz="4" w:space="0" w:color="auto"/>
              <w:right w:val="single" w:sz="4" w:space="0" w:color="auto"/>
            </w:tcBorders>
            <w:vAlign w:val="center"/>
            <w:hideMark/>
          </w:tcPr>
          <w:p w14:paraId="4AC23EA4" w14:textId="77777777" w:rsidR="0023462A" w:rsidRDefault="0023462A">
            <w:pPr>
              <w:spacing w:after="120" w:line="240" w:lineRule="auto"/>
              <w:jc w:val="center"/>
              <w:rPr>
                <w:rFonts w:ascii="Times New Roman" w:hAnsi="Times New Roman" w:cs="Times New Roman"/>
                <w:noProof/>
                <w:sz w:val="18"/>
              </w:rPr>
            </w:pPr>
          </w:p>
        </w:tc>
        <w:tc>
          <w:tcPr>
            <w:tcW w:w="1111" w:type="dxa"/>
            <w:vMerge/>
            <w:tcBorders>
              <w:top w:val="single" w:sz="4" w:space="0" w:color="auto"/>
              <w:left w:val="single" w:sz="4" w:space="0" w:color="auto"/>
              <w:bottom w:val="single" w:sz="4" w:space="0" w:color="auto"/>
              <w:right w:val="single" w:sz="4" w:space="0" w:color="auto"/>
            </w:tcBorders>
            <w:vAlign w:val="center"/>
            <w:hideMark/>
          </w:tcPr>
          <w:p w14:paraId="18E9E569" w14:textId="77777777" w:rsidR="0023462A" w:rsidRDefault="0023462A">
            <w:pPr>
              <w:spacing w:after="120" w:line="240" w:lineRule="auto"/>
              <w:jc w:val="center"/>
              <w:rPr>
                <w:rFonts w:ascii="Times New Roman" w:hAnsi="Times New Roman" w:cs="Times New Roman"/>
                <w:noProof/>
                <w:sz w:val="18"/>
              </w:rPr>
            </w:pPr>
          </w:p>
        </w:tc>
        <w:tc>
          <w:tcPr>
            <w:tcW w:w="2128" w:type="dxa"/>
            <w:vMerge/>
            <w:tcBorders>
              <w:top w:val="single" w:sz="4" w:space="0" w:color="auto"/>
              <w:left w:val="single" w:sz="4" w:space="0" w:color="auto"/>
              <w:bottom w:val="single" w:sz="4" w:space="0" w:color="auto"/>
              <w:right w:val="single" w:sz="4" w:space="0" w:color="auto"/>
            </w:tcBorders>
            <w:vAlign w:val="center"/>
            <w:hideMark/>
          </w:tcPr>
          <w:p w14:paraId="601299BA" w14:textId="77777777" w:rsidR="0023462A" w:rsidRDefault="0023462A">
            <w:pPr>
              <w:spacing w:after="120" w:line="240" w:lineRule="auto"/>
              <w:jc w:val="center"/>
              <w:rPr>
                <w:rFonts w:ascii="Times New Roman" w:hAnsi="Times New Roman" w:cs="Times New Roman"/>
                <w:noProof/>
                <w:sz w:val="18"/>
              </w:rPr>
            </w:pPr>
          </w:p>
        </w:tc>
        <w:tc>
          <w:tcPr>
            <w:tcW w:w="1752" w:type="dxa"/>
            <w:vMerge/>
            <w:tcBorders>
              <w:top w:val="single" w:sz="4" w:space="0" w:color="auto"/>
              <w:left w:val="single" w:sz="4" w:space="0" w:color="auto"/>
              <w:bottom w:val="single" w:sz="4" w:space="0" w:color="auto"/>
              <w:right w:val="single" w:sz="4" w:space="0" w:color="auto"/>
            </w:tcBorders>
            <w:vAlign w:val="center"/>
            <w:hideMark/>
          </w:tcPr>
          <w:p w14:paraId="44A05155" w14:textId="77777777" w:rsidR="0023462A" w:rsidRDefault="0023462A">
            <w:pPr>
              <w:spacing w:after="120" w:line="240" w:lineRule="auto"/>
              <w:jc w:val="center"/>
              <w:rPr>
                <w:rFonts w:ascii="Times New Roman" w:hAnsi="Times New Roman" w:cs="Times New Roman"/>
                <w:noProof/>
                <w:sz w:val="18"/>
              </w:rPr>
            </w:pPr>
          </w:p>
        </w:tc>
        <w:tc>
          <w:tcPr>
            <w:tcW w:w="95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55CFEC6" w14:textId="77777777" w:rsidR="0023462A" w:rsidRDefault="00A550FA">
            <w:pPr>
              <w:pStyle w:val="P68B1DB1-Normal71"/>
              <w:spacing w:after="120" w:line="240" w:lineRule="auto"/>
              <w:jc w:val="center"/>
              <w:textAlignment w:val="baseline"/>
              <w:rPr>
                <w:rFonts w:eastAsiaTheme="minorHAnsi"/>
                <w:noProof/>
              </w:rPr>
            </w:pPr>
            <w:r>
              <w:rPr>
                <w:noProof/>
              </w:rPr>
              <w:t>Unité de mesure</w:t>
            </w:r>
          </w:p>
        </w:tc>
        <w:tc>
          <w:tcPr>
            <w:tcW w:w="7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BA6C40C" w14:textId="77777777" w:rsidR="0023462A" w:rsidRDefault="00A550FA">
            <w:pPr>
              <w:pStyle w:val="P68B1DB1-Normal71"/>
              <w:spacing w:after="120" w:line="240" w:lineRule="auto"/>
              <w:jc w:val="center"/>
              <w:textAlignment w:val="baseline"/>
              <w:rPr>
                <w:rFonts w:eastAsiaTheme="minorHAnsi"/>
                <w:noProof/>
              </w:rPr>
            </w:pPr>
            <w:r>
              <w:rPr>
                <w:noProof/>
              </w:rPr>
              <w:t>Données de référence</w:t>
            </w:r>
          </w:p>
        </w:tc>
        <w:tc>
          <w:tcPr>
            <w:tcW w:w="76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7BC038E" w14:textId="77777777" w:rsidR="0023462A" w:rsidRDefault="00A550FA">
            <w:pPr>
              <w:pStyle w:val="P68B1DB1-Normal71"/>
              <w:spacing w:after="120" w:line="240" w:lineRule="auto"/>
              <w:jc w:val="center"/>
              <w:textAlignment w:val="baseline"/>
              <w:rPr>
                <w:rFonts w:eastAsiaTheme="minorHAnsi"/>
                <w:noProof/>
              </w:rPr>
            </w:pPr>
            <w:r>
              <w:rPr>
                <w:noProof/>
              </w:rPr>
              <w:t>Objectif</w:t>
            </w:r>
          </w:p>
        </w:tc>
        <w:tc>
          <w:tcPr>
            <w:tcW w:w="116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2E160E4" w14:textId="77777777" w:rsidR="0023462A" w:rsidRDefault="00A550FA">
            <w:pPr>
              <w:pStyle w:val="P68B1DB1-Normal71"/>
              <w:spacing w:after="120" w:line="240" w:lineRule="auto"/>
              <w:jc w:val="center"/>
              <w:textAlignment w:val="baseline"/>
              <w:rPr>
                <w:rFonts w:eastAsiaTheme="minorHAnsi"/>
                <w:noProof/>
              </w:rPr>
            </w:pPr>
            <w:r>
              <w:rPr>
                <w:noProof/>
              </w:rPr>
              <w:t>Trimestre</w:t>
            </w:r>
          </w:p>
        </w:tc>
        <w:tc>
          <w:tcPr>
            <w:tcW w:w="8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B4EB983" w14:textId="77777777" w:rsidR="0023462A" w:rsidRDefault="00A550FA">
            <w:pPr>
              <w:pStyle w:val="P68B1DB1-Normal71"/>
              <w:spacing w:after="120" w:line="240" w:lineRule="auto"/>
              <w:jc w:val="center"/>
              <w:textAlignment w:val="baseline"/>
              <w:rPr>
                <w:rFonts w:eastAsiaTheme="minorHAnsi"/>
                <w:noProof/>
              </w:rPr>
            </w:pPr>
            <w:r>
              <w:rPr>
                <w:noProof/>
              </w:rPr>
              <w:t>Année</w:t>
            </w:r>
          </w:p>
        </w:tc>
        <w:tc>
          <w:tcPr>
            <w:tcW w:w="3976" w:type="dxa"/>
            <w:vMerge/>
            <w:vAlign w:val="center"/>
            <w:hideMark/>
          </w:tcPr>
          <w:p w14:paraId="362F904A" w14:textId="77777777" w:rsidR="0023462A" w:rsidRDefault="0023462A">
            <w:pPr>
              <w:spacing w:after="120" w:line="240" w:lineRule="auto"/>
              <w:rPr>
                <w:rFonts w:ascii="Times New Roman" w:hAnsi="Times New Roman" w:cs="Times New Roman"/>
                <w:noProof/>
                <w:sz w:val="18"/>
              </w:rPr>
            </w:pPr>
          </w:p>
        </w:tc>
      </w:tr>
      <w:tr w:rsidR="0023462A" w14:paraId="236018B2" w14:textId="77777777">
        <w:trPr>
          <w:trHeight w:val="915"/>
          <w:jc w:val="center"/>
        </w:trPr>
        <w:tc>
          <w:tcPr>
            <w:tcW w:w="651" w:type="dxa"/>
            <w:tcBorders>
              <w:top w:val="single" w:sz="4" w:space="0" w:color="auto"/>
              <w:left w:val="single" w:sz="4" w:space="0" w:color="auto"/>
              <w:bottom w:val="single" w:sz="4" w:space="0" w:color="auto"/>
              <w:right w:val="single" w:sz="4" w:space="0" w:color="auto"/>
            </w:tcBorders>
            <w:shd w:val="clear" w:color="auto" w:fill="C6EFCE"/>
          </w:tcPr>
          <w:p w14:paraId="2CA63624" w14:textId="0F56D1F0" w:rsidR="0023462A" w:rsidRDefault="00A550FA">
            <w:pPr>
              <w:pStyle w:val="P68B1DB1-Normal27"/>
              <w:spacing w:after="120" w:line="240" w:lineRule="auto"/>
              <w:rPr>
                <w:noProof/>
              </w:rPr>
            </w:pPr>
            <w:r>
              <w:rPr>
                <w:noProof/>
              </w:rPr>
              <w:t>123</w:t>
            </w:r>
          </w:p>
        </w:tc>
        <w:tc>
          <w:tcPr>
            <w:tcW w:w="1178" w:type="dxa"/>
            <w:tcBorders>
              <w:top w:val="single" w:sz="4" w:space="0" w:color="auto"/>
              <w:left w:val="single" w:sz="4" w:space="0" w:color="auto"/>
              <w:bottom w:val="single" w:sz="4" w:space="0" w:color="auto"/>
              <w:right w:val="single" w:sz="4" w:space="0" w:color="auto"/>
            </w:tcBorders>
            <w:shd w:val="clear" w:color="auto" w:fill="C6EFCE"/>
          </w:tcPr>
          <w:p w14:paraId="7F77C084" w14:textId="79A9D215" w:rsidR="0023462A" w:rsidRDefault="00A550FA">
            <w:pPr>
              <w:pStyle w:val="P68B1DB1-Normal32"/>
              <w:spacing w:after="120" w:line="240" w:lineRule="auto"/>
              <w:rPr>
                <w:noProof/>
              </w:rPr>
            </w:pPr>
            <w:r>
              <w:rPr>
                <w:noProof/>
              </w:rPr>
              <w:t>C10.I2 Injection de fonds propres dans Magyar Fejlesztési Bank (MFB)</w:t>
            </w:r>
          </w:p>
        </w:tc>
        <w:tc>
          <w:tcPr>
            <w:tcW w:w="1111" w:type="dxa"/>
            <w:tcBorders>
              <w:top w:val="single" w:sz="4" w:space="0" w:color="auto"/>
              <w:left w:val="single" w:sz="4" w:space="0" w:color="auto"/>
              <w:bottom w:val="single" w:sz="4" w:space="0" w:color="auto"/>
              <w:right w:val="single" w:sz="4" w:space="0" w:color="auto"/>
            </w:tcBorders>
            <w:shd w:val="clear" w:color="auto" w:fill="C6EFCE"/>
          </w:tcPr>
          <w:p w14:paraId="3021860F" w14:textId="0A366C21" w:rsidR="0023462A" w:rsidRDefault="00A550FA">
            <w:pPr>
              <w:pStyle w:val="P68B1DB1-Normal27"/>
              <w:spacing w:after="120" w:line="240" w:lineRule="auto"/>
              <w:rPr>
                <w:noProof/>
              </w:rPr>
            </w:pPr>
            <w:r>
              <w:rPr>
                <w:noProof/>
              </w:rPr>
              <w:t>Étape</w:t>
            </w:r>
          </w:p>
        </w:tc>
        <w:tc>
          <w:tcPr>
            <w:tcW w:w="2128" w:type="dxa"/>
            <w:tcBorders>
              <w:top w:val="single" w:sz="4" w:space="0" w:color="auto"/>
              <w:left w:val="single" w:sz="4" w:space="0" w:color="auto"/>
              <w:bottom w:val="single" w:sz="4" w:space="0" w:color="auto"/>
              <w:right w:val="single" w:sz="4" w:space="0" w:color="auto"/>
            </w:tcBorders>
            <w:shd w:val="clear" w:color="auto" w:fill="C6EFCE"/>
          </w:tcPr>
          <w:p w14:paraId="1120BBE7" w14:textId="4443D6D0" w:rsidR="0023462A" w:rsidRDefault="00A550FA">
            <w:pPr>
              <w:pStyle w:val="P68B1DB1-Normal27"/>
              <w:spacing w:after="120" w:line="240" w:lineRule="auto"/>
              <w:rPr>
                <w:noProof/>
              </w:rPr>
            </w:pPr>
            <w:r>
              <w:rPr>
                <w:noProof/>
              </w:rPr>
              <w:t>Acte juridique relatif à l’injection de fonds propres de la MFB et à l’allocation de la BEI</w:t>
            </w:r>
          </w:p>
        </w:tc>
        <w:tc>
          <w:tcPr>
            <w:tcW w:w="1752" w:type="dxa"/>
            <w:tcBorders>
              <w:top w:val="single" w:sz="4" w:space="0" w:color="auto"/>
              <w:left w:val="single" w:sz="4" w:space="0" w:color="auto"/>
              <w:bottom w:val="single" w:sz="4" w:space="0" w:color="auto"/>
              <w:right w:val="single" w:sz="4" w:space="0" w:color="auto"/>
            </w:tcBorders>
            <w:shd w:val="clear" w:color="auto" w:fill="C6EFCE"/>
          </w:tcPr>
          <w:p w14:paraId="2FD54737" w14:textId="33438416" w:rsidR="0023462A" w:rsidRDefault="00A550FA">
            <w:pPr>
              <w:pStyle w:val="P68B1DB1-Normal27"/>
              <w:spacing w:after="120" w:line="240" w:lineRule="auto"/>
              <w:rPr>
                <w:noProof/>
              </w:rPr>
            </w:pPr>
            <w:r>
              <w:rPr>
                <w:noProof/>
              </w:rPr>
              <w:t>Entrée en vigueur d'un acte juridique</w:t>
            </w:r>
          </w:p>
        </w:tc>
        <w:tc>
          <w:tcPr>
            <w:tcW w:w="959" w:type="dxa"/>
            <w:tcBorders>
              <w:top w:val="single" w:sz="4" w:space="0" w:color="auto"/>
              <w:left w:val="single" w:sz="4" w:space="0" w:color="auto"/>
              <w:bottom w:val="single" w:sz="4" w:space="0" w:color="auto"/>
              <w:right w:val="single" w:sz="4" w:space="0" w:color="auto"/>
            </w:tcBorders>
            <w:shd w:val="clear" w:color="auto" w:fill="C6EFCE"/>
          </w:tcPr>
          <w:p w14:paraId="2419C899" w14:textId="77777777" w:rsidR="0023462A" w:rsidRDefault="0023462A">
            <w:pPr>
              <w:spacing w:after="120" w:line="240" w:lineRule="auto"/>
              <w:rPr>
                <w:rFonts w:ascii="Times New Roman" w:eastAsia="Times New Roman" w:hAnsi="Times New Roman" w:cs="Times New Roman"/>
                <w:noProof/>
                <w:sz w:val="18"/>
                <w:szCs w:val="18"/>
              </w:rPr>
            </w:pPr>
          </w:p>
        </w:tc>
        <w:tc>
          <w:tcPr>
            <w:tcW w:w="793" w:type="dxa"/>
            <w:tcBorders>
              <w:top w:val="single" w:sz="4" w:space="0" w:color="auto"/>
              <w:left w:val="single" w:sz="4" w:space="0" w:color="auto"/>
              <w:bottom w:val="single" w:sz="4" w:space="0" w:color="auto"/>
              <w:right w:val="single" w:sz="4" w:space="0" w:color="auto"/>
            </w:tcBorders>
            <w:shd w:val="clear" w:color="auto" w:fill="C6EFCE"/>
          </w:tcPr>
          <w:p w14:paraId="0C31513A" w14:textId="77777777" w:rsidR="0023462A" w:rsidRDefault="0023462A">
            <w:pPr>
              <w:spacing w:after="120" w:line="240" w:lineRule="auto"/>
              <w:rPr>
                <w:rFonts w:ascii="Times New Roman" w:eastAsia="Times New Roman" w:hAnsi="Times New Roman" w:cs="Times New Roman"/>
                <w:noProof/>
                <w:sz w:val="18"/>
                <w:szCs w:val="18"/>
              </w:rPr>
            </w:pPr>
          </w:p>
        </w:tc>
        <w:tc>
          <w:tcPr>
            <w:tcW w:w="760" w:type="dxa"/>
            <w:tcBorders>
              <w:top w:val="single" w:sz="4" w:space="0" w:color="auto"/>
              <w:left w:val="single" w:sz="4" w:space="0" w:color="auto"/>
              <w:bottom w:val="single" w:sz="4" w:space="0" w:color="auto"/>
              <w:right w:val="single" w:sz="4" w:space="0" w:color="auto"/>
            </w:tcBorders>
            <w:shd w:val="clear" w:color="auto" w:fill="C6EFCE"/>
          </w:tcPr>
          <w:p w14:paraId="5B05E806" w14:textId="77777777" w:rsidR="0023462A" w:rsidRDefault="0023462A">
            <w:pPr>
              <w:spacing w:after="120" w:line="240" w:lineRule="auto"/>
              <w:rPr>
                <w:rFonts w:ascii="Times New Roman" w:eastAsia="Times New Roman" w:hAnsi="Times New Roman" w:cs="Times New Roman"/>
                <w:noProof/>
                <w:sz w:val="18"/>
                <w:szCs w:val="18"/>
              </w:rPr>
            </w:pPr>
          </w:p>
        </w:tc>
        <w:tc>
          <w:tcPr>
            <w:tcW w:w="1165" w:type="dxa"/>
            <w:tcBorders>
              <w:top w:val="single" w:sz="4" w:space="0" w:color="auto"/>
              <w:left w:val="single" w:sz="4" w:space="0" w:color="auto"/>
              <w:bottom w:val="single" w:sz="4" w:space="0" w:color="auto"/>
              <w:right w:val="single" w:sz="4" w:space="0" w:color="auto"/>
            </w:tcBorders>
            <w:shd w:val="clear" w:color="auto" w:fill="C6EFCE"/>
          </w:tcPr>
          <w:p w14:paraId="0CA312BD" w14:textId="79355761" w:rsidR="0023462A" w:rsidRDefault="00A550FA">
            <w:pPr>
              <w:pStyle w:val="P68B1DB1-Normal27"/>
              <w:spacing w:after="120" w:line="240" w:lineRule="auto"/>
              <w:jc w:val="center"/>
              <w:rPr>
                <w:noProof/>
              </w:rPr>
            </w:pPr>
            <w:r>
              <w:rPr>
                <w:noProof/>
              </w:rPr>
              <w:t>T2</w:t>
            </w:r>
          </w:p>
        </w:tc>
        <w:tc>
          <w:tcPr>
            <w:tcW w:w="834" w:type="dxa"/>
            <w:tcBorders>
              <w:top w:val="single" w:sz="4" w:space="0" w:color="auto"/>
              <w:left w:val="single" w:sz="4" w:space="0" w:color="auto"/>
              <w:bottom w:val="single" w:sz="4" w:space="0" w:color="auto"/>
              <w:right w:val="single" w:sz="4" w:space="0" w:color="auto"/>
            </w:tcBorders>
            <w:shd w:val="clear" w:color="auto" w:fill="C6EFCE"/>
          </w:tcPr>
          <w:p w14:paraId="671286FE" w14:textId="2BADF0BF" w:rsidR="0023462A" w:rsidRDefault="00A550FA">
            <w:pPr>
              <w:pStyle w:val="P68B1DB1-Normal27"/>
              <w:spacing w:after="120" w:line="240" w:lineRule="auto"/>
              <w:rPr>
                <w:noProof/>
              </w:rPr>
            </w:pPr>
            <w:r>
              <w:rPr>
                <w:noProof/>
              </w:rPr>
              <w:t>2026</w:t>
            </w:r>
          </w:p>
        </w:tc>
        <w:tc>
          <w:tcPr>
            <w:tcW w:w="3976" w:type="dxa"/>
            <w:tcBorders>
              <w:top w:val="single" w:sz="4" w:space="0" w:color="auto"/>
              <w:left w:val="single" w:sz="4" w:space="0" w:color="auto"/>
              <w:bottom w:val="single" w:sz="4" w:space="0" w:color="auto"/>
              <w:right w:val="single" w:sz="4" w:space="0" w:color="auto"/>
            </w:tcBorders>
            <w:shd w:val="clear" w:color="auto" w:fill="C6EFCE"/>
          </w:tcPr>
          <w:p w14:paraId="4CD1B02A" w14:textId="15126153" w:rsidR="0023462A" w:rsidRDefault="00A550FA">
            <w:pPr>
              <w:pStyle w:val="P68B1DB1-Normal27"/>
              <w:spacing w:after="120" w:line="240" w:lineRule="auto"/>
              <w:jc w:val="both"/>
              <w:rPr>
                <w:noProof/>
              </w:rPr>
            </w:pPr>
            <w:r>
              <w:rPr>
                <w:noProof/>
              </w:rPr>
              <w:t>Entrée en vigueur d’un acte juridique allouant 688 338 565 EUR d’une injection de fonds propres de la MFB à utiliser par la MFB pour un accord de co-investissement avec la BEI.</w:t>
            </w:r>
          </w:p>
        </w:tc>
      </w:tr>
      <w:tr w:rsidR="0023462A" w14:paraId="73D28E20" w14:textId="77777777">
        <w:trPr>
          <w:trHeight w:val="915"/>
          <w:jc w:val="center"/>
        </w:trPr>
        <w:tc>
          <w:tcPr>
            <w:tcW w:w="651" w:type="dxa"/>
            <w:tcBorders>
              <w:top w:val="single" w:sz="4" w:space="0" w:color="auto"/>
              <w:left w:val="single" w:sz="4" w:space="0" w:color="auto"/>
              <w:bottom w:val="single" w:sz="4" w:space="0" w:color="auto"/>
              <w:right w:val="single" w:sz="4" w:space="0" w:color="auto"/>
            </w:tcBorders>
            <w:shd w:val="clear" w:color="auto" w:fill="C6EFCE"/>
          </w:tcPr>
          <w:p w14:paraId="06BCD8CB" w14:textId="75F835B9" w:rsidR="0023462A" w:rsidRDefault="00A550FA">
            <w:pPr>
              <w:pStyle w:val="P68B1DB1-Normal27"/>
              <w:spacing w:after="120" w:line="240" w:lineRule="auto"/>
              <w:rPr>
                <w:noProof/>
              </w:rPr>
            </w:pPr>
            <w:r>
              <w:rPr>
                <w:noProof/>
              </w:rPr>
              <w:t>124</w:t>
            </w:r>
          </w:p>
        </w:tc>
        <w:tc>
          <w:tcPr>
            <w:tcW w:w="1178" w:type="dxa"/>
            <w:tcBorders>
              <w:top w:val="single" w:sz="4" w:space="0" w:color="auto"/>
              <w:left w:val="single" w:sz="4" w:space="0" w:color="auto"/>
              <w:bottom w:val="single" w:sz="4" w:space="0" w:color="auto"/>
              <w:right w:val="single" w:sz="4" w:space="0" w:color="auto"/>
            </w:tcBorders>
            <w:shd w:val="clear" w:color="auto" w:fill="C6EFCE"/>
          </w:tcPr>
          <w:p w14:paraId="15D5962D" w14:textId="705BE70A" w:rsidR="0023462A" w:rsidRDefault="00A550FA">
            <w:pPr>
              <w:pStyle w:val="P68B1DB1-Normal32"/>
              <w:spacing w:after="120" w:line="240" w:lineRule="auto"/>
              <w:rPr>
                <w:noProof/>
              </w:rPr>
            </w:pPr>
            <w:r>
              <w:rPr>
                <w:noProof/>
              </w:rPr>
              <w:t>C10.I2 Injection de fonds propres dans Magyar Fejlesztési Bank (MFB)</w:t>
            </w:r>
          </w:p>
        </w:tc>
        <w:tc>
          <w:tcPr>
            <w:tcW w:w="1111" w:type="dxa"/>
            <w:tcBorders>
              <w:top w:val="single" w:sz="4" w:space="0" w:color="auto"/>
              <w:left w:val="single" w:sz="4" w:space="0" w:color="auto"/>
              <w:bottom w:val="single" w:sz="4" w:space="0" w:color="auto"/>
              <w:right w:val="single" w:sz="4" w:space="0" w:color="auto"/>
            </w:tcBorders>
            <w:shd w:val="clear" w:color="auto" w:fill="C6EFCE"/>
          </w:tcPr>
          <w:p w14:paraId="3DEEF931" w14:textId="23F4FCA7" w:rsidR="0023462A" w:rsidRDefault="00A550FA">
            <w:pPr>
              <w:pStyle w:val="P68B1DB1-Normal27"/>
              <w:spacing w:after="120" w:line="240" w:lineRule="auto"/>
              <w:rPr>
                <w:noProof/>
              </w:rPr>
            </w:pPr>
            <w:r>
              <w:rPr>
                <w:noProof/>
              </w:rPr>
              <w:t>Étape</w:t>
            </w:r>
          </w:p>
        </w:tc>
        <w:tc>
          <w:tcPr>
            <w:tcW w:w="2128" w:type="dxa"/>
            <w:tcBorders>
              <w:top w:val="single" w:sz="4" w:space="0" w:color="auto"/>
              <w:left w:val="single" w:sz="4" w:space="0" w:color="auto"/>
              <w:bottom w:val="single" w:sz="4" w:space="0" w:color="auto"/>
              <w:right w:val="single" w:sz="4" w:space="0" w:color="auto"/>
            </w:tcBorders>
            <w:shd w:val="clear" w:color="auto" w:fill="C6EFCE"/>
          </w:tcPr>
          <w:p w14:paraId="13DA9329" w14:textId="36A8BC36" w:rsidR="0023462A" w:rsidRDefault="00A550FA">
            <w:pPr>
              <w:pStyle w:val="P68B1DB1-Normal27"/>
              <w:spacing w:after="120" w:line="240" w:lineRule="auto"/>
              <w:rPr>
                <w:noProof/>
              </w:rPr>
            </w:pPr>
            <w:r>
              <w:rPr>
                <w:noProof/>
              </w:rPr>
              <w:t>Injection de fonds propres et signature d'un protocole d'accord entre la Hongrie et la BEI</w:t>
            </w:r>
          </w:p>
        </w:tc>
        <w:tc>
          <w:tcPr>
            <w:tcW w:w="1752" w:type="dxa"/>
            <w:tcBorders>
              <w:top w:val="single" w:sz="4" w:space="0" w:color="auto"/>
              <w:left w:val="single" w:sz="4" w:space="0" w:color="auto"/>
              <w:bottom w:val="single" w:sz="4" w:space="0" w:color="auto"/>
              <w:right w:val="single" w:sz="4" w:space="0" w:color="auto"/>
            </w:tcBorders>
            <w:shd w:val="clear" w:color="auto" w:fill="C6EFCE"/>
          </w:tcPr>
          <w:p w14:paraId="434C54E0" w14:textId="4D8BFBB2" w:rsidR="0023462A" w:rsidRDefault="00A550FA">
            <w:pPr>
              <w:pStyle w:val="P68B1DB1-Normal27"/>
              <w:spacing w:after="120" w:line="240" w:lineRule="auto"/>
              <w:rPr>
                <w:noProof/>
              </w:rPr>
            </w:pPr>
            <w:r>
              <w:rPr>
                <w:noProof/>
              </w:rPr>
              <w:t>Certificat de transfert et signature d'un protocole d'accord entre la Hongrie et la BEI</w:t>
            </w:r>
          </w:p>
        </w:tc>
        <w:tc>
          <w:tcPr>
            <w:tcW w:w="959" w:type="dxa"/>
            <w:tcBorders>
              <w:top w:val="single" w:sz="4" w:space="0" w:color="auto"/>
              <w:left w:val="single" w:sz="4" w:space="0" w:color="auto"/>
              <w:bottom w:val="single" w:sz="4" w:space="0" w:color="auto"/>
              <w:right w:val="single" w:sz="4" w:space="0" w:color="auto"/>
            </w:tcBorders>
            <w:shd w:val="clear" w:color="auto" w:fill="C6EFCE"/>
          </w:tcPr>
          <w:p w14:paraId="6260EC11" w14:textId="77777777" w:rsidR="0023462A" w:rsidRDefault="00A550FA">
            <w:pPr>
              <w:pStyle w:val="P68B1DB1-Normal27"/>
              <w:spacing w:after="120" w:line="240" w:lineRule="auto"/>
              <w:rPr>
                <w:noProof/>
              </w:rPr>
            </w:pPr>
            <w:r>
              <w:rPr>
                <w:noProof/>
              </w:rPr>
              <w:t xml:space="preserve"> </w:t>
            </w:r>
          </w:p>
        </w:tc>
        <w:tc>
          <w:tcPr>
            <w:tcW w:w="793" w:type="dxa"/>
            <w:tcBorders>
              <w:top w:val="single" w:sz="4" w:space="0" w:color="auto"/>
              <w:left w:val="single" w:sz="4" w:space="0" w:color="auto"/>
              <w:bottom w:val="single" w:sz="4" w:space="0" w:color="auto"/>
              <w:right w:val="single" w:sz="4" w:space="0" w:color="auto"/>
            </w:tcBorders>
            <w:shd w:val="clear" w:color="auto" w:fill="C6EFCE"/>
          </w:tcPr>
          <w:p w14:paraId="3B4D2816" w14:textId="77777777" w:rsidR="0023462A" w:rsidRDefault="00A550FA">
            <w:pPr>
              <w:pStyle w:val="P68B1DB1-Normal27"/>
              <w:spacing w:after="120" w:line="240" w:lineRule="auto"/>
              <w:rPr>
                <w:noProof/>
              </w:rPr>
            </w:pPr>
            <w:r>
              <w:rPr>
                <w:noProof/>
              </w:rPr>
              <w:t xml:space="preserve"> </w:t>
            </w:r>
          </w:p>
        </w:tc>
        <w:tc>
          <w:tcPr>
            <w:tcW w:w="760" w:type="dxa"/>
            <w:tcBorders>
              <w:top w:val="single" w:sz="4" w:space="0" w:color="auto"/>
              <w:left w:val="single" w:sz="4" w:space="0" w:color="auto"/>
              <w:bottom w:val="single" w:sz="4" w:space="0" w:color="auto"/>
              <w:right w:val="single" w:sz="4" w:space="0" w:color="auto"/>
            </w:tcBorders>
            <w:shd w:val="clear" w:color="auto" w:fill="C6EFCE"/>
          </w:tcPr>
          <w:p w14:paraId="1A079AA7" w14:textId="77777777" w:rsidR="0023462A" w:rsidRDefault="00A550FA">
            <w:pPr>
              <w:pStyle w:val="P68B1DB1-Normal27"/>
              <w:spacing w:after="120" w:line="240" w:lineRule="auto"/>
              <w:rPr>
                <w:noProof/>
              </w:rPr>
            </w:pPr>
            <w:r>
              <w:rPr>
                <w:noProof/>
              </w:rPr>
              <w:t xml:space="preserve"> </w:t>
            </w:r>
          </w:p>
        </w:tc>
        <w:tc>
          <w:tcPr>
            <w:tcW w:w="1165" w:type="dxa"/>
            <w:tcBorders>
              <w:top w:val="single" w:sz="4" w:space="0" w:color="auto"/>
              <w:left w:val="single" w:sz="4" w:space="0" w:color="auto"/>
              <w:bottom w:val="single" w:sz="4" w:space="0" w:color="auto"/>
              <w:right w:val="single" w:sz="4" w:space="0" w:color="auto"/>
            </w:tcBorders>
            <w:shd w:val="clear" w:color="auto" w:fill="C6EFCE"/>
          </w:tcPr>
          <w:p w14:paraId="30C4B729" w14:textId="7E2F13B9" w:rsidR="0023462A" w:rsidRDefault="00A550FA">
            <w:pPr>
              <w:pStyle w:val="P68B1DB1-Normal27"/>
              <w:spacing w:after="120" w:line="240" w:lineRule="auto"/>
              <w:jc w:val="center"/>
              <w:rPr>
                <w:noProof/>
              </w:rPr>
            </w:pPr>
            <w:r>
              <w:rPr>
                <w:noProof/>
              </w:rPr>
              <w:t>T2</w:t>
            </w:r>
          </w:p>
        </w:tc>
        <w:tc>
          <w:tcPr>
            <w:tcW w:w="834" w:type="dxa"/>
            <w:tcBorders>
              <w:top w:val="single" w:sz="4" w:space="0" w:color="auto"/>
              <w:left w:val="single" w:sz="4" w:space="0" w:color="auto"/>
              <w:bottom w:val="single" w:sz="4" w:space="0" w:color="auto"/>
              <w:right w:val="single" w:sz="4" w:space="0" w:color="auto"/>
            </w:tcBorders>
            <w:shd w:val="clear" w:color="auto" w:fill="C6EFCE"/>
          </w:tcPr>
          <w:p w14:paraId="05B3661B" w14:textId="387C9CC6" w:rsidR="0023462A" w:rsidRDefault="00A550FA">
            <w:pPr>
              <w:pStyle w:val="P68B1DB1-Normal27"/>
              <w:spacing w:after="120" w:line="240" w:lineRule="auto"/>
              <w:rPr>
                <w:noProof/>
              </w:rPr>
            </w:pPr>
            <w:r>
              <w:rPr>
                <w:noProof/>
              </w:rPr>
              <w:t>2026</w:t>
            </w:r>
          </w:p>
        </w:tc>
        <w:tc>
          <w:tcPr>
            <w:tcW w:w="3976" w:type="dxa"/>
            <w:tcBorders>
              <w:top w:val="single" w:sz="4" w:space="0" w:color="auto"/>
              <w:left w:val="single" w:sz="4" w:space="0" w:color="auto"/>
              <w:bottom w:val="single" w:sz="4" w:space="0" w:color="auto"/>
              <w:right w:val="single" w:sz="4" w:space="0" w:color="auto"/>
            </w:tcBorders>
            <w:shd w:val="clear" w:color="auto" w:fill="C6EFCE"/>
          </w:tcPr>
          <w:p w14:paraId="1EEB4B65" w14:textId="5E6476D8" w:rsidR="0023462A" w:rsidRDefault="00A550FA">
            <w:pPr>
              <w:pStyle w:val="P68B1DB1-Normal27"/>
              <w:spacing w:after="120" w:line="240" w:lineRule="auto"/>
              <w:jc w:val="both"/>
              <w:rPr>
                <w:noProof/>
              </w:rPr>
            </w:pPr>
            <w:r>
              <w:rPr>
                <w:noProof/>
              </w:rPr>
              <w:t>La Hongrie transfère 688 338 565 EUR à la MFB pour augmenter ses fonds propres.</w:t>
            </w:r>
          </w:p>
          <w:p w14:paraId="4E60D4DA" w14:textId="2BD3CFFC" w:rsidR="0023462A" w:rsidRDefault="00A550FA">
            <w:pPr>
              <w:spacing w:after="120" w:line="240" w:lineRule="auto"/>
              <w:jc w:val="both"/>
              <w:rPr>
                <w:rFonts w:ascii="Times New Roman" w:eastAsia="Times New Roman" w:hAnsi="Times New Roman" w:cs="Times New Roman"/>
                <w:noProof/>
                <w:sz w:val="18"/>
                <w:szCs w:val="18"/>
              </w:rPr>
            </w:pPr>
            <w:r>
              <w:rPr>
                <w:rFonts w:ascii="Times New Roman" w:eastAsia="Times New Roman" w:hAnsi="Times New Roman" w:cs="Times New Roman"/>
                <w:noProof/>
                <w:sz w:val="18"/>
                <w:szCs w:val="18"/>
              </w:rPr>
              <w:t xml:space="preserve">Signature d’un protocole d’accord entre la Hongrie et la BEI concernant un accord de co-investissement pour l’utilisation de ces fonds propres. Ce protocole d’accord comprend un accord selon lequel la MFB doit co-investir dans des projets financés par la BEI en Hongrie à </w:t>
            </w:r>
            <w:r>
              <w:rPr>
                <w:rFonts w:ascii="Times New Roman" w:eastAsia="Times New Roman" w:hAnsi="Times New Roman" w:cs="Times New Roman"/>
                <w:i/>
                <w:noProof/>
                <w:sz w:val="18"/>
                <w:szCs w:val="18"/>
              </w:rPr>
              <w:t xml:space="preserve">des conditions pari passu </w:t>
            </w:r>
            <w:r>
              <w:rPr>
                <w:rFonts w:ascii="Times New Roman" w:eastAsia="Times New Roman" w:hAnsi="Times New Roman" w:cs="Times New Roman"/>
                <w:noProof/>
                <w:sz w:val="18"/>
                <w:szCs w:val="18"/>
              </w:rPr>
              <w:t>avec la BEI (à l’exception de la tarification), les types de produits, les domaines, les bénéficiaires,</w:t>
            </w:r>
            <w:r>
              <w:rPr>
                <w:noProof/>
              </w:rPr>
              <w:t xml:space="preserve"> </w:t>
            </w:r>
            <w:r>
              <w:rPr>
                <w:rFonts w:ascii="Times New Roman" w:eastAsia="Times New Roman" w:hAnsi="Times New Roman" w:cs="Times New Roman"/>
                <w:noProof/>
                <w:sz w:val="18"/>
                <w:szCs w:val="18"/>
              </w:rPr>
              <w:t>la gouvernance et le calendrier de mise en œuvre, y compris la signature d’un accord juridique au plus tard le 30 novembre 2026.</w:t>
            </w:r>
          </w:p>
        </w:tc>
      </w:tr>
    </w:tbl>
    <w:p w14:paraId="4FB799D1" w14:textId="77777777" w:rsidR="0023462A" w:rsidRDefault="0023462A">
      <w:pPr>
        <w:spacing w:after="120" w:line="240" w:lineRule="auto"/>
        <w:rPr>
          <w:rFonts w:ascii="Times New Roman" w:hAnsi="Times New Roman" w:cs="Times New Roman"/>
          <w:noProof/>
          <w:sz w:val="24"/>
          <w:szCs w:val="24"/>
        </w:rPr>
        <w:sectPr w:rsidR="0023462A" w:rsidSect="00FB49A7">
          <w:headerReference w:type="default" r:id="rId120"/>
          <w:footerReference w:type="default" r:id="rId121"/>
          <w:pgSz w:w="16839" w:h="11907" w:orient="landscape"/>
          <w:pgMar w:top="1134" w:right="1134" w:bottom="1134" w:left="1134" w:header="567" w:footer="567" w:gutter="0"/>
          <w:cols w:space="708"/>
          <w:docGrid w:linePitch="326"/>
        </w:sectPr>
      </w:pPr>
    </w:p>
    <w:p w14:paraId="1D2B7376" w14:textId="27B96872" w:rsidR="0023462A" w:rsidRDefault="00A550FA">
      <w:pPr>
        <w:pStyle w:val="P68B1DB1-Normal44"/>
        <w:keepNext/>
        <w:spacing w:after="120" w:line="240" w:lineRule="auto"/>
        <w:jc w:val="both"/>
        <w:outlineLvl w:val="1"/>
        <w:rPr>
          <w:noProof/>
        </w:rPr>
      </w:pPr>
      <w:r>
        <w:rPr>
          <w:noProof/>
        </w:rPr>
        <w:t>K. Élément 11: INNOVATION NUMÉRIQUE</w:t>
      </w:r>
    </w:p>
    <w:p w14:paraId="1BE76133" w14:textId="54C9277F" w:rsidR="0023462A" w:rsidRDefault="00A550FA">
      <w:pPr>
        <w:pStyle w:val="P68B1DB1-Normal36"/>
        <w:autoSpaceDE w:val="0"/>
        <w:autoSpaceDN w:val="0"/>
        <w:adjustRightInd w:val="0"/>
        <w:spacing w:after="120" w:line="240" w:lineRule="auto"/>
        <w:jc w:val="both"/>
        <w:rPr>
          <w:noProof/>
        </w:rPr>
      </w:pPr>
      <w:r>
        <w:rPr>
          <w:noProof/>
        </w:rPr>
        <w:t>L'objectif de ce volet est de renforcer l'infrastructure et les capacités numériques de la Hongrie dans trois dimensions complémentaires. Grâce à des contributions aux programmes établis de l’UE, la Hongrie vise à garantir l’accès à la capacité de calcul de l’intelligence artificielle aux frontières par l’intermédiaire d’une Gigafactory d’IA ou d’une technologie quantique équivalente dans le cadre de l’entreprise commune EuroHPC, et à renforcer son infrastructure de connectivité sécurisée par la participation au programme satellitaire IRIS². Au niveau national, le volet soutient la modernisation des services d’administration en ligne, y compris la mise à niveau des systèmes de gestion de l’identité et des accès numériques et le déploiement d’un portefeuille numérique, afin d’améliorer l’accessibilité et la sécurité des services publics pour les citoyens et les entreprises.</w:t>
      </w:r>
    </w:p>
    <w:p w14:paraId="0BD986FD" w14:textId="3234497F" w:rsidR="0023462A" w:rsidRDefault="00A550FA">
      <w:pPr>
        <w:pStyle w:val="P68B1DB1-Normal36"/>
        <w:autoSpaceDE w:val="0"/>
        <w:autoSpaceDN w:val="0"/>
        <w:adjustRightInd w:val="0"/>
        <w:spacing w:after="120" w:line="240" w:lineRule="auto"/>
        <w:jc w:val="both"/>
        <w:rPr>
          <w:noProof/>
          <w:highlight w:val="yellow"/>
        </w:rPr>
      </w:pPr>
      <w:r>
        <w:rPr>
          <w:noProof/>
        </w:rPr>
        <w:t>Ce volet contribue à la mise en œuvre des recommandations par pays, en particulier la RSE 2025.3. (Renforcer le cadre d'innovation pour le secteur public et les entreprises en améliorant la prévisibilité des dépenses publiques de R&amp;D et en ciblant mieux les mesures existantes en faveur des PME).</w:t>
      </w:r>
    </w:p>
    <w:p w14:paraId="31F4A1D8" w14:textId="77777777" w:rsidR="0023462A" w:rsidRDefault="00A550FA">
      <w:pPr>
        <w:pStyle w:val="P68B1DB1-Normal61"/>
        <w:keepNext/>
        <w:spacing w:after="120" w:line="240" w:lineRule="auto"/>
        <w:jc w:val="both"/>
        <w:rPr>
          <w:noProof/>
        </w:rPr>
      </w:pPr>
      <w:r>
        <w:rPr>
          <w:noProof/>
        </w:rPr>
        <w:t>Aucune mesure de cette composante ne devrait causer de préjudice important aux objectifs environnementaux au sens de l’article 17 du règlement (UE) 2020/852, compte tenu de la description des mesures et des mesures d’atténuation énoncées dans le plan pour la reprise et la résilience conformément aux orientations techniques «ne pas causer de préjudice important» (2021/C58/01).</w:t>
      </w:r>
    </w:p>
    <w:p w14:paraId="008A1F12" w14:textId="10B9CB10" w:rsidR="0023462A" w:rsidRDefault="00A550FA">
      <w:pPr>
        <w:pStyle w:val="P68B1DB1-Heading310"/>
        <w:spacing w:before="0" w:after="120"/>
        <w:rPr>
          <w:noProof/>
        </w:rPr>
      </w:pPr>
      <w:r>
        <w:rPr>
          <w:noProof/>
        </w:rPr>
        <w:t>K.1. Description des réformes et des investissements pour le soutien financier non remboursable</w:t>
      </w:r>
    </w:p>
    <w:p w14:paraId="5215D2AA" w14:textId="32C5C3FA" w:rsidR="0023462A" w:rsidRDefault="00A550FA">
      <w:pPr>
        <w:pStyle w:val="P68B1DB1-Heading411"/>
        <w:spacing w:before="0" w:after="120" w:line="240" w:lineRule="auto"/>
        <w:rPr>
          <w:noProof/>
        </w:rPr>
      </w:pPr>
      <w:r>
        <w:rPr>
          <w:noProof/>
        </w:rPr>
        <w:t>C11.I1 : Services d'administration en ligne</w:t>
      </w:r>
    </w:p>
    <w:p w14:paraId="41B4F6F9" w14:textId="77777777" w:rsidR="0023462A" w:rsidRDefault="00A550FA">
      <w:pPr>
        <w:pStyle w:val="P68B1DB1-Normal34"/>
        <w:spacing w:after="120" w:line="240" w:lineRule="auto"/>
        <w:jc w:val="both"/>
        <w:rPr>
          <w:noProof/>
        </w:rPr>
      </w:pPr>
      <w:r>
        <w:rPr>
          <w:noProof/>
        </w:rPr>
        <w:t xml:space="preserve">L’objectif de la mesure est de promouvoir l’adoption de services d’administration en ligne dans le domaine de l’identification électronique et des services de confiance. </w:t>
      </w:r>
    </w:p>
    <w:p w14:paraId="692C1388" w14:textId="2955CD55" w:rsidR="0023462A" w:rsidRDefault="00A550FA">
      <w:pPr>
        <w:pStyle w:val="P68B1DB1-Normal34"/>
        <w:autoSpaceDE w:val="0"/>
        <w:autoSpaceDN w:val="0"/>
        <w:adjustRightInd w:val="0"/>
        <w:spacing w:after="120" w:line="240" w:lineRule="auto"/>
        <w:jc w:val="both"/>
        <w:rPr>
          <w:noProof/>
          <w:highlight w:val="yellow"/>
        </w:rPr>
        <w:sectPr w:rsidR="0023462A" w:rsidSect="009935A8">
          <w:headerReference w:type="default" r:id="rId122"/>
          <w:footerReference w:type="default" r:id="rId123"/>
          <w:pgSz w:w="11907" w:h="16839"/>
          <w:pgMar w:top="1134" w:right="1134" w:bottom="1134" w:left="1134" w:header="567" w:footer="567" w:gutter="0"/>
          <w:cols w:space="708"/>
          <w:docGrid w:linePitch="326"/>
        </w:sectPr>
      </w:pPr>
      <w:r>
        <w:rPr>
          <w:noProof/>
        </w:rPr>
        <w:t xml:space="preserve">La mesure consiste à: i) la mise à niveau du ou des systèmes d’identification et de gestion des accès à l’administration en ligne; ii) mettre l’identité numérique des appareils portables et du portefeuille numérique à la disposition des utilisateurs; et iii) la création de nouvelles fonctionnalités d’administration en ligne ou la mise à niveau des fonctionnalités existantes. </w:t>
      </w:r>
    </w:p>
    <w:p w14:paraId="34862F61" w14:textId="72ACB6A6" w:rsidR="0023462A" w:rsidRDefault="00A550FA">
      <w:pPr>
        <w:pStyle w:val="P68B1DB1-Heading310"/>
        <w:spacing w:before="0" w:after="120"/>
        <w:rPr>
          <w:noProof/>
        </w:rPr>
      </w:pPr>
      <w:r>
        <w:rPr>
          <w:noProof/>
        </w:rPr>
        <w:t xml:space="preserve">K.2. </w:t>
      </w:r>
      <w:r>
        <w:rPr>
          <w:noProof/>
        </w:rPr>
        <w:tab/>
        <w:t>Étapes, cibles, indicateurs et calendrier pour le suivi et la mise en œuvre du soutien financier non remboursable</w:t>
      </w:r>
    </w:p>
    <w:tbl>
      <w:tblPr>
        <w:tblW w:w="15454"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97"/>
        <w:gridCol w:w="1180"/>
        <w:gridCol w:w="1111"/>
        <w:gridCol w:w="2128"/>
        <w:gridCol w:w="1752"/>
        <w:gridCol w:w="959"/>
        <w:gridCol w:w="793"/>
        <w:gridCol w:w="760"/>
        <w:gridCol w:w="1165"/>
        <w:gridCol w:w="834"/>
        <w:gridCol w:w="3975"/>
      </w:tblGrid>
      <w:tr w:rsidR="0023462A" w14:paraId="6B198108" w14:textId="77777777">
        <w:trPr>
          <w:trHeight w:val="300"/>
          <w:tblHeader/>
          <w:jc w:val="center"/>
        </w:trPr>
        <w:tc>
          <w:tcPr>
            <w:tcW w:w="79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568AE67" w14:textId="77777777" w:rsidR="0023462A" w:rsidRDefault="00A550FA">
            <w:pPr>
              <w:pStyle w:val="P68B1DB1-Normal71"/>
              <w:spacing w:after="120" w:line="240" w:lineRule="auto"/>
              <w:jc w:val="center"/>
              <w:textAlignment w:val="baseline"/>
              <w:rPr>
                <w:noProof/>
              </w:rPr>
            </w:pPr>
            <w:r>
              <w:rPr>
                <w:noProof/>
              </w:rPr>
              <w:t>Seq. Numéro</w:t>
            </w:r>
          </w:p>
        </w:tc>
        <w:tc>
          <w:tcPr>
            <w:tcW w:w="117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BF76BDA" w14:textId="77777777" w:rsidR="0023462A" w:rsidRDefault="00A550FA">
            <w:pPr>
              <w:pStyle w:val="P68B1DB1-Normal71"/>
              <w:spacing w:after="120" w:line="240" w:lineRule="auto"/>
              <w:jc w:val="center"/>
              <w:textAlignment w:val="baseline"/>
              <w:rPr>
                <w:rFonts w:eastAsiaTheme="minorHAnsi"/>
                <w:noProof/>
              </w:rPr>
            </w:pPr>
            <w:r>
              <w:rPr>
                <w:noProof/>
              </w:rPr>
              <w:t>Mesure connexe (réforme ou investissement)</w:t>
            </w:r>
          </w:p>
        </w:tc>
        <w:tc>
          <w:tcPr>
            <w:tcW w:w="111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DF15A25" w14:textId="7959F362" w:rsidR="0023462A" w:rsidRDefault="00A550FA">
            <w:pPr>
              <w:pStyle w:val="P68B1DB1-Normal71"/>
              <w:spacing w:after="120" w:line="240" w:lineRule="auto"/>
              <w:jc w:val="center"/>
              <w:textAlignment w:val="baseline"/>
              <w:rPr>
                <w:rFonts w:eastAsiaTheme="minorHAnsi"/>
                <w:noProof/>
              </w:rPr>
            </w:pPr>
            <w:r>
              <w:rPr>
                <w:noProof/>
              </w:rPr>
              <w:t>Étape/objectif</w:t>
            </w:r>
          </w:p>
        </w:tc>
        <w:tc>
          <w:tcPr>
            <w:tcW w:w="212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F1C1003" w14:textId="77777777" w:rsidR="0023462A" w:rsidRDefault="00A550FA">
            <w:pPr>
              <w:pStyle w:val="P68B1DB1-Normal71"/>
              <w:spacing w:after="120" w:line="240" w:lineRule="auto"/>
              <w:jc w:val="center"/>
              <w:textAlignment w:val="baseline"/>
              <w:rPr>
                <w:rFonts w:eastAsiaTheme="minorHAnsi"/>
                <w:noProof/>
              </w:rPr>
            </w:pPr>
            <w:r>
              <w:rPr>
                <w:noProof/>
              </w:rPr>
              <w:t>Nom</w:t>
            </w:r>
          </w:p>
        </w:tc>
        <w:tc>
          <w:tcPr>
            <w:tcW w:w="175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29F2360" w14:textId="7993049F" w:rsidR="0023462A" w:rsidRDefault="00A550FA">
            <w:pPr>
              <w:pStyle w:val="P68B1DB1-Normal72"/>
              <w:spacing w:after="120" w:line="240" w:lineRule="auto"/>
              <w:jc w:val="center"/>
              <w:textAlignment w:val="baseline"/>
              <w:rPr>
                <w:rFonts w:eastAsiaTheme="minorHAnsi"/>
                <w:noProof/>
              </w:rPr>
            </w:pPr>
            <w:r>
              <w:rPr>
                <w:b/>
                <w:noProof/>
              </w:rPr>
              <w:t>Indicateurs qualitatifs</w:t>
            </w:r>
            <w:r>
              <w:rPr>
                <w:noProof/>
              </w:rPr>
              <w:br/>
            </w:r>
            <w:r>
              <w:rPr>
                <w:b/>
                <w:noProof/>
              </w:rPr>
              <w:t>(pour les jalons)</w:t>
            </w:r>
          </w:p>
        </w:tc>
        <w:tc>
          <w:tcPr>
            <w:tcW w:w="2512"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2E1CDD03" w14:textId="1ABF2908" w:rsidR="0023462A" w:rsidRDefault="00A550FA">
            <w:pPr>
              <w:pStyle w:val="P68B1DB1-Normal72"/>
              <w:spacing w:after="120" w:line="240" w:lineRule="auto"/>
              <w:jc w:val="center"/>
              <w:textAlignment w:val="baseline"/>
              <w:rPr>
                <w:rFonts w:eastAsiaTheme="minorHAnsi"/>
                <w:noProof/>
              </w:rPr>
            </w:pPr>
            <w:r>
              <w:rPr>
                <w:b/>
                <w:noProof/>
              </w:rPr>
              <w:t>Indicateurs quantitatifs</w:t>
            </w:r>
            <w:r>
              <w:rPr>
                <w:noProof/>
              </w:rPr>
              <w:t xml:space="preserve"> </w:t>
            </w:r>
            <w:r>
              <w:rPr>
                <w:noProof/>
              </w:rPr>
              <w:br/>
            </w:r>
            <w:r>
              <w:rPr>
                <w:b/>
                <w:noProof/>
              </w:rPr>
              <w:t>(pour les objectifs)</w:t>
            </w:r>
          </w:p>
        </w:tc>
        <w:tc>
          <w:tcPr>
            <w:tcW w:w="1999"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24578C58" w14:textId="3882B672" w:rsidR="0023462A" w:rsidRDefault="00A550FA">
            <w:pPr>
              <w:pStyle w:val="P68B1DB1-Normal71"/>
              <w:spacing w:after="120" w:line="240" w:lineRule="auto"/>
              <w:jc w:val="center"/>
              <w:textAlignment w:val="baseline"/>
              <w:rPr>
                <w:rFonts w:eastAsiaTheme="minorHAnsi"/>
                <w:noProof/>
              </w:rPr>
            </w:pPr>
            <w:r>
              <w:rPr>
                <w:noProof/>
              </w:rPr>
              <w:t xml:space="preserve">Calendrier indicatif d'achèvement </w:t>
            </w:r>
          </w:p>
        </w:tc>
        <w:tc>
          <w:tcPr>
            <w:tcW w:w="397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DAFC4B0" w14:textId="77777777" w:rsidR="0023462A" w:rsidRDefault="00A550FA">
            <w:pPr>
              <w:pStyle w:val="P68B1DB1-Normal71"/>
              <w:spacing w:after="120" w:line="240" w:lineRule="auto"/>
              <w:jc w:val="center"/>
              <w:textAlignment w:val="baseline"/>
              <w:rPr>
                <w:rFonts w:eastAsiaTheme="minorHAnsi"/>
                <w:noProof/>
              </w:rPr>
            </w:pPr>
            <w:r>
              <w:rPr>
                <w:noProof/>
              </w:rPr>
              <w:t>Description de chaque jalon et cible</w:t>
            </w:r>
          </w:p>
        </w:tc>
      </w:tr>
      <w:tr w:rsidR="0023462A" w14:paraId="3614F0A1" w14:textId="77777777">
        <w:trPr>
          <w:trHeight w:val="975"/>
          <w:tblHeader/>
          <w:jc w:val="center"/>
        </w:trPr>
        <w:tc>
          <w:tcPr>
            <w:tcW w:w="798" w:type="dxa"/>
            <w:vMerge/>
            <w:tcBorders>
              <w:top w:val="single" w:sz="4" w:space="0" w:color="auto"/>
              <w:left w:val="single" w:sz="4" w:space="0" w:color="auto"/>
              <w:bottom w:val="single" w:sz="4" w:space="0" w:color="auto"/>
              <w:right w:val="single" w:sz="4" w:space="0" w:color="auto"/>
            </w:tcBorders>
            <w:vAlign w:val="center"/>
            <w:hideMark/>
          </w:tcPr>
          <w:p w14:paraId="4C77FBBA" w14:textId="77777777" w:rsidR="0023462A" w:rsidRDefault="0023462A">
            <w:pPr>
              <w:spacing w:after="120" w:line="240" w:lineRule="auto"/>
              <w:jc w:val="center"/>
              <w:rPr>
                <w:rFonts w:ascii="Times New Roman" w:hAnsi="Times New Roman" w:cs="Times New Roman"/>
                <w:noProof/>
                <w:sz w:val="18"/>
              </w:rPr>
            </w:pPr>
          </w:p>
        </w:tc>
        <w:tc>
          <w:tcPr>
            <w:tcW w:w="1178" w:type="dxa"/>
            <w:vMerge/>
            <w:tcBorders>
              <w:top w:val="single" w:sz="4" w:space="0" w:color="auto"/>
              <w:left w:val="single" w:sz="4" w:space="0" w:color="auto"/>
              <w:bottom w:val="single" w:sz="4" w:space="0" w:color="auto"/>
              <w:right w:val="single" w:sz="4" w:space="0" w:color="auto"/>
            </w:tcBorders>
            <w:vAlign w:val="center"/>
            <w:hideMark/>
          </w:tcPr>
          <w:p w14:paraId="3200F719" w14:textId="77777777" w:rsidR="0023462A" w:rsidRDefault="0023462A">
            <w:pPr>
              <w:spacing w:after="120" w:line="240" w:lineRule="auto"/>
              <w:jc w:val="center"/>
              <w:rPr>
                <w:rFonts w:ascii="Times New Roman" w:hAnsi="Times New Roman" w:cs="Times New Roman"/>
                <w:noProof/>
                <w:sz w:val="18"/>
              </w:rPr>
            </w:pPr>
          </w:p>
        </w:tc>
        <w:tc>
          <w:tcPr>
            <w:tcW w:w="1111" w:type="dxa"/>
            <w:vMerge/>
            <w:tcBorders>
              <w:top w:val="single" w:sz="4" w:space="0" w:color="auto"/>
              <w:left w:val="single" w:sz="4" w:space="0" w:color="auto"/>
              <w:bottom w:val="single" w:sz="4" w:space="0" w:color="auto"/>
              <w:right w:val="single" w:sz="4" w:space="0" w:color="auto"/>
            </w:tcBorders>
            <w:vAlign w:val="center"/>
            <w:hideMark/>
          </w:tcPr>
          <w:p w14:paraId="6A143C77" w14:textId="77777777" w:rsidR="0023462A" w:rsidRDefault="0023462A">
            <w:pPr>
              <w:spacing w:after="120" w:line="240" w:lineRule="auto"/>
              <w:jc w:val="center"/>
              <w:rPr>
                <w:rFonts w:ascii="Times New Roman" w:hAnsi="Times New Roman" w:cs="Times New Roman"/>
                <w:noProof/>
                <w:sz w:val="18"/>
              </w:rPr>
            </w:pPr>
          </w:p>
        </w:tc>
        <w:tc>
          <w:tcPr>
            <w:tcW w:w="2128" w:type="dxa"/>
            <w:vMerge/>
            <w:tcBorders>
              <w:top w:val="single" w:sz="4" w:space="0" w:color="auto"/>
              <w:left w:val="single" w:sz="4" w:space="0" w:color="auto"/>
              <w:bottom w:val="single" w:sz="4" w:space="0" w:color="auto"/>
              <w:right w:val="single" w:sz="4" w:space="0" w:color="auto"/>
            </w:tcBorders>
            <w:vAlign w:val="center"/>
            <w:hideMark/>
          </w:tcPr>
          <w:p w14:paraId="25609EE3" w14:textId="77777777" w:rsidR="0023462A" w:rsidRDefault="0023462A">
            <w:pPr>
              <w:spacing w:after="120" w:line="240" w:lineRule="auto"/>
              <w:jc w:val="center"/>
              <w:rPr>
                <w:rFonts w:ascii="Times New Roman" w:hAnsi="Times New Roman" w:cs="Times New Roman"/>
                <w:noProof/>
                <w:sz w:val="18"/>
              </w:rPr>
            </w:pPr>
          </w:p>
        </w:tc>
        <w:tc>
          <w:tcPr>
            <w:tcW w:w="1752" w:type="dxa"/>
            <w:vMerge/>
            <w:tcBorders>
              <w:top w:val="single" w:sz="4" w:space="0" w:color="auto"/>
              <w:left w:val="single" w:sz="4" w:space="0" w:color="auto"/>
              <w:bottom w:val="single" w:sz="4" w:space="0" w:color="auto"/>
              <w:right w:val="single" w:sz="4" w:space="0" w:color="auto"/>
            </w:tcBorders>
            <w:vAlign w:val="center"/>
            <w:hideMark/>
          </w:tcPr>
          <w:p w14:paraId="06BC3566" w14:textId="77777777" w:rsidR="0023462A" w:rsidRDefault="0023462A">
            <w:pPr>
              <w:spacing w:after="120" w:line="240" w:lineRule="auto"/>
              <w:jc w:val="center"/>
              <w:rPr>
                <w:rFonts w:ascii="Times New Roman" w:hAnsi="Times New Roman" w:cs="Times New Roman"/>
                <w:noProof/>
                <w:sz w:val="18"/>
              </w:rPr>
            </w:pPr>
          </w:p>
        </w:tc>
        <w:tc>
          <w:tcPr>
            <w:tcW w:w="95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D592FBD" w14:textId="77777777" w:rsidR="0023462A" w:rsidRDefault="00A550FA">
            <w:pPr>
              <w:pStyle w:val="P68B1DB1-Normal71"/>
              <w:spacing w:after="120" w:line="240" w:lineRule="auto"/>
              <w:jc w:val="center"/>
              <w:textAlignment w:val="baseline"/>
              <w:rPr>
                <w:rFonts w:eastAsiaTheme="minorHAnsi"/>
                <w:noProof/>
              </w:rPr>
            </w:pPr>
            <w:r>
              <w:rPr>
                <w:noProof/>
              </w:rPr>
              <w:t>Unité de mesure</w:t>
            </w:r>
          </w:p>
        </w:tc>
        <w:tc>
          <w:tcPr>
            <w:tcW w:w="7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18973DF" w14:textId="77777777" w:rsidR="0023462A" w:rsidRDefault="00A550FA">
            <w:pPr>
              <w:pStyle w:val="P68B1DB1-Normal71"/>
              <w:spacing w:after="120" w:line="240" w:lineRule="auto"/>
              <w:jc w:val="center"/>
              <w:textAlignment w:val="baseline"/>
              <w:rPr>
                <w:rFonts w:eastAsiaTheme="minorHAnsi"/>
                <w:noProof/>
              </w:rPr>
            </w:pPr>
            <w:r>
              <w:rPr>
                <w:noProof/>
              </w:rPr>
              <w:t>Données de référence</w:t>
            </w:r>
          </w:p>
        </w:tc>
        <w:tc>
          <w:tcPr>
            <w:tcW w:w="76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12F28EC" w14:textId="77777777" w:rsidR="0023462A" w:rsidRDefault="00A550FA">
            <w:pPr>
              <w:pStyle w:val="P68B1DB1-Normal71"/>
              <w:spacing w:after="120" w:line="240" w:lineRule="auto"/>
              <w:jc w:val="center"/>
              <w:textAlignment w:val="baseline"/>
              <w:rPr>
                <w:rFonts w:eastAsiaTheme="minorHAnsi"/>
                <w:noProof/>
              </w:rPr>
            </w:pPr>
            <w:r>
              <w:rPr>
                <w:noProof/>
              </w:rPr>
              <w:t>Objectif</w:t>
            </w:r>
          </w:p>
        </w:tc>
        <w:tc>
          <w:tcPr>
            <w:tcW w:w="116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941C9B1" w14:textId="77777777" w:rsidR="0023462A" w:rsidRDefault="00A550FA">
            <w:pPr>
              <w:pStyle w:val="P68B1DB1-Normal71"/>
              <w:spacing w:after="120" w:line="240" w:lineRule="auto"/>
              <w:jc w:val="center"/>
              <w:textAlignment w:val="baseline"/>
              <w:rPr>
                <w:rFonts w:eastAsiaTheme="minorHAnsi"/>
                <w:noProof/>
              </w:rPr>
            </w:pPr>
            <w:r>
              <w:rPr>
                <w:noProof/>
              </w:rPr>
              <w:t>Trimestre</w:t>
            </w:r>
          </w:p>
        </w:tc>
        <w:tc>
          <w:tcPr>
            <w:tcW w:w="8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BE34AC4" w14:textId="77777777" w:rsidR="0023462A" w:rsidRDefault="00A550FA">
            <w:pPr>
              <w:pStyle w:val="P68B1DB1-Normal71"/>
              <w:spacing w:after="120" w:line="240" w:lineRule="auto"/>
              <w:jc w:val="center"/>
              <w:textAlignment w:val="baseline"/>
              <w:rPr>
                <w:rFonts w:eastAsiaTheme="minorHAnsi"/>
                <w:noProof/>
              </w:rPr>
            </w:pPr>
            <w:r>
              <w:rPr>
                <w:noProof/>
              </w:rPr>
              <w:t>Année</w:t>
            </w:r>
          </w:p>
        </w:tc>
        <w:tc>
          <w:tcPr>
            <w:tcW w:w="3976" w:type="dxa"/>
            <w:vMerge/>
            <w:vAlign w:val="center"/>
            <w:hideMark/>
          </w:tcPr>
          <w:p w14:paraId="49B81546" w14:textId="77777777" w:rsidR="0023462A" w:rsidRDefault="0023462A">
            <w:pPr>
              <w:spacing w:after="120" w:line="240" w:lineRule="auto"/>
              <w:rPr>
                <w:rFonts w:ascii="Times New Roman" w:hAnsi="Times New Roman" w:cs="Times New Roman"/>
                <w:noProof/>
                <w:sz w:val="18"/>
              </w:rPr>
            </w:pPr>
          </w:p>
        </w:tc>
      </w:tr>
      <w:tr w:rsidR="0023462A" w14:paraId="3E935540" w14:textId="77777777">
        <w:trPr>
          <w:trHeight w:val="915"/>
          <w:jc w:val="center"/>
        </w:trPr>
        <w:tc>
          <w:tcPr>
            <w:tcW w:w="798" w:type="dxa"/>
            <w:tcBorders>
              <w:top w:val="single" w:sz="4" w:space="0" w:color="auto"/>
              <w:left w:val="single" w:sz="4" w:space="0" w:color="auto"/>
              <w:bottom w:val="single" w:sz="4" w:space="0" w:color="auto"/>
              <w:right w:val="single" w:sz="4" w:space="0" w:color="auto"/>
            </w:tcBorders>
            <w:shd w:val="clear" w:color="auto" w:fill="C6EFCE"/>
          </w:tcPr>
          <w:p w14:paraId="65759B2E" w14:textId="6BD0FD60" w:rsidR="0023462A" w:rsidRDefault="00A550FA">
            <w:pPr>
              <w:pStyle w:val="P68B1DB1-Normal27"/>
              <w:spacing w:after="120" w:line="240" w:lineRule="auto"/>
              <w:rPr>
                <w:noProof/>
                <w:highlight w:val="yellow"/>
              </w:rPr>
            </w:pPr>
            <w:r>
              <w:rPr>
                <w:noProof/>
              </w:rPr>
              <w:t>125</w:t>
            </w:r>
          </w:p>
        </w:tc>
        <w:tc>
          <w:tcPr>
            <w:tcW w:w="1178" w:type="dxa"/>
            <w:tcBorders>
              <w:top w:val="single" w:sz="4" w:space="0" w:color="auto"/>
              <w:left w:val="single" w:sz="4" w:space="0" w:color="auto"/>
              <w:bottom w:val="single" w:sz="4" w:space="0" w:color="auto"/>
              <w:right w:val="single" w:sz="4" w:space="0" w:color="auto"/>
            </w:tcBorders>
            <w:shd w:val="clear" w:color="auto" w:fill="C6EFCE"/>
          </w:tcPr>
          <w:p w14:paraId="6BCF168A" w14:textId="59B02979" w:rsidR="0023462A" w:rsidRDefault="00A550FA">
            <w:pPr>
              <w:pStyle w:val="P68B1DB1-Normal32"/>
              <w:spacing w:after="120" w:line="240" w:lineRule="auto"/>
              <w:rPr>
                <w:noProof/>
              </w:rPr>
            </w:pPr>
            <w:r>
              <w:rPr>
                <w:noProof/>
              </w:rPr>
              <w:t>C11.I1 Services d'administration en ligne</w:t>
            </w:r>
          </w:p>
        </w:tc>
        <w:tc>
          <w:tcPr>
            <w:tcW w:w="1111" w:type="dxa"/>
            <w:tcBorders>
              <w:top w:val="single" w:sz="4" w:space="0" w:color="auto"/>
              <w:left w:val="single" w:sz="4" w:space="0" w:color="auto"/>
              <w:bottom w:val="single" w:sz="4" w:space="0" w:color="auto"/>
              <w:right w:val="single" w:sz="4" w:space="0" w:color="auto"/>
            </w:tcBorders>
            <w:shd w:val="clear" w:color="auto" w:fill="C6EFCE"/>
          </w:tcPr>
          <w:p w14:paraId="02A09C61" w14:textId="77777777" w:rsidR="0023462A" w:rsidRDefault="00A550FA">
            <w:pPr>
              <w:pStyle w:val="P68B1DB1-Normal27"/>
              <w:spacing w:after="120" w:line="240" w:lineRule="auto"/>
              <w:rPr>
                <w:noProof/>
              </w:rPr>
            </w:pPr>
            <w:r>
              <w:rPr>
                <w:noProof/>
              </w:rPr>
              <w:t>Étape</w:t>
            </w:r>
          </w:p>
        </w:tc>
        <w:tc>
          <w:tcPr>
            <w:tcW w:w="2128" w:type="dxa"/>
            <w:tcBorders>
              <w:top w:val="single" w:sz="4" w:space="0" w:color="auto"/>
              <w:left w:val="single" w:sz="4" w:space="0" w:color="auto"/>
              <w:bottom w:val="single" w:sz="4" w:space="0" w:color="auto"/>
              <w:right w:val="single" w:sz="4" w:space="0" w:color="auto"/>
            </w:tcBorders>
            <w:shd w:val="clear" w:color="auto" w:fill="C6EFCE"/>
          </w:tcPr>
          <w:p w14:paraId="669BEC9C" w14:textId="77777777" w:rsidR="0023462A" w:rsidRDefault="00A550FA">
            <w:pPr>
              <w:pStyle w:val="P68B1DB1-Default73"/>
              <w:spacing w:after="120"/>
              <w:rPr>
                <w:noProof/>
              </w:rPr>
            </w:pPr>
            <w:r>
              <w:rPr>
                <w:noProof/>
              </w:rPr>
              <w:t>Solution de portefeuille de données numériques</w:t>
            </w:r>
          </w:p>
        </w:tc>
        <w:tc>
          <w:tcPr>
            <w:tcW w:w="1752" w:type="dxa"/>
            <w:tcBorders>
              <w:top w:val="single" w:sz="4" w:space="0" w:color="auto"/>
              <w:left w:val="single" w:sz="4" w:space="0" w:color="auto"/>
              <w:bottom w:val="single" w:sz="4" w:space="0" w:color="auto"/>
              <w:right w:val="single" w:sz="4" w:space="0" w:color="auto"/>
            </w:tcBorders>
            <w:shd w:val="clear" w:color="auto" w:fill="C6EFCE"/>
          </w:tcPr>
          <w:p w14:paraId="06D0FF6F" w14:textId="77777777" w:rsidR="0023462A" w:rsidRDefault="00A550FA">
            <w:pPr>
              <w:pStyle w:val="P68B1DB1-Default73"/>
              <w:spacing w:after="120"/>
              <w:rPr>
                <w:noProof/>
              </w:rPr>
            </w:pPr>
            <w:r>
              <w:rPr>
                <w:noProof/>
              </w:rPr>
              <w:t xml:space="preserve">Mise à niveau ou création de systèmes </w:t>
            </w:r>
          </w:p>
        </w:tc>
        <w:tc>
          <w:tcPr>
            <w:tcW w:w="959" w:type="dxa"/>
            <w:tcBorders>
              <w:top w:val="single" w:sz="4" w:space="0" w:color="auto"/>
              <w:left w:val="single" w:sz="4" w:space="0" w:color="auto"/>
              <w:bottom w:val="single" w:sz="4" w:space="0" w:color="auto"/>
              <w:right w:val="single" w:sz="4" w:space="0" w:color="auto"/>
            </w:tcBorders>
            <w:shd w:val="clear" w:color="auto" w:fill="C6EFCE"/>
          </w:tcPr>
          <w:p w14:paraId="1AE3F8E1" w14:textId="77777777" w:rsidR="0023462A" w:rsidRDefault="0023462A">
            <w:pPr>
              <w:spacing w:after="120" w:line="240" w:lineRule="auto"/>
              <w:rPr>
                <w:rFonts w:ascii="Times New Roman" w:eastAsia="Times New Roman" w:hAnsi="Times New Roman" w:cs="Times New Roman"/>
                <w:noProof/>
                <w:sz w:val="18"/>
                <w:szCs w:val="18"/>
              </w:rPr>
            </w:pPr>
          </w:p>
        </w:tc>
        <w:tc>
          <w:tcPr>
            <w:tcW w:w="793" w:type="dxa"/>
            <w:tcBorders>
              <w:top w:val="single" w:sz="4" w:space="0" w:color="auto"/>
              <w:left w:val="single" w:sz="4" w:space="0" w:color="auto"/>
              <w:bottom w:val="single" w:sz="4" w:space="0" w:color="auto"/>
              <w:right w:val="single" w:sz="4" w:space="0" w:color="auto"/>
            </w:tcBorders>
            <w:shd w:val="clear" w:color="auto" w:fill="C6EFCE"/>
          </w:tcPr>
          <w:p w14:paraId="36CF8204" w14:textId="77777777" w:rsidR="0023462A" w:rsidRDefault="0023462A">
            <w:pPr>
              <w:spacing w:after="120" w:line="240" w:lineRule="auto"/>
              <w:rPr>
                <w:rFonts w:ascii="Times New Roman" w:eastAsia="Times New Roman" w:hAnsi="Times New Roman" w:cs="Times New Roman"/>
                <w:noProof/>
                <w:sz w:val="18"/>
                <w:szCs w:val="18"/>
              </w:rPr>
            </w:pPr>
          </w:p>
        </w:tc>
        <w:tc>
          <w:tcPr>
            <w:tcW w:w="760" w:type="dxa"/>
            <w:tcBorders>
              <w:top w:val="single" w:sz="4" w:space="0" w:color="auto"/>
              <w:left w:val="single" w:sz="4" w:space="0" w:color="auto"/>
              <w:bottom w:val="single" w:sz="4" w:space="0" w:color="auto"/>
              <w:right w:val="single" w:sz="4" w:space="0" w:color="auto"/>
            </w:tcBorders>
            <w:shd w:val="clear" w:color="auto" w:fill="C6EFCE"/>
          </w:tcPr>
          <w:p w14:paraId="51BBA8B9" w14:textId="77777777" w:rsidR="0023462A" w:rsidRDefault="0023462A">
            <w:pPr>
              <w:spacing w:after="120" w:line="240" w:lineRule="auto"/>
              <w:rPr>
                <w:rFonts w:ascii="Times New Roman" w:eastAsia="Times New Roman" w:hAnsi="Times New Roman" w:cs="Times New Roman"/>
                <w:noProof/>
                <w:sz w:val="18"/>
                <w:szCs w:val="18"/>
              </w:rPr>
            </w:pPr>
          </w:p>
        </w:tc>
        <w:tc>
          <w:tcPr>
            <w:tcW w:w="1165" w:type="dxa"/>
            <w:tcBorders>
              <w:top w:val="single" w:sz="4" w:space="0" w:color="auto"/>
              <w:left w:val="single" w:sz="4" w:space="0" w:color="auto"/>
              <w:bottom w:val="single" w:sz="4" w:space="0" w:color="auto"/>
              <w:right w:val="single" w:sz="4" w:space="0" w:color="auto"/>
            </w:tcBorders>
            <w:shd w:val="clear" w:color="auto" w:fill="C6EFCE"/>
          </w:tcPr>
          <w:p w14:paraId="27448FCF" w14:textId="77777777" w:rsidR="0023462A" w:rsidRDefault="00A550FA">
            <w:pPr>
              <w:pStyle w:val="P68B1DB1-Normal27"/>
              <w:spacing w:after="120" w:line="240" w:lineRule="auto"/>
              <w:jc w:val="center"/>
              <w:rPr>
                <w:noProof/>
              </w:rPr>
            </w:pPr>
            <w:r>
              <w:rPr>
                <w:noProof/>
              </w:rPr>
              <w:t>T2</w:t>
            </w:r>
          </w:p>
        </w:tc>
        <w:tc>
          <w:tcPr>
            <w:tcW w:w="834" w:type="dxa"/>
            <w:tcBorders>
              <w:top w:val="single" w:sz="4" w:space="0" w:color="auto"/>
              <w:left w:val="single" w:sz="4" w:space="0" w:color="auto"/>
              <w:bottom w:val="single" w:sz="4" w:space="0" w:color="auto"/>
              <w:right w:val="single" w:sz="4" w:space="0" w:color="auto"/>
            </w:tcBorders>
            <w:shd w:val="clear" w:color="auto" w:fill="C6EFCE"/>
          </w:tcPr>
          <w:p w14:paraId="0C4DC06F" w14:textId="77777777" w:rsidR="0023462A" w:rsidRDefault="00A550FA">
            <w:pPr>
              <w:pStyle w:val="P68B1DB1-Normal27"/>
              <w:spacing w:after="120" w:line="240" w:lineRule="auto"/>
              <w:rPr>
                <w:noProof/>
              </w:rPr>
            </w:pPr>
            <w:r>
              <w:rPr>
                <w:noProof/>
              </w:rPr>
              <w:t>2026</w:t>
            </w:r>
          </w:p>
        </w:tc>
        <w:tc>
          <w:tcPr>
            <w:tcW w:w="3976" w:type="dxa"/>
            <w:tcBorders>
              <w:top w:val="single" w:sz="4" w:space="0" w:color="auto"/>
              <w:left w:val="single" w:sz="4" w:space="0" w:color="auto"/>
              <w:bottom w:val="single" w:sz="4" w:space="0" w:color="auto"/>
              <w:right w:val="single" w:sz="4" w:space="0" w:color="auto"/>
            </w:tcBorders>
            <w:shd w:val="clear" w:color="auto" w:fill="C6EFCE"/>
          </w:tcPr>
          <w:p w14:paraId="206A3066" w14:textId="2704A11F" w:rsidR="0023462A" w:rsidRDefault="00A550FA">
            <w:pPr>
              <w:pStyle w:val="P68B1DB1-Default73"/>
              <w:spacing w:after="120"/>
              <w:jc w:val="both"/>
              <w:rPr>
                <w:noProof/>
              </w:rPr>
            </w:pPr>
            <w:r>
              <w:rPr>
                <w:noProof/>
              </w:rPr>
              <w:t>Les interventions en matière d'administration en ligne:</w:t>
            </w:r>
          </w:p>
          <w:p w14:paraId="4CC5F761" w14:textId="0F16DDA6" w:rsidR="0023462A" w:rsidRDefault="00A550FA">
            <w:pPr>
              <w:pStyle w:val="P68B1DB1-Default73"/>
              <w:spacing w:after="120"/>
              <w:jc w:val="both"/>
              <w:rPr>
                <w:noProof/>
              </w:rPr>
            </w:pPr>
            <w:r>
              <w:rPr>
                <w:noProof/>
              </w:rPr>
              <w:t>i) mettre à niveau le ou les systèmes d’identification et de gestion des accès à l’administration en ligne;</w:t>
            </w:r>
          </w:p>
          <w:p w14:paraId="61B02FD5" w14:textId="77777777" w:rsidR="0023462A" w:rsidRDefault="00A550FA">
            <w:pPr>
              <w:pStyle w:val="P68B1DB1-Default73"/>
              <w:spacing w:after="120"/>
              <w:jc w:val="both"/>
              <w:rPr>
                <w:noProof/>
              </w:rPr>
            </w:pPr>
            <w:r>
              <w:rPr>
                <w:noProof/>
              </w:rPr>
              <w:t>ii) mettre l’identité numérique des appareils portables et du portefeuille numérique à la disposition des utilisateurs; et</w:t>
            </w:r>
          </w:p>
          <w:p w14:paraId="1BF91B27" w14:textId="1F7A37BA" w:rsidR="0023462A" w:rsidRDefault="00A550FA">
            <w:pPr>
              <w:pStyle w:val="P68B1DB1-Default73"/>
              <w:spacing w:after="120"/>
              <w:jc w:val="both"/>
              <w:rPr>
                <w:noProof/>
              </w:rPr>
            </w:pPr>
            <w:r>
              <w:rPr>
                <w:noProof/>
              </w:rPr>
              <w:t>iii) créer de nouvelles fonctionnalités d’administration en ligne ou mettre à niveau celles qui existent déjà.</w:t>
            </w:r>
          </w:p>
        </w:tc>
      </w:tr>
    </w:tbl>
    <w:p w14:paraId="7ED92C2A" w14:textId="77777777" w:rsidR="0023462A" w:rsidRDefault="0023462A">
      <w:pPr>
        <w:autoSpaceDE w:val="0"/>
        <w:autoSpaceDN w:val="0"/>
        <w:adjustRightInd w:val="0"/>
        <w:spacing w:after="120" w:line="240" w:lineRule="auto"/>
        <w:jc w:val="both"/>
        <w:rPr>
          <w:rFonts w:ascii="Times New Roman" w:hAnsi="Times New Roman"/>
          <w:noProof/>
          <w:sz w:val="24"/>
          <w:szCs w:val="24"/>
          <w:highlight w:val="yellow"/>
        </w:rPr>
      </w:pPr>
    </w:p>
    <w:p w14:paraId="78591534" w14:textId="77777777" w:rsidR="0023462A" w:rsidRDefault="0023462A">
      <w:pPr>
        <w:autoSpaceDE w:val="0"/>
        <w:autoSpaceDN w:val="0"/>
        <w:adjustRightInd w:val="0"/>
        <w:spacing w:after="120" w:line="240" w:lineRule="auto"/>
        <w:jc w:val="both"/>
        <w:rPr>
          <w:rFonts w:ascii="Times New Roman" w:hAnsi="Times New Roman"/>
          <w:noProof/>
          <w:sz w:val="24"/>
          <w:szCs w:val="24"/>
          <w:highlight w:val="yellow"/>
        </w:rPr>
      </w:pPr>
    </w:p>
    <w:p w14:paraId="4AF3B865" w14:textId="77777777" w:rsidR="0023462A" w:rsidRDefault="0023462A">
      <w:pPr>
        <w:autoSpaceDE w:val="0"/>
        <w:autoSpaceDN w:val="0"/>
        <w:adjustRightInd w:val="0"/>
        <w:spacing w:after="120" w:line="240" w:lineRule="auto"/>
        <w:jc w:val="both"/>
        <w:rPr>
          <w:rFonts w:ascii="Times New Roman" w:hAnsi="Times New Roman"/>
          <w:noProof/>
          <w:sz w:val="24"/>
          <w:szCs w:val="24"/>
          <w:highlight w:val="yellow"/>
        </w:rPr>
        <w:sectPr w:rsidR="0023462A" w:rsidSect="00BE290C">
          <w:headerReference w:type="default" r:id="rId124"/>
          <w:footerReference w:type="default" r:id="rId125"/>
          <w:pgSz w:w="16839" w:h="11907" w:orient="landscape"/>
          <w:pgMar w:top="1134" w:right="1134" w:bottom="1134" w:left="1134" w:header="567" w:footer="567" w:gutter="0"/>
          <w:cols w:space="708"/>
          <w:docGrid w:linePitch="326"/>
        </w:sectPr>
      </w:pPr>
    </w:p>
    <w:p w14:paraId="7A9461DC" w14:textId="6E29C6D0" w:rsidR="0023462A" w:rsidRDefault="00A550FA">
      <w:pPr>
        <w:pStyle w:val="P68B1DB1-Heading310"/>
        <w:spacing w:before="0" w:after="120"/>
        <w:rPr>
          <w:noProof/>
        </w:rPr>
      </w:pPr>
      <w:r>
        <w:rPr>
          <w:noProof/>
        </w:rPr>
        <w:t>K.3. Description des réformes et des investissements pour le prêt</w:t>
      </w:r>
    </w:p>
    <w:p w14:paraId="633421E9" w14:textId="28F4E679" w:rsidR="0023462A" w:rsidRDefault="00A550FA">
      <w:pPr>
        <w:pStyle w:val="P68B1DB1-Heading411"/>
        <w:spacing w:before="0" w:after="120" w:line="240" w:lineRule="auto"/>
        <w:rPr>
          <w:noProof/>
        </w:rPr>
      </w:pPr>
      <w:r>
        <w:rPr>
          <w:noProof/>
        </w:rPr>
        <w:t>C11.I2 : AI Gigafactory et autres infrastructures de calcul EuroHPC</w:t>
      </w:r>
    </w:p>
    <w:p w14:paraId="37BA3DDE" w14:textId="77777777" w:rsidR="0023462A" w:rsidRDefault="00A550FA">
      <w:pPr>
        <w:pStyle w:val="P68B1DB1-Normal34"/>
        <w:spacing w:after="120" w:line="240" w:lineRule="auto"/>
        <w:jc w:val="both"/>
        <w:rPr>
          <w:noProof/>
        </w:rPr>
      </w:pPr>
      <w:r>
        <w:rPr>
          <w:noProof/>
        </w:rPr>
        <w:t xml:space="preserve">L’objectif de cette mesure est de soutenir la création par la Hongrie de gigafactories d’intelligence artificielle et de leurs services, ainsi que l’accès à celles-ci. </w:t>
      </w:r>
    </w:p>
    <w:p w14:paraId="65D7BDB6" w14:textId="71AA3FE1" w:rsidR="0023462A" w:rsidRDefault="00A550FA">
      <w:pPr>
        <w:pStyle w:val="P68B1DB1-Normal34"/>
        <w:spacing w:after="120" w:line="240" w:lineRule="auto"/>
        <w:jc w:val="both"/>
        <w:rPr>
          <w:noProof/>
        </w:rPr>
      </w:pPr>
      <w:r>
        <w:rPr>
          <w:noProof/>
        </w:rPr>
        <w:t xml:space="preserve">La mesure consiste en une contribution volontaire de 500 millions d’EUR à l’entreprise commune EuroHPC afin de fournir un soutien financier à une Gigafactory d’IA et/ou à une infrastructure avancée d’IA/HPC et/ou à des initiatives en matière de technologie quantique et/ou à d’autres infrastructures de calcul EuroHPC et/ou à tout autre projet de recherche et d’innovation EuroHPC, à établir dans l’Union. </w:t>
      </w:r>
    </w:p>
    <w:p w14:paraId="56E18667" w14:textId="7E98E01A" w:rsidR="0023462A" w:rsidRDefault="00A550FA">
      <w:pPr>
        <w:pStyle w:val="P68B1DB1-Heading411"/>
        <w:spacing w:before="0" w:after="120" w:line="240" w:lineRule="auto"/>
        <w:rPr>
          <w:noProof/>
        </w:rPr>
      </w:pPr>
      <w:r>
        <w:rPr>
          <w:noProof/>
        </w:rPr>
        <w:t>C11.I3 : Contribution volontaire à IRIS²</w:t>
      </w:r>
    </w:p>
    <w:p w14:paraId="2C304630" w14:textId="77777777" w:rsidR="0023462A" w:rsidRDefault="00A550FA">
      <w:pPr>
        <w:pStyle w:val="P68B1DB1-Normal34"/>
        <w:spacing w:after="120" w:line="240" w:lineRule="auto"/>
        <w:jc w:val="both"/>
        <w:rPr>
          <w:noProof/>
        </w:rPr>
      </w:pPr>
      <w:r>
        <w:rPr>
          <w:noProof/>
        </w:rPr>
        <w:t xml:space="preserve">L’objectif de la mesure est de soutenir les capacités de communication sécurisée de la Hongrie. </w:t>
      </w:r>
    </w:p>
    <w:p w14:paraId="6A396EBA" w14:textId="529B267C" w:rsidR="0023462A" w:rsidRDefault="00A550FA">
      <w:pPr>
        <w:pStyle w:val="P68B1DB1-Normal34"/>
        <w:spacing w:after="120" w:line="240" w:lineRule="auto"/>
        <w:jc w:val="both"/>
        <w:rPr>
          <w:noProof/>
        </w:rPr>
      </w:pPr>
      <w:r>
        <w:rPr>
          <w:noProof/>
        </w:rPr>
        <w:t>La mesure consiste en une contribution volontaire de 500 millions d’EUR au programme de l’UE pour une connectivité sécurisée (IRIS²). La contribution peut soutenir, sans toutefois s’y limiter, l’achat de satellites supplémentaires, l’infrastructure au sol avec passerelle et point de présence situés en Hongrie, la capacité de communication par satellite et/ou le développement d’activités de connectivité auxiliaires.</w:t>
      </w:r>
    </w:p>
    <w:p w14:paraId="482AE0CE" w14:textId="77777777" w:rsidR="0023462A" w:rsidRDefault="0023462A">
      <w:pPr>
        <w:spacing w:after="120" w:line="240" w:lineRule="auto"/>
        <w:jc w:val="both"/>
        <w:rPr>
          <w:rFonts w:ascii="Times New Roman" w:hAnsi="Times New Roman" w:cs="Times New Roman"/>
          <w:noProof/>
          <w:sz w:val="24"/>
          <w:szCs w:val="24"/>
        </w:rPr>
      </w:pPr>
    </w:p>
    <w:p w14:paraId="0A83849A" w14:textId="42FC3405" w:rsidR="0023462A" w:rsidRDefault="0023462A">
      <w:pPr>
        <w:spacing w:after="120" w:line="240" w:lineRule="auto"/>
        <w:jc w:val="both"/>
        <w:rPr>
          <w:rFonts w:ascii="Times New Roman" w:hAnsi="Times New Roman" w:cs="Times New Roman"/>
          <w:noProof/>
          <w:sz w:val="24"/>
          <w:szCs w:val="24"/>
        </w:rPr>
        <w:sectPr w:rsidR="0023462A" w:rsidSect="009935A8">
          <w:headerReference w:type="default" r:id="rId126"/>
          <w:footerReference w:type="default" r:id="rId127"/>
          <w:pgSz w:w="11907" w:h="16839"/>
          <w:pgMar w:top="1134" w:right="1134" w:bottom="1134" w:left="1134" w:header="567" w:footer="567" w:gutter="0"/>
          <w:cols w:space="708"/>
          <w:docGrid w:linePitch="326"/>
        </w:sectPr>
      </w:pPr>
    </w:p>
    <w:p w14:paraId="44E152D3" w14:textId="18FCA118" w:rsidR="0023462A" w:rsidRDefault="00A550FA">
      <w:pPr>
        <w:pStyle w:val="P68B1DB1-Heading310"/>
        <w:spacing w:before="0" w:after="120"/>
        <w:rPr>
          <w:bCs/>
          <w:noProof/>
        </w:rPr>
      </w:pPr>
      <w:r>
        <w:rPr>
          <w:noProof/>
        </w:rPr>
        <w:t xml:space="preserve">K.4. </w:t>
      </w:r>
      <w:r>
        <w:rPr>
          <w:noProof/>
        </w:rPr>
        <w:tab/>
        <w:t>Étapes, objectifs, indicateurs et calendrier du suivi et de la mise en œuvre du prêt</w:t>
      </w:r>
    </w:p>
    <w:tbl>
      <w:tblPr>
        <w:tblW w:w="153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50"/>
        <w:gridCol w:w="1180"/>
        <w:gridCol w:w="1111"/>
        <w:gridCol w:w="2128"/>
        <w:gridCol w:w="1752"/>
        <w:gridCol w:w="959"/>
        <w:gridCol w:w="793"/>
        <w:gridCol w:w="760"/>
        <w:gridCol w:w="1165"/>
        <w:gridCol w:w="834"/>
        <w:gridCol w:w="3975"/>
      </w:tblGrid>
      <w:tr w:rsidR="0023462A" w14:paraId="2A929AD1" w14:textId="77777777">
        <w:trPr>
          <w:trHeight w:val="300"/>
          <w:tblHeader/>
          <w:jc w:val="center"/>
        </w:trPr>
        <w:tc>
          <w:tcPr>
            <w:tcW w:w="651" w:type="dxa"/>
            <w:vMerge w:val="restart"/>
            <w:shd w:val="clear" w:color="auto" w:fill="BDD7EE"/>
            <w:vAlign w:val="center"/>
            <w:hideMark/>
          </w:tcPr>
          <w:p w14:paraId="269DB83F" w14:textId="77777777" w:rsidR="0023462A" w:rsidRDefault="00A550FA">
            <w:pPr>
              <w:pStyle w:val="P68B1DB1-Normal71"/>
              <w:spacing w:after="120" w:line="240" w:lineRule="auto"/>
              <w:jc w:val="center"/>
              <w:textAlignment w:val="baseline"/>
              <w:rPr>
                <w:noProof/>
              </w:rPr>
            </w:pPr>
            <w:r>
              <w:rPr>
                <w:noProof/>
              </w:rPr>
              <w:t>Seq. Numéro</w:t>
            </w:r>
          </w:p>
        </w:tc>
        <w:tc>
          <w:tcPr>
            <w:tcW w:w="1178" w:type="dxa"/>
            <w:vMerge w:val="restart"/>
            <w:shd w:val="clear" w:color="auto" w:fill="BDD7EE"/>
            <w:vAlign w:val="center"/>
            <w:hideMark/>
          </w:tcPr>
          <w:p w14:paraId="0BB21BC3" w14:textId="77777777" w:rsidR="0023462A" w:rsidRDefault="00A550FA">
            <w:pPr>
              <w:pStyle w:val="P68B1DB1-Normal71"/>
              <w:spacing w:after="120" w:line="240" w:lineRule="auto"/>
              <w:jc w:val="center"/>
              <w:textAlignment w:val="baseline"/>
              <w:rPr>
                <w:rFonts w:eastAsiaTheme="minorHAnsi"/>
                <w:noProof/>
              </w:rPr>
            </w:pPr>
            <w:r>
              <w:rPr>
                <w:noProof/>
              </w:rPr>
              <w:t>Mesure connexe (réforme ou investissement)</w:t>
            </w:r>
          </w:p>
        </w:tc>
        <w:tc>
          <w:tcPr>
            <w:tcW w:w="1111" w:type="dxa"/>
            <w:vMerge w:val="restart"/>
            <w:shd w:val="clear" w:color="auto" w:fill="BDD7EE"/>
            <w:vAlign w:val="center"/>
            <w:hideMark/>
          </w:tcPr>
          <w:p w14:paraId="4ADFB745" w14:textId="794F0158" w:rsidR="0023462A" w:rsidRDefault="00A550FA">
            <w:pPr>
              <w:pStyle w:val="P68B1DB1-Normal71"/>
              <w:spacing w:after="120" w:line="240" w:lineRule="auto"/>
              <w:jc w:val="center"/>
              <w:textAlignment w:val="baseline"/>
              <w:rPr>
                <w:rFonts w:eastAsiaTheme="minorHAnsi"/>
                <w:noProof/>
              </w:rPr>
            </w:pPr>
            <w:r>
              <w:rPr>
                <w:noProof/>
              </w:rPr>
              <w:t>Étape/objectif</w:t>
            </w:r>
          </w:p>
        </w:tc>
        <w:tc>
          <w:tcPr>
            <w:tcW w:w="2128" w:type="dxa"/>
            <w:vMerge w:val="restart"/>
            <w:shd w:val="clear" w:color="auto" w:fill="BDD7EE"/>
            <w:vAlign w:val="center"/>
            <w:hideMark/>
          </w:tcPr>
          <w:p w14:paraId="0386AB16" w14:textId="77777777" w:rsidR="0023462A" w:rsidRDefault="00A550FA">
            <w:pPr>
              <w:pStyle w:val="P68B1DB1-Normal71"/>
              <w:spacing w:after="120" w:line="240" w:lineRule="auto"/>
              <w:jc w:val="center"/>
              <w:textAlignment w:val="baseline"/>
              <w:rPr>
                <w:rFonts w:eastAsiaTheme="minorHAnsi"/>
                <w:noProof/>
              </w:rPr>
            </w:pPr>
            <w:r>
              <w:rPr>
                <w:noProof/>
              </w:rPr>
              <w:t>Nom</w:t>
            </w:r>
          </w:p>
        </w:tc>
        <w:tc>
          <w:tcPr>
            <w:tcW w:w="1752" w:type="dxa"/>
            <w:vMerge w:val="restart"/>
            <w:shd w:val="clear" w:color="auto" w:fill="BDD7EE"/>
            <w:vAlign w:val="center"/>
            <w:hideMark/>
          </w:tcPr>
          <w:p w14:paraId="605E1660" w14:textId="0B6B1F74" w:rsidR="0023462A" w:rsidRDefault="00A550FA">
            <w:pPr>
              <w:pStyle w:val="P68B1DB1-Normal72"/>
              <w:spacing w:after="120" w:line="240" w:lineRule="auto"/>
              <w:jc w:val="center"/>
              <w:textAlignment w:val="baseline"/>
              <w:rPr>
                <w:rFonts w:eastAsiaTheme="minorHAnsi"/>
                <w:noProof/>
              </w:rPr>
            </w:pPr>
            <w:r>
              <w:rPr>
                <w:b/>
                <w:noProof/>
              </w:rPr>
              <w:t>Indicateurs qualitatifs</w:t>
            </w:r>
            <w:r>
              <w:rPr>
                <w:noProof/>
              </w:rPr>
              <w:br/>
            </w:r>
            <w:r>
              <w:rPr>
                <w:b/>
                <w:noProof/>
              </w:rPr>
              <w:t>(pour les jalons)</w:t>
            </w:r>
          </w:p>
        </w:tc>
        <w:tc>
          <w:tcPr>
            <w:tcW w:w="2512" w:type="dxa"/>
            <w:gridSpan w:val="3"/>
            <w:shd w:val="clear" w:color="auto" w:fill="BDD7EE"/>
            <w:vAlign w:val="center"/>
            <w:hideMark/>
          </w:tcPr>
          <w:p w14:paraId="148D413C" w14:textId="65AA3057" w:rsidR="0023462A" w:rsidRDefault="00A550FA">
            <w:pPr>
              <w:pStyle w:val="P68B1DB1-Normal72"/>
              <w:spacing w:after="120" w:line="240" w:lineRule="auto"/>
              <w:jc w:val="center"/>
              <w:textAlignment w:val="baseline"/>
              <w:rPr>
                <w:rFonts w:eastAsiaTheme="minorHAnsi"/>
                <w:noProof/>
              </w:rPr>
            </w:pPr>
            <w:r>
              <w:rPr>
                <w:b/>
                <w:noProof/>
              </w:rPr>
              <w:t>Indicateurs quantitatifs</w:t>
            </w:r>
            <w:r>
              <w:rPr>
                <w:noProof/>
              </w:rPr>
              <w:t xml:space="preserve"> </w:t>
            </w:r>
            <w:r>
              <w:rPr>
                <w:noProof/>
              </w:rPr>
              <w:br/>
            </w:r>
            <w:r>
              <w:rPr>
                <w:b/>
                <w:noProof/>
              </w:rPr>
              <w:t>(pour les objectifs)</w:t>
            </w:r>
          </w:p>
        </w:tc>
        <w:tc>
          <w:tcPr>
            <w:tcW w:w="1999" w:type="dxa"/>
            <w:gridSpan w:val="2"/>
            <w:shd w:val="clear" w:color="auto" w:fill="BDD7EE"/>
            <w:vAlign w:val="center"/>
            <w:hideMark/>
          </w:tcPr>
          <w:p w14:paraId="0A0C64E8" w14:textId="16942811" w:rsidR="0023462A" w:rsidRDefault="00A550FA">
            <w:pPr>
              <w:pStyle w:val="P68B1DB1-Normal71"/>
              <w:spacing w:after="120" w:line="240" w:lineRule="auto"/>
              <w:jc w:val="center"/>
              <w:textAlignment w:val="baseline"/>
              <w:rPr>
                <w:rFonts w:eastAsiaTheme="minorHAnsi"/>
                <w:noProof/>
              </w:rPr>
            </w:pPr>
            <w:r>
              <w:rPr>
                <w:noProof/>
              </w:rPr>
              <w:t xml:space="preserve">Calendrier indicatif d'achèvement </w:t>
            </w:r>
          </w:p>
        </w:tc>
        <w:tc>
          <w:tcPr>
            <w:tcW w:w="3976" w:type="dxa"/>
            <w:vMerge w:val="restart"/>
            <w:shd w:val="clear" w:color="auto" w:fill="BDD7EE"/>
            <w:vAlign w:val="center"/>
            <w:hideMark/>
          </w:tcPr>
          <w:p w14:paraId="1887BE0C" w14:textId="77777777" w:rsidR="0023462A" w:rsidRDefault="00A550FA">
            <w:pPr>
              <w:pStyle w:val="P68B1DB1-Normal71"/>
              <w:spacing w:after="120" w:line="240" w:lineRule="auto"/>
              <w:jc w:val="center"/>
              <w:textAlignment w:val="baseline"/>
              <w:rPr>
                <w:rFonts w:eastAsiaTheme="minorHAnsi"/>
                <w:noProof/>
              </w:rPr>
            </w:pPr>
            <w:r>
              <w:rPr>
                <w:noProof/>
              </w:rPr>
              <w:t>Description de chaque jalon et cible</w:t>
            </w:r>
          </w:p>
        </w:tc>
      </w:tr>
      <w:tr w:rsidR="0023462A" w14:paraId="2FBA61E8" w14:textId="77777777">
        <w:trPr>
          <w:trHeight w:val="79"/>
          <w:tblHeader/>
          <w:jc w:val="center"/>
        </w:trPr>
        <w:tc>
          <w:tcPr>
            <w:tcW w:w="651" w:type="dxa"/>
            <w:vMerge/>
            <w:vAlign w:val="center"/>
            <w:hideMark/>
          </w:tcPr>
          <w:p w14:paraId="554A1034" w14:textId="77777777" w:rsidR="0023462A" w:rsidRDefault="0023462A">
            <w:pPr>
              <w:spacing w:after="120" w:line="240" w:lineRule="auto"/>
              <w:jc w:val="center"/>
              <w:rPr>
                <w:rFonts w:ascii="Times New Roman" w:hAnsi="Times New Roman" w:cs="Times New Roman"/>
                <w:noProof/>
                <w:sz w:val="18"/>
              </w:rPr>
            </w:pPr>
          </w:p>
        </w:tc>
        <w:tc>
          <w:tcPr>
            <w:tcW w:w="1178" w:type="dxa"/>
            <w:vMerge/>
            <w:vAlign w:val="center"/>
            <w:hideMark/>
          </w:tcPr>
          <w:p w14:paraId="155C7149" w14:textId="77777777" w:rsidR="0023462A" w:rsidRDefault="0023462A">
            <w:pPr>
              <w:spacing w:after="120" w:line="240" w:lineRule="auto"/>
              <w:jc w:val="center"/>
              <w:rPr>
                <w:rFonts w:ascii="Times New Roman" w:hAnsi="Times New Roman" w:cs="Times New Roman"/>
                <w:noProof/>
                <w:sz w:val="18"/>
              </w:rPr>
            </w:pPr>
          </w:p>
        </w:tc>
        <w:tc>
          <w:tcPr>
            <w:tcW w:w="1111" w:type="dxa"/>
            <w:vMerge/>
            <w:vAlign w:val="center"/>
            <w:hideMark/>
          </w:tcPr>
          <w:p w14:paraId="1672C18F" w14:textId="77777777" w:rsidR="0023462A" w:rsidRDefault="0023462A">
            <w:pPr>
              <w:spacing w:after="120" w:line="240" w:lineRule="auto"/>
              <w:jc w:val="center"/>
              <w:rPr>
                <w:rFonts w:ascii="Times New Roman" w:hAnsi="Times New Roman" w:cs="Times New Roman"/>
                <w:noProof/>
                <w:sz w:val="18"/>
              </w:rPr>
            </w:pPr>
          </w:p>
        </w:tc>
        <w:tc>
          <w:tcPr>
            <w:tcW w:w="2128" w:type="dxa"/>
            <w:vMerge/>
            <w:vAlign w:val="center"/>
            <w:hideMark/>
          </w:tcPr>
          <w:p w14:paraId="4B783BBA" w14:textId="77777777" w:rsidR="0023462A" w:rsidRDefault="0023462A">
            <w:pPr>
              <w:spacing w:after="120" w:line="240" w:lineRule="auto"/>
              <w:jc w:val="center"/>
              <w:rPr>
                <w:rFonts w:ascii="Times New Roman" w:hAnsi="Times New Roman" w:cs="Times New Roman"/>
                <w:noProof/>
                <w:sz w:val="18"/>
              </w:rPr>
            </w:pPr>
          </w:p>
        </w:tc>
        <w:tc>
          <w:tcPr>
            <w:tcW w:w="1752" w:type="dxa"/>
            <w:vMerge/>
            <w:vAlign w:val="center"/>
            <w:hideMark/>
          </w:tcPr>
          <w:p w14:paraId="5E9831EC" w14:textId="77777777" w:rsidR="0023462A" w:rsidRDefault="0023462A">
            <w:pPr>
              <w:spacing w:after="120" w:line="240" w:lineRule="auto"/>
              <w:jc w:val="center"/>
              <w:rPr>
                <w:rFonts w:ascii="Times New Roman" w:hAnsi="Times New Roman" w:cs="Times New Roman"/>
                <w:noProof/>
                <w:sz w:val="18"/>
              </w:rPr>
            </w:pPr>
          </w:p>
        </w:tc>
        <w:tc>
          <w:tcPr>
            <w:tcW w:w="959" w:type="dxa"/>
            <w:shd w:val="clear" w:color="auto" w:fill="BDD7EE"/>
            <w:vAlign w:val="center"/>
            <w:hideMark/>
          </w:tcPr>
          <w:p w14:paraId="0FC02565" w14:textId="77777777" w:rsidR="0023462A" w:rsidRDefault="00A550FA">
            <w:pPr>
              <w:pStyle w:val="P68B1DB1-Normal71"/>
              <w:spacing w:after="120" w:line="240" w:lineRule="auto"/>
              <w:jc w:val="center"/>
              <w:textAlignment w:val="baseline"/>
              <w:rPr>
                <w:rFonts w:eastAsiaTheme="minorHAnsi"/>
                <w:noProof/>
              </w:rPr>
            </w:pPr>
            <w:r>
              <w:rPr>
                <w:noProof/>
              </w:rPr>
              <w:t>Unité de mesure</w:t>
            </w:r>
          </w:p>
        </w:tc>
        <w:tc>
          <w:tcPr>
            <w:tcW w:w="793" w:type="dxa"/>
            <w:shd w:val="clear" w:color="auto" w:fill="BDD7EE"/>
            <w:vAlign w:val="center"/>
            <w:hideMark/>
          </w:tcPr>
          <w:p w14:paraId="5967546E" w14:textId="77777777" w:rsidR="0023462A" w:rsidRDefault="00A550FA">
            <w:pPr>
              <w:pStyle w:val="P68B1DB1-Normal71"/>
              <w:spacing w:after="120" w:line="240" w:lineRule="auto"/>
              <w:jc w:val="center"/>
              <w:textAlignment w:val="baseline"/>
              <w:rPr>
                <w:rFonts w:eastAsiaTheme="minorHAnsi"/>
                <w:noProof/>
              </w:rPr>
            </w:pPr>
            <w:r>
              <w:rPr>
                <w:noProof/>
              </w:rPr>
              <w:t>Données de référence</w:t>
            </w:r>
          </w:p>
        </w:tc>
        <w:tc>
          <w:tcPr>
            <w:tcW w:w="760" w:type="dxa"/>
            <w:shd w:val="clear" w:color="auto" w:fill="BDD7EE"/>
            <w:vAlign w:val="center"/>
            <w:hideMark/>
          </w:tcPr>
          <w:p w14:paraId="6C1ED766" w14:textId="77777777" w:rsidR="0023462A" w:rsidRDefault="00A550FA">
            <w:pPr>
              <w:pStyle w:val="P68B1DB1-Normal71"/>
              <w:spacing w:after="120" w:line="240" w:lineRule="auto"/>
              <w:jc w:val="center"/>
              <w:textAlignment w:val="baseline"/>
              <w:rPr>
                <w:rFonts w:eastAsiaTheme="minorHAnsi"/>
                <w:noProof/>
              </w:rPr>
            </w:pPr>
            <w:r>
              <w:rPr>
                <w:noProof/>
              </w:rPr>
              <w:t>Objectif</w:t>
            </w:r>
          </w:p>
        </w:tc>
        <w:tc>
          <w:tcPr>
            <w:tcW w:w="1165" w:type="dxa"/>
            <w:shd w:val="clear" w:color="auto" w:fill="BDD7EE"/>
            <w:vAlign w:val="center"/>
            <w:hideMark/>
          </w:tcPr>
          <w:p w14:paraId="763A6348" w14:textId="77777777" w:rsidR="0023462A" w:rsidRDefault="00A550FA">
            <w:pPr>
              <w:pStyle w:val="P68B1DB1-Normal71"/>
              <w:spacing w:after="120" w:line="240" w:lineRule="auto"/>
              <w:jc w:val="center"/>
              <w:textAlignment w:val="baseline"/>
              <w:rPr>
                <w:rFonts w:eastAsiaTheme="minorHAnsi"/>
                <w:noProof/>
              </w:rPr>
            </w:pPr>
            <w:r>
              <w:rPr>
                <w:noProof/>
              </w:rPr>
              <w:t>Trimestre</w:t>
            </w:r>
          </w:p>
        </w:tc>
        <w:tc>
          <w:tcPr>
            <w:tcW w:w="834" w:type="dxa"/>
            <w:shd w:val="clear" w:color="auto" w:fill="BDD7EE"/>
            <w:vAlign w:val="center"/>
            <w:hideMark/>
          </w:tcPr>
          <w:p w14:paraId="38FFAB7B" w14:textId="77777777" w:rsidR="0023462A" w:rsidRDefault="00A550FA">
            <w:pPr>
              <w:pStyle w:val="P68B1DB1-Normal71"/>
              <w:spacing w:after="120" w:line="240" w:lineRule="auto"/>
              <w:jc w:val="center"/>
              <w:textAlignment w:val="baseline"/>
              <w:rPr>
                <w:rFonts w:eastAsiaTheme="minorHAnsi"/>
                <w:noProof/>
              </w:rPr>
            </w:pPr>
            <w:r>
              <w:rPr>
                <w:noProof/>
              </w:rPr>
              <w:t>Année</w:t>
            </w:r>
          </w:p>
        </w:tc>
        <w:tc>
          <w:tcPr>
            <w:tcW w:w="3976" w:type="dxa"/>
            <w:vMerge/>
            <w:vAlign w:val="center"/>
            <w:hideMark/>
          </w:tcPr>
          <w:p w14:paraId="43625DEF" w14:textId="77777777" w:rsidR="0023462A" w:rsidRDefault="0023462A">
            <w:pPr>
              <w:spacing w:after="120" w:line="240" w:lineRule="auto"/>
              <w:rPr>
                <w:rFonts w:ascii="Times New Roman" w:hAnsi="Times New Roman" w:cs="Times New Roman"/>
                <w:noProof/>
                <w:sz w:val="18"/>
              </w:rPr>
            </w:pPr>
          </w:p>
        </w:tc>
      </w:tr>
      <w:tr w:rsidR="0023462A" w14:paraId="1C6D9063" w14:textId="77777777">
        <w:trPr>
          <w:trHeight w:val="915"/>
          <w:jc w:val="center"/>
        </w:trPr>
        <w:tc>
          <w:tcPr>
            <w:tcW w:w="651" w:type="dxa"/>
            <w:shd w:val="clear" w:color="auto" w:fill="C6EFCE"/>
          </w:tcPr>
          <w:p w14:paraId="1C4AD115" w14:textId="37A32376" w:rsidR="0023462A" w:rsidRDefault="00A550FA">
            <w:pPr>
              <w:pStyle w:val="P68B1DB1-Normal27"/>
              <w:spacing w:after="120" w:line="240" w:lineRule="auto"/>
              <w:rPr>
                <w:noProof/>
              </w:rPr>
            </w:pPr>
            <w:r>
              <w:rPr>
                <w:noProof/>
              </w:rPr>
              <w:t>126</w:t>
            </w:r>
          </w:p>
        </w:tc>
        <w:tc>
          <w:tcPr>
            <w:tcW w:w="1178" w:type="dxa"/>
            <w:shd w:val="clear" w:color="auto" w:fill="C6EFCE"/>
          </w:tcPr>
          <w:p w14:paraId="7D43D743" w14:textId="24662589" w:rsidR="0023462A" w:rsidRDefault="00A550FA">
            <w:pPr>
              <w:pStyle w:val="P68B1DB1-Normal32"/>
              <w:spacing w:after="120" w:line="240" w:lineRule="auto"/>
              <w:rPr>
                <w:noProof/>
              </w:rPr>
            </w:pPr>
            <w:r>
              <w:rPr>
                <w:noProof/>
              </w:rPr>
              <w:t>C11.I2 AI Gigafactory et autres infrastructures de calcul EuroHPC</w:t>
            </w:r>
          </w:p>
        </w:tc>
        <w:tc>
          <w:tcPr>
            <w:tcW w:w="1111" w:type="dxa"/>
            <w:shd w:val="clear" w:color="auto" w:fill="C6EFCE"/>
          </w:tcPr>
          <w:p w14:paraId="2EA60DDE" w14:textId="133B35E6" w:rsidR="0023462A" w:rsidRDefault="00A550FA">
            <w:pPr>
              <w:pStyle w:val="P68B1DB1-Normal27"/>
              <w:spacing w:after="120" w:line="240" w:lineRule="auto"/>
              <w:rPr>
                <w:noProof/>
              </w:rPr>
            </w:pPr>
            <w:r>
              <w:rPr>
                <w:noProof/>
              </w:rPr>
              <w:t>Étape</w:t>
            </w:r>
          </w:p>
        </w:tc>
        <w:tc>
          <w:tcPr>
            <w:tcW w:w="2128" w:type="dxa"/>
            <w:shd w:val="clear" w:color="auto" w:fill="C6EFCE"/>
          </w:tcPr>
          <w:p w14:paraId="70F648D5" w14:textId="14B0B80F" w:rsidR="0023462A" w:rsidRDefault="00A550FA">
            <w:pPr>
              <w:pStyle w:val="P68B1DB1-Default74"/>
              <w:spacing w:after="120"/>
              <w:rPr>
                <w:noProof/>
              </w:rPr>
            </w:pPr>
            <w:r>
              <w:rPr>
                <w:noProof/>
              </w:rPr>
              <w:t xml:space="preserve">Signature de la convention de contribution entre la Hongrie et l’entreprise commune EuroHPC et versement de la contribution volontaire à l’entreprise commune EuroHPC </w:t>
            </w:r>
          </w:p>
          <w:p w14:paraId="336EC01C" w14:textId="6A329A3E" w:rsidR="0023462A" w:rsidRDefault="0023462A">
            <w:pPr>
              <w:spacing w:after="120" w:line="240" w:lineRule="auto"/>
              <w:rPr>
                <w:rFonts w:ascii="Times New Roman" w:eastAsia="Times New Roman" w:hAnsi="Times New Roman" w:cs="Times New Roman"/>
                <w:noProof/>
                <w:sz w:val="18"/>
                <w:szCs w:val="18"/>
              </w:rPr>
            </w:pPr>
          </w:p>
        </w:tc>
        <w:tc>
          <w:tcPr>
            <w:tcW w:w="1752" w:type="dxa"/>
            <w:shd w:val="clear" w:color="auto" w:fill="C6EFCE"/>
          </w:tcPr>
          <w:p w14:paraId="3B0925FF" w14:textId="77777777" w:rsidR="0023462A" w:rsidRDefault="00A550FA">
            <w:pPr>
              <w:pStyle w:val="P68B1DB1-Default74"/>
              <w:spacing w:after="120"/>
              <w:rPr>
                <w:noProof/>
              </w:rPr>
            </w:pPr>
            <w:r>
              <w:rPr>
                <w:noProof/>
              </w:rPr>
              <w:t xml:space="preserve">Signature de l'accord de contribution </w:t>
            </w:r>
          </w:p>
          <w:p w14:paraId="3ACCD06F" w14:textId="4957C391" w:rsidR="0023462A" w:rsidRDefault="0023462A">
            <w:pPr>
              <w:spacing w:after="120" w:line="240" w:lineRule="auto"/>
              <w:rPr>
                <w:rFonts w:ascii="Times New Roman" w:eastAsia="Times New Roman" w:hAnsi="Times New Roman" w:cs="Times New Roman"/>
                <w:noProof/>
                <w:sz w:val="18"/>
                <w:szCs w:val="18"/>
              </w:rPr>
            </w:pPr>
          </w:p>
        </w:tc>
        <w:tc>
          <w:tcPr>
            <w:tcW w:w="959" w:type="dxa"/>
            <w:shd w:val="clear" w:color="auto" w:fill="C6EFCE"/>
          </w:tcPr>
          <w:p w14:paraId="5E64F921" w14:textId="77777777" w:rsidR="0023462A" w:rsidRDefault="0023462A">
            <w:pPr>
              <w:spacing w:after="120" w:line="240" w:lineRule="auto"/>
              <w:rPr>
                <w:rFonts w:ascii="Times New Roman" w:eastAsia="Times New Roman" w:hAnsi="Times New Roman" w:cs="Times New Roman"/>
                <w:noProof/>
                <w:sz w:val="18"/>
                <w:szCs w:val="18"/>
              </w:rPr>
            </w:pPr>
          </w:p>
        </w:tc>
        <w:tc>
          <w:tcPr>
            <w:tcW w:w="793" w:type="dxa"/>
            <w:shd w:val="clear" w:color="auto" w:fill="C6EFCE"/>
          </w:tcPr>
          <w:p w14:paraId="62B659C7" w14:textId="77777777" w:rsidR="0023462A" w:rsidRDefault="0023462A">
            <w:pPr>
              <w:spacing w:after="120" w:line="240" w:lineRule="auto"/>
              <w:rPr>
                <w:rFonts w:ascii="Times New Roman" w:eastAsia="Times New Roman" w:hAnsi="Times New Roman" w:cs="Times New Roman"/>
                <w:noProof/>
                <w:sz w:val="18"/>
                <w:szCs w:val="18"/>
              </w:rPr>
            </w:pPr>
          </w:p>
        </w:tc>
        <w:tc>
          <w:tcPr>
            <w:tcW w:w="760" w:type="dxa"/>
            <w:shd w:val="clear" w:color="auto" w:fill="C6EFCE"/>
          </w:tcPr>
          <w:p w14:paraId="089F0BA0" w14:textId="77777777" w:rsidR="0023462A" w:rsidRDefault="0023462A">
            <w:pPr>
              <w:spacing w:after="120" w:line="240" w:lineRule="auto"/>
              <w:rPr>
                <w:rFonts w:ascii="Times New Roman" w:eastAsia="Times New Roman" w:hAnsi="Times New Roman" w:cs="Times New Roman"/>
                <w:noProof/>
                <w:sz w:val="18"/>
                <w:szCs w:val="18"/>
              </w:rPr>
            </w:pPr>
          </w:p>
        </w:tc>
        <w:tc>
          <w:tcPr>
            <w:tcW w:w="1165" w:type="dxa"/>
            <w:shd w:val="clear" w:color="auto" w:fill="C6EFCE"/>
          </w:tcPr>
          <w:p w14:paraId="588DB4EB" w14:textId="77777777" w:rsidR="0023462A" w:rsidRDefault="00A550FA">
            <w:pPr>
              <w:pStyle w:val="P68B1DB1-Normal27"/>
              <w:spacing w:after="120" w:line="240" w:lineRule="auto"/>
              <w:jc w:val="center"/>
              <w:rPr>
                <w:noProof/>
              </w:rPr>
            </w:pPr>
            <w:r>
              <w:rPr>
                <w:noProof/>
              </w:rPr>
              <w:t>T2</w:t>
            </w:r>
          </w:p>
        </w:tc>
        <w:tc>
          <w:tcPr>
            <w:tcW w:w="834" w:type="dxa"/>
            <w:shd w:val="clear" w:color="auto" w:fill="C6EFCE"/>
          </w:tcPr>
          <w:p w14:paraId="4F627343" w14:textId="77777777" w:rsidR="0023462A" w:rsidRDefault="00A550FA">
            <w:pPr>
              <w:pStyle w:val="P68B1DB1-Normal27"/>
              <w:spacing w:after="120" w:line="240" w:lineRule="auto"/>
              <w:rPr>
                <w:noProof/>
              </w:rPr>
            </w:pPr>
            <w:r>
              <w:rPr>
                <w:noProof/>
              </w:rPr>
              <w:t>2026</w:t>
            </w:r>
          </w:p>
        </w:tc>
        <w:tc>
          <w:tcPr>
            <w:tcW w:w="3976" w:type="dxa"/>
            <w:shd w:val="clear" w:color="auto" w:fill="C6EFCE"/>
          </w:tcPr>
          <w:p w14:paraId="207A3F1E" w14:textId="560160F7" w:rsidR="0023462A" w:rsidRDefault="00A550FA">
            <w:pPr>
              <w:pStyle w:val="P68B1DB1-Default74"/>
              <w:spacing w:after="120"/>
              <w:jc w:val="both"/>
              <w:rPr>
                <w:noProof/>
              </w:rPr>
            </w:pPr>
            <w:r>
              <w:rPr>
                <w:noProof/>
              </w:rPr>
              <w:t xml:space="preserve">Signature de la convention de contribution entre la Hongrie et l'entreprise commune EuroHPC. Cet accord de contribution comprend: </w:t>
            </w:r>
          </w:p>
          <w:p w14:paraId="0CD432C0" w14:textId="2B6190AD" w:rsidR="0023462A" w:rsidRDefault="00A550FA">
            <w:pPr>
              <w:pStyle w:val="P68B1DB1-Default74"/>
              <w:spacing w:after="120"/>
              <w:jc w:val="both"/>
              <w:rPr>
                <w:noProof/>
              </w:rPr>
            </w:pPr>
            <w:r>
              <w:rPr>
                <w:noProof/>
              </w:rPr>
              <w:t xml:space="preserve">- une indication des activités à financer au moyen de la contribution volontaire, à savoir un soutien financier à une gigausine d’IA et/ou à une infrastructure avancée d’IA/HPC et/ou à des initiatives en matière de technologie quantique et/ou à d’autres infrastructures de calcul EuroHPC et/ou à tout autre projet de recherche et d’innovation EuroHPC, à établir dans l’Union. </w:t>
            </w:r>
          </w:p>
          <w:p w14:paraId="43ABA2DA" w14:textId="77777777" w:rsidR="0023462A" w:rsidRDefault="00A550FA">
            <w:pPr>
              <w:pStyle w:val="P68B1DB1-Default74"/>
              <w:spacing w:after="120"/>
              <w:jc w:val="both"/>
              <w:rPr>
                <w:noProof/>
              </w:rPr>
            </w:pPr>
            <w:r>
              <w:rPr>
                <w:noProof/>
              </w:rPr>
              <w:t xml:space="preserve">- L’exigence selon laquelle la contribution volontaire doit être utilisée d’une manière conforme au principe consistant à ne pas causer de préjudice important (DNSH), tel qu’énoncé dans les orientations techniques 2021/C58/01. </w:t>
            </w:r>
          </w:p>
          <w:p w14:paraId="2A935A64" w14:textId="293B0871" w:rsidR="0023462A" w:rsidRDefault="00A550FA">
            <w:pPr>
              <w:pStyle w:val="P68B1DB1-Default74"/>
              <w:spacing w:after="120"/>
              <w:jc w:val="both"/>
              <w:rPr>
                <w:noProof/>
              </w:rPr>
            </w:pPr>
            <w:r>
              <w:rPr>
                <w:noProof/>
              </w:rPr>
              <w:t xml:space="preserve">- Le montant exact de la contribution volontaire du fonds FRR. </w:t>
            </w:r>
          </w:p>
          <w:p w14:paraId="71FF75F5" w14:textId="05FA9799" w:rsidR="0023462A" w:rsidRDefault="00A550FA">
            <w:pPr>
              <w:pStyle w:val="P68B1DB1-Default74"/>
              <w:spacing w:after="120"/>
              <w:jc w:val="both"/>
              <w:rPr>
                <w:noProof/>
              </w:rPr>
            </w:pPr>
            <w:r>
              <w:rPr>
                <w:noProof/>
              </w:rPr>
              <w:t xml:space="preserve">- une exigence selon laquelle les montants inutilisés couverts par l’accord sont utilisés par l’entreprise commune EuroHPC au profit de l’État membre concerné et ne sont pas reversés à l’État membre. </w:t>
            </w:r>
          </w:p>
          <w:p w14:paraId="28CEB11E" w14:textId="1D7B02B4" w:rsidR="0023462A" w:rsidRDefault="00A550FA">
            <w:pPr>
              <w:pStyle w:val="P68B1DB1-Normal75"/>
              <w:spacing w:after="120" w:line="240" w:lineRule="auto"/>
              <w:jc w:val="both"/>
              <w:rPr>
                <w:rFonts w:ascii="Times New Roman" w:eastAsia="Times New Roman" w:hAnsi="Times New Roman" w:cs="Times New Roman"/>
                <w:noProof/>
                <w:sz w:val="18"/>
                <w:szCs w:val="18"/>
              </w:rPr>
            </w:pPr>
            <w:r>
              <w:rPr>
                <w:rFonts w:ascii="Times New Roman" w:hAnsi="Times New Roman" w:cs="Times New Roman"/>
                <w:noProof/>
                <w:color w:val="000000" w:themeColor="text1"/>
              </w:rPr>
              <w:t>- La Hongrie transfère 500 millions d'EUR à l'entreprise commune pour le calcul à haute performance européen.</w:t>
            </w:r>
            <w:r>
              <w:rPr>
                <w:noProof/>
              </w:rPr>
              <w:t xml:space="preserve"> </w:t>
            </w:r>
          </w:p>
        </w:tc>
      </w:tr>
      <w:tr w:rsidR="0023462A" w14:paraId="3A69DF5D" w14:textId="77777777">
        <w:trPr>
          <w:trHeight w:val="915"/>
          <w:jc w:val="center"/>
        </w:trPr>
        <w:tc>
          <w:tcPr>
            <w:tcW w:w="651" w:type="dxa"/>
            <w:shd w:val="clear" w:color="auto" w:fill="C6EFCE"/>
          </w:tcPr>
          <w:p w14:paraId="72C4534E" w14:textId="39FDF8B2" w:rsidR="0023462A" w:rsidRDefault="00A550FA">
            <w:pPr>
              <w:pStyle w:val="P68B1DB1-Normal27"/>
              <w:spacing w:after="120" w:line="240" w:lineRule="auto"/>
              <w:rPr>
                <w:noProof/>
              </w:rPr>
            </w:pPr>
            <w:r>
              <w:rPr>
                <w:noProof/>
              </w:rPr>
              <w:t>127</w:t>
            </w:r>
          </w:p>
        </w:tc>
        <w:tc>
          <w:tcPr>
            <w:tcW w:w="1178" w:type="dxa"/>
            <w:shd w:val="clear" w:color="auto" w:fill="C6EFCE"/>
          </w:tcPr>
          <w:p w14:paraId="70BCD37D" w14:textId="4072C252" w:rsidR="0023462A" w:rsidRDefault="00A550FA">
            <w:pPr>
              <w:pStyle w:val="P68B1DB1-Normal32"/>
              <w:spacing w:after="120" w:line="240" w:lineRule="auto"/>
              <w:rPr>
                <w:noProof/>
              </w:rPr>
            </w:pPr>
            <w:r>
              <w:rPr>
                <w:noProof/>
              </w:rPr>
              <w:t>C11.I3 Contribution volontaire à IRIS²</w:t>
            </w:r>
          </w:p>
        </w:tc>
        <w:tc>
          <w:tcPr>
            <w:tcW w:w="1111" w:type="dxa"/>
            <w:shd w:val="clear" w:color="auto" w:fill="C6EFCE"/>
          </w:tcPr>
          <w:p w14:paraId="170A61DE" w14:textId="26ACA2C3" w:rsidR="0023462A" w:rsidRDefault="00A550FA">
            <w:pPr>
              <w:pStyle w:val="P68B1DB1-Normal27"/>
              <w:spacing w:after="120" w:line="240" w:lineRule="auto"/>
              <w:rPr>
                <w:noProof/>
              </w:rPr>
            </w:pPr>
            <w:r>
              <w:rPr>
                <w:noProof/>
              </w:rPr>
              <w:t>Étape</w:t>
            </w:r>
          </w:p>
        </w:tc>
        <w:tc>
          <w:tcPr>
            <w:tcW w:w="2128" w:type="dxa"/>
            <w:shd w:val="clear" w:color="auto" w:fill="C6EFCE"/>
          </w:tcPr>
          <w:p w14:paraId="04593414" w14:textId="3E294E0B" w:rsidR="0023462A" w:rsidRDefault="00A550FA">
            <w:pPr>
              <w:pStyle w:val="P68B1DB1-Default74"/>
              <w:spacing w:after="120"/>
              <w:rPr>
                <w:noProof/>
              </w:rPr>
            </w:pPr>
            <w:r>
              <w:rPr>
                <w:noProof/>
              </w:rPr>
              <w:t>Signature de la convention de contribution entre la Hongrie et la Commission européenne et affectation d'une contribution volontaire au programme de l'UE pour une connectivité sécurisée (IRIS²)</w:t>
            </w:r>
          </w:p>
        </w:tc>
        <w:tc>
          <w:tcPr>
            <w:tcW w:w="1752" w:type="dxa"/>
            <w:shd w:val="clear" w:color="auto" w:fill="C6EFCE"/>
          </w:tcPr>
          <w:p w14:paraId="6D2FA01B" w14:textId="6B23061B" w:rsidR="0023462A" w:rsidRDefault="00A550FA">
            <w:pPr>
              <w:pStyle w:val="P68B1DB1-Default74"/>
              <w:spacing w:after="120"/>
              <w:rPr>
                <w:noProof/>
              </w:rPr>
            </w:pPr>
            <w:r>
              <w:rPr>
                <w:noProof/>
              </w:rPr>
              <w:t>Signature de l'accord de contribution</w:t>
            </w:r>
          </w:p>
        </w:tc>
        <w:tc>
          <w:tcPr>
            <w:tcW w:w="959" w:type="dxa"/>
            <w:shd w:val="clear" w:color="auto" w:fill="C6EFCE"/>
          </w:tcPr>
          <w:p w14:paraId="571E1887" w14:textId="77777777" w:rsidR="0023462A" w:rsidRDefault="0023462A">
            <w:pPr>
              <w:spacing w:after="120" w:line="240" w:lineRule="auto"/>
              <w:rPr>
                <w:rFonts w:ascii="Times New Roman" w:eastAsia="Times New Roman" w:hAnsi="Times New Roman" w:cs="Times New Roman"/>
                <w:noProof/>
                <w:sz w:val="18"/>
                <w:szCs w:val="18"/>
              </w:rPr>
            </w:pPr>
          </w:p>
        </w:tc>
        <w:tc>
          <w:tcPr>
            <w:tcW w:w="793" w:type="dxa"/>
            <w:shd w:val="clear" w:color="auto" w:fill="C6EFCE"/>
          </w:tcPr>
          <w:p w14:paraId="389FE276" w14:textId="77777777" w:rsidR="0023462A" w:rsidRDefault="0023462A">
            <w:pPr>
              <w:spacing w:after="120" w:line="240" w:lineRule="auto"/>
              <w:rPr>
                <w:rFonts w:ascii="Times New Roman" w:eastAsia="Times New Roman" w:hAnsi="Times New Roman" w:cs="Times New Roman"/>
                <w:noProof/>
                <w:sz w:val="18"/>
                <w:szCs w:val="18"/>
              </w:rPr>
            </w:pPr>
          </w:p>
        </w:tc>
        <w:tc>
          <w:tcPr>
            <w:tcW w:w="760" w:type="dxa"/>
            <w:shd w:val="clear" w:color="auto" w:fill="C6EFCE"/>
          </w:tcPr>
          <w:p w14:paraId="68BFA687" w14:textId="77777777" w:rsidR="0023462A" w:rsidRDefault="0023462A">
            <w:pPr>
              <w:spacing w:after="120" w:line="240" w:lineRule="auto"/>
              <w:rPr>
                <w:rFonts w:ascii="Times New Roman" w:eastAsia="Times New Roman" w:hAnsi="Times New Roman" w:cs="Times New Roman"/>
                <w:noProof/>
                <w:sz w:val="18"/>
                <w:szCs w:val="18"/>
              </w:rPr>
            </w:pPr>
          </w:p>
        </w:tc>
        <w:tc>
          <w:tcPr>
            <w:tcW w:w="1165" w:type="dxa"/>
            <w:shd w:val="clear" w:color="auto" w:fill="C6EFCE"/>
          </w:tcPr>
          <w:p w14:paraId="1B6464D5" w14:textId="361604D6" w:rsidR="0023462A" w:rsidRDefault="00A550FA">
            <w:pPr>
              <w:pStyle w:val="P68B1DB1-Normal27"/>
              <w:spacing w:after="120" w:line="240" w:lineRule="auto"/>
              <w:jc w:val="center"/>
              <w:rPr>
                <w:noProof/>
              </w:rPr>
            </w:pPr>
            <w:r>
              <w:rPr>
                <w:noProof/>
              </w:rPr>
              <w:t>T2</w:t>
            </w:r>
          </w:p>
        </w:tc>
        <w:tc>
          <w:tcPr>
            <w:tcW w:w="834" w:type="dxa"/>
            <w:shd w:val="clear" w:color="auto" w:fill="C6EFCE"/>
          </w:tcPr>
          <w:p w14:paraId="757D0668" w14:textId="13775217" w:rsidR="0023462A" w:rsidRDefault="00A550FA">
            <w:pPr>
              <w:pStyle w:val="P68B1DB1-Normal27"/>
              <w:spacing w:after="120" w:line="240" w:lineRule="auto"/>
              <w:rPr>
                <w:noProof/>
              </w:rPr>
            </w:pPr>
            <w:r>
              <w:rPr>
                <w:noProof/>
              </w:rPr>
              <w:t>2026</w:t>
            </w:r>
          </w:p>
        </w:tc>
        <w:tc>
          <w:tcPr>
            <w:tcW w:w="3976" w:type="dxa"/>
            <w:shd w:val="clear" w:color="auto" w:fill="C6EFCE"/>
          </w:tcPr>
          <w:p w14:paraId="586BCB7A" w14:textId="136C5A25" w:rsidR="0023462A" w:rsidRDefault="00A550FA">
            <w:pPr>
              <w:pStyle w:val="P68B1DB1-Default74"/>
              <w:spacing w:after="120"/>
              <w:jc w:val="both"/>
              <w:rPr>
                <w:noProof/>
              </w:rPr>
            </w:pPr>
            <w:r>
              <w:rPr>
                <w:noProof/>
              </w:rPr>
              <w:t>Signature de la convention de contribution entre la Hongrie et la Commission européenne. Cet accord de contribution comprend les activités qui seraient financées au titre de la contribution volontaire. La Hongrie transfère 500 millions d'EUR au programme de l'UE pour une connectivité sécurisée (IRIS²).</w:t>
            </w:r>
          </w:p>
        </w:tc>
      </w:tr>
    </w:tbl>
    <w:p w14:paraId="3E33C160" w14:textId="233D92E3" w:rsidR="0023462A" w:rsidRDefault="0023462A">
      <w:pPr>
        <w:spacing w:after="120" w:line="240" w:lineRule="auto"/>
        <w:rPr>
          <w:noProof/>
          <w:vertAlign w:val="superscript"/>
        </w:rPr>
      </w:pPr>
    </w:p>
    <w:p w14:paraId="258FE488" w14:textId="77777777" w:rsidR="0023462A" w:rsidRDefault="0023462A">
      <w:pPr>
        <w:spacing w:after="120" w:line="240" w:lineRule="auto"/>
        <w:rPr>
          <w:noProof/>
        </w:rPr>
        <w:sectPr w:rsidR="0023462A" w:rsidSect="00632EA4">
          <w:headerReference w:type="default" r:id="rId128"/>
          <w:footerReference w:type="default" r:id="rId129"/>
          <w:pgSz w:w="16839" w:h="11907" w:orient="landscape"/>
          <w:pgMar w:top="1134" w:right="1134" w:bottom="1134" w:left="1134" w:header="567" w:footer="567" w:gutter="0"/>
          <w:cols w:space="708"/>
          <w:docGrid w:linePitch="326"/>
        </w:sectPr>
      </w:pPr>
    </w:p>
    <w:p w14:paraId="5511A7D9" w14:textId="77777777" w:rsidR="0023462A" w:rsidRDefault="00A550FA">
      <w:pPr>
        <w:pStyle w:val="P68B1DB1-Normal76"/>
        <w:spacing w:after="120" w:line="240" w:lineRule="auto"/>
        <w:jc w:val="both"/>
        <w:rPr>
          <w:rFonts w:eastAsia="Calibri" w:cs="Times New Roman"/>
          <w:noProof/>
        </w:rPr>
      </w:pPr>
      <w:r>
        <w:rPr>
          <w:noProof/>
        </w:rPr>
        <w:t>2. Coût total estimé du plan pour la reprise et la résilience</w:t>
      </w:r>
    </w:p>
    <w:p w14:paraId="464AE90C" w14:textId="71CE2FF2" w:rsidR="0023462A" w:rsidRDefault="00A550FA">
      <w:pPr>
        <w:pStyle w:val="P68B1DB1-Normal6"/>
        <w:spacing w:after="120" w:line="240" w:lineRule="auto"/>
        <w:jc w:val="both"/>
        <w:textAlignment w:val="baseline"/>
        <w:rPr>
          <w:noProof/>
        </w:rPr>
      </w:pPr>
      <w:r>
        <w:rPr>
          <w:noProof/>
        </w:rPr>
        <w:t>Le coût total du plan pour la reprise et la résilience de la Hongrie est estimé à 3 553 302 225 000 HUF, soit 10 000 000 000 EUR sur la base du taux de référence moyen de la BCE pour les HUF au 9 juin 2026. </w:t>
      </w:r>
    </w:p>
    <w:p w14:paraId="4895BBC8" w14:textId="77777777" w:rsidR="0023462A" w:rsidRDefault="0023462A">
      <w:pPr>
        <w:spacing w:after="120" w:line="240" w:lineRule="auto"/>
        <w:jc w:val="both"/>
        <w:textAlignment w:val="baseline"/>
        <w:rPr>
          <w:rFonts w:ascii="Times New Roman" w:eastAsia="Calibri" w:hAnsi="Times New Roman" w:cs="Times New Roman"/>
          <w:b/>
          <w:noProof/>
          <w:sz w:val="24"/>
        </w:rPr>
      </w:pPr>
    </w:p>
    <w:p w14:paraId="01A14238" w14:textId="77777777" w:rsidR="0023462A" w:rsidRDefault="00A550FA">
      <w:pPr>
        <w:pStyle w:val="P68B1DB1-Heading13"/>
        <w:spacing w:before="0" w:after="120"/>
        <w:rPr>
          <w:rFonts w:eastAsia="Calibri"/>
          <w:noProof/>
        </w:rPr>
      </w:pPr>
      <w:r>
        <w:rPr>
          <w:noProof/>
        </w:rPr>
        <w:t xml:space="preserve">SECTION 2: SOUTIEN FINANCIER </w:t>
      </w:r>
    </w:p>
    <w:p w14:paraId="22761E0A" w14:textId="4AE6C409" w:rsidR="0023462A" w:rsidRDefault="00A550FA">
      <w:pPr>
        <w:pStyle w:val="P68B1DB1-Heading277"/>
        <w:numPr>
          <w:ilvl w:val="0"/>
          <w:numId w:val="159"/>
        </w:numPr>
        <w:spacing w:before="0" w:after="120"/>
        <w:rPr>
          <w:rFonts w:eastAsia="Calibri"/>
          <w:noProof/>
        </w:rPr>
      </w:pPr>
      <w:r>
        <w:rPr>
          <w:noProof/>
        </w:rPr>
        <w:t xml:space="preserve">Contribution financière </w:t>
      </w:r>
    </w:p>
    <w:p w14:paraId="286B18E1" w14:textId="77777777" w:rsidR="0023462A" w:rsidRDefault="00A550FA">
      <w:pPr>
        <w:pStyle w:val="P68B1DB1-Normal34"/>
        <w:spacing w:after="120" w:line="240" w:lineRule="auto"/>
        <w:jc w:val="both"/>
        <w:rPr>
          <w:rFonts w:eastAsia="Calibri"/>
          <w:noProof/>
        </w:rPr>
      </w:pPr>
      <w:r>
        <w:rPr>
          <w:noProof/>
        </w:rPr>
        <w:t xml:space="preserve">Les tranches visées à l'article 2, paragraphe 2, sont organisées de la manière suivante: </w:t>
      </w:r>
    </w:p>
    <w:p w14:paraId="734D6CD5" w14:textId="77777777" w:rsidR="0023462A" w:rsidRDefault="00A550FA">
      <w:pPr>
        <w:pStyle w:val="P68B1DB1-Heading378"/>
        <w:numPr>
          <w:ilvl w:val="1"/>
          <w:numId w:val="16"/>
        </w:numPr>
        <w:spacing w:before="0" w:after="120"/>
        <w:ind w:left="1440" w:hanging="360"/>
        <w:rPr>
          <w:noProof/>
        </w:rPr>
      </w:pPr>
      <w:r>
        <w:rPr>
          <w:noProof/>
        </w:rPr>
        <w:t>Première tranche (soutien non remboursable):</w:t>
      </w:r>
    </w:p>
    <w:tbl>
      <w:tblPr>
        <w:tblW w:w="9303" w:type="dxa"/>
        <w:tblInd w:w="113" w:type="dxa"/>
        <w:tblLayout w:type="fixed"/>
        <w:tblCellMar>
          <w:top w:w="15" w:type="dxa"/>
        </w:tblCellMar>
        <w:tblLook w:val="04A0" w:firstRow="1" w:lastRow="0" w:firstColumn="1" w:lastColumn="0" w:noHBand="0" w:noVBand="1"/>
      </w:tblPr>
      <w:tblGrid>
        <w:gridCol w:w="1207"/>
        <w:gridCol w:w="3041"/>
        <w:gridCol w:w="1446"/>
        <w:gridCol w:w="3373"/>
        <w:gridCol w:w="236"/>
      </w:tblGrid>
      <w:tr w:rsidR="0023462A" w14:paraId="6498B6E5" w14:textId="77777777">
        <w:trPr>
          <w:gridAfter w:val="1"/>
          <w:wAfter w:w="236" w:type="dxa"/>
          <w:trHeight w:val="458"/>
          <w:tblHeader/>
        </w:trPr>
        <w:tc>
          <w:tcPr>
            <w:tcW w:w="120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C552FD2" w14:textId="77777777" w:rsidR="0023462A" w:rsidRDefault="00A550FA">
            <w:pPr>
              <w:pStyle w:val="P68B1DB1-Normal79"/>
              <w:spacing w:after="120" w:line="240" w:lineRule="auto"/>
              <w:jc w:val="center"/>
              <w:rPr>
                <w:noProof/>
              </w:rPr>
            </w:pPr>
            <w:r>
              <w:rPr>
                <w:noProof/>
              </w:rPr>
              <w:t>Numéro séquentiel</w:t>
            </w:r>
          </w:p>
        </w:tc>
        <w:tc>
          <w:tcPr>
            <w:tcW w:w="304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B1882A6" w14:textId="77777777" w:rsidR="0023462A" w:rsidRDefault="00A550FA">
            <w:pPr>
              <w:pStyle w:val="P68B1DB1-Normal79"/>
              <w:spacing w:after="120" w:line="240" w:lineRule="auto"/>
              <w:jc w:val="center"/>
              <w:rPr>
                <w:noProof/>
              </w:rPr>
            </w:pPr>
            <w:r>
              <w:rPr>
                <w:noProof/>
              </w:rPr>
              <w:t>Mesure connexe (réforme ou investissement)</w:t>
            </w:r>
          </w:p>
        </w:tc>
        <w:tc>
          <w:tcPr>
            <w:tcW w:w="144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65901C8" w14:textId="77777777" w:rsidR="0023462A" w:rsidRDefault="00A550FA">
            <w:pPr>
              <w:pStyle w:val="P68B1DB1-Normal79"/>
              <w:spacing w:after="120" w:line="240" w:lineRule="auto"/>
              <w:jc w:val="center"/>
              <w:rPr>
                <w:noProof/>
              </w:rPr>
            </w:pPr>
            <w:r>
              <w:rPr>
                <w:noProof/>
              </w:rPr>
              <w:t>Étape/cible</w:t>
            </w:r>
          </w:p>
        </w:tc>
        <w:tc>
          <w:tcPr>
            <w:tcW w:w="337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FA629A7" w14:textId="77777777" w:rsidR="0023462A" w:rsidRDefault="00A550FA">
            <w:pPr>
              <w:pStyle w:val="P68B1DB1-Normal79"/>
              <w:spacing w:after="120" w:line="240" w:lineRule="auto"/>
              <w:jc w:val="center"/>
              <w:rPr>
                <w:noProof/>
              </w:rPr>
            </w:pPr>
            <w:r>
              <w:rPr>
                <w:noProof/>
              </w:rPr>
              <w:t>Nom</w:t>
            </w:r>
          </w:p>
        </w:tc>
      </w:tr>
      <w:tr w:rsidR="0023462A" w14:paraId="1665B01C" w14:textId="77777777">
        <w:trPr>
          <w:trHeight w:val="290"/>
          <w:tblHeader/>
        </w:trPr>
        <w:tc>
          <w:tcPr>
            <w:tcW w:w="1207" w:type="dxa"/>
            <w:vMerge/>
            <w:tcBorders>
              <w:top w:val="single" w:sz="4" w:space="0" w:color="auto"/>
              <w:left w:val="single" w:sz="4" w:space="0" w:color="auto"/>
              <w:bottom w:val="single" w:sz="4" w:space="0" w:color="auto"/>
              <w:right w:val="single" w:sz="4" w:space="0" w:color="auto"/>
            </w:tcBorders>
            <w:vAlign w:val="center"/>
            <w:hideMark/>
          </w:tcPr>
          <w:p w14:paraId="51AD571E" w14:textId="77777777" w:rsidR="0023462A" w:rsidRDefault="0023462A">
            <w:pPr>
              <w:spacing w:after="120" w:line="240" w:lineRule="auto"/>
              <w:rPr>
                <w:rFonts w:ascii="Times New Roman" w:eastAsia="Times New Roman" w:hAnsi="Times New Roman" w:cs="Times New Roman"/>
                <w:b/>
                <w:noProof/>
              </w:rPr>
            </w:pPr>
          </w:p>
        </w:tc>
        <w:tc>
          <w:tcPr>
            <w:tcW w:w="3041" w:type="dxa"/>
            <w:vMerge/>
            <w:tcBorders>
              <w:top w:val="single" w:sz="4" w:space="0" w:color="auto"/>
              <w:left w:val="single" w:sz="4" w:space="0" w:color="auto"/>
              <w:right w:val="single" w:sz="4" w:space="0" w:color="auto"/>
            </w:tcBorders>
            <w:vAlign w:val="center"/>
            <w:hideMark/>
          </w:tcPr>
          <w:p w14:paraId="01F3F145" w14:textId="77777777" w:rsidR="0023462A" w:rsidRDefault="0023462A">
            <w:pPr>
              <w:spacing w:after="120" w:line="240" w:lineRule="auto"/>
              <w:rPr>
                <w:rFonts w:ascii="Times New Roman" w:eastAsia="Times New Roman" w:hAnsi="Times New Roman" w:cs="Times New Roman"/>
                <w:b/>
                <w:noProof/>
              </w:rPr>
            </w:pPr>
          </w:p>
        </w:tc>
        <w:tc>
          <w:tcPr>
            <w:tcW w:w="1446" w:type="dxa"/>
            <w:vMerge/>
            <w:tcBorders>
              <w:top w:val="single" w:sz="4" w:space="0" w:color="auto"/>
              <w:left w:val="single" w:sz="4" w:space="0" w:color="auto"/>
              <w:bottom w:val="single" w:sz="4" w:space="0" w:color="auto"/>
              <w:right w:val="single" w:sz="4" w:space="0" w:color="auto"/>
            </w:tcBorders>
            <w:vAlign w:val="center"/>
            <w:hideMark/>
          </w:tcPr>
          <w:p w14:paraId="067B8F9B" w14:textId="77777777" w:rsidR="0023462A" w:rsidRDefault="0023462A">
            <w:pPr>
              <w:spacing w:after="120" w:line="240" w:lineRule="auto"/>
              <w:rPr>
                <w:rFonts w:ascii="Times New Roman" w:eastAsia="Times New Roman" w:hAnsi="Times New Roman" w:cs="Times New Roman"/>
                <w:b/>
                <w:noProof/>
              </w:rPr>
            </w:pPr>
          </w:p>
        </w:tc>
        <w:tc>
          <w:tcPr>
            <w:tcW w:w="3373" w:type="dxa"/>
            <w:vMerge/>
            <w:tcBorders>
              <w:top w:val="single" w:sz="4" w:space="0" w:color="auto"/>
              <w:left w:val="single" w:sz="4" w:space="0" w:color="auto"/>
              <w:bottom w:val="single" w:sz="4" w:space="0" w:color="auto"/>
              <w:right w:val="single" w:sz="4" w:space="0" w:color="auto"/>
            </w:tcBorders>
            <w:vAlign w:val="center"/>
            <w:hideMark/>
          </w:tcPr>
          <w:p w14:paraId="4D40CEE1" w14:textId="77777777" w:rsidR="0023462A" w:rsidRDefault="0023462A">
            <w:pPr>
              <w:spacing w:after="120" w:line="240" w:lineRule="auto"/>
              <w:rPr>
                <w:rFonts w:ascii="Times New Roman" w:eastAsia="Times New Roman" w:hAnsi="Times New Roman" w:cs="Times New Roman"/>
                <w:b/>
                <w:noProof/>
              </w:rPr>
            </w:pPr>
          </w:p>
        </w:tc>
        <w:tc>
          <w:tcPr>
            <w:tcW w:w="236" w:type="dxa"/>
            <w:tcBorders>
              <w:top w:val="nil"/>
              <w:left w:val="single" w:sz="4" w:space="0" w:color="auto"/>
              <w:bottom w:val="nil"/>
              <w:right w:val="nil"/>
            </w:tcBorders>
            <w:noWrap/>
            <w:vAlign w:val="center"/>
            <w:hideMark/>
          </w:tcPr>
          <w:p w14:paraId="4A4D6698" w14:textId="77777777" w:rsidR="0023462A" w:rsidRDefault="0023462A">
            <w:pPr>
              <w:spacing w:after="120" w:line="240" w:lineRule="auto"/>
              <w:rPr>
                <w:rFonts w:ascii="Times New Roman" w:eastAsia="Times New Roman" w:hAnsi="Times New Roman" w:cs="Times New Roman"/>
                <w:b/>
                <w:noProof/>
              </w:rPr>
            </w:pPr>
          </w:p>
        </w:tc>
      </w:tr>
      <w:tr w:rsidR="0023462A" w14:paraId="7877A6A7" w14:textId="77777777">
        <w:trPr>
          <w:trHeight w:val="49"/>
          <w:tblHeader/>
        </w:trPr>
        <w:tc>
          <w:tcPr>
            <w:tcW w:w="1207" w:type="dxa"/>
            <w:vMerge/>
            <w:tcBorders>
              <w:top w:val="single" w:sz="4" w:space="0" w:color="auto"/>
              <w:left w:val="single" w:sz="4" w:space="0" w:color="auto"/>
              <w:bottom w:val="single" w:sz="4" w:space="0" w:color="auto"/>
              <w:right w:val="single" w:sz="4" w:space="0" w:color="auto"/>
            </w:tcBorders>
            <w:vAlign w:val="center"/>
            <w:hideMark/>
          </w:tcPr>
          <w:p w14:paraId="5621E24F" w14:textId="77777777" w:rsidR="0023462A" w:rsidRDefault="0023462A">
            <w:pPr>
              <w:spacing w:after="120" w:line="240" w:lineRule="auto"/>
              <w:rPr>
                <w:rFonts w:ascii="Times New Roman" w:eastAsia="Times New Roman" w:hAnsi="Times New Roman" w:cs="Times New Roman"/>
                <w:b/>
                <w:noProof/>
              </w:rPr>
            </w:pPr>
          </w:p>
        </w:tc>
        <w:tc>
          <w:tcPr>
            <w:tcW w:w="3041" w:type="dxa"/>
            <w:vMerge/>
            <w:tcBorders>
              <w:left w:val="single" w:sz="4" w:space="0" w:color="auto"/>
              <w:right w:val="single" w:sz="4" w:space="0" w:color="auto"/>
            </w:tcBorders>
            <w:vAlign w:val="center"/>
            <w:hideMark/>
          </w:tcPr>
          <w:p w14:paraId="6CF3DD1E" w14:textId="77777777" w:rsidR="0023462A" w:rsidRDefault="0023462A">
            <w:pPr>
              <w:spacing w:after="120" w:line="240" w:lineRule="auto"/>
              <w:rPr>
                <w:rFonts w:ascii="Times New Roman" w:eastAsia="Times New Roman" w:hAnsi="Times New Roman" w:cs="Times New Roman"/>
                <w:b/>
                <w:noProof/>
              </w:rPr>
            </w:pPr>
          </w:p>
        </w:tc>
        <w:tc>
          <w:tcPr>
            <w:tcW w:w="1446" w:type="dxa"/>
            <w:vMerge/>
            <w:tcBorders>
              <w:top w:val="single" w:sz="4" w:space="0" w:color="auto"/>
              <w:left w:val="single" w:sz="4" w:space="0" w:color="auto"/>
              <w:bottom w:val="single" w:sz="4" w:space="0" w:color="auto"/>
              <w:right w:val="single" w:sz="4" w:space="0" w:color="auto"/>
            </w:tcBorders>
            <w:vAlign w:val="center"/>
            <w:hideMark/>
          </w:tcPr>
          <w:p w14:paraId="6276C1BB" w14:textId="77777777" w:rsidR="0023462A" w:rsidRDefault="0023462A">
            <w:pPr>
              <w:spacing w:after="120" w:line="240" w:lineRule="auto"/>
              <w:rPr>
                <w:rFonts w:ascii="Times New Roman" w:eastAsia="Times New Roman" w:hAnsi="Times New Roman" w:cs="Times New Roman"/>
                <w:b/>
                <w:noProof/>
              </w:rPr>
            </w:pPr>
          </w:p>
        </w:tc>
        <w:tc>
          <w:tcPr>
            <w:tcW w:w="3373" w:type="dxa"/>
            <w:vMerge/>
            <w:tcBorders>
              <w:top w:val="single" w:sz="4" w:space="0" w:color="auto"/>
              <w:left w:val="single" w:sz="4" w:space="0" w:color="auto"/>
              <w:bottom w:val="single" w:sz="4" w:space="0" w:color="auto"/>
              <w:right w:val="single" w:sz="4" w:space="0" w:color="auto"/>
            </w:tcBorders>
            <w:vAlign w:val="center"/>
            <w:hideMark/>
          </w:tcPr>
          <w:p w14:paraId="00F30A44" w14:textId="77777777" w:rsidR="0023462A" w:rsidRDefault="0023462A">
            <w:pPr>
              <w:spacing w:after="120" w:line="240" w:lineRule="auto"/>
              <w:rPr>
                <w:rFonts w:ascii="Times New Roman" w:eastAsia="Times New Roman" w:hAnsi="Times New Roman" w:cs="Times New Roman"/>
                <w:b/>
                <w:noProof/>
              </w:rPr>
            </w:pPr>
          </w:p>
        </w:tc>
        <w:tc>
          <w:tcPr>
            <w:tcW w:w="236" w:type="dxa"/>
            <w:tcBorders>
              <w:top w:val="nil"/>
              <w:left w:val="single" w:sz="4" w:space="0" w:color="auto"/>
              <w:bottom w:val="nil"/>
              <w:right w:val="nil"/>
            </w:tcBorders>
            <w:noWrap/>
            <w:vAlign w:val="center"/>
            <w:hideMark/>
          </w:tcPr>
          <w:p w14:paraId="06DD7254" w14:textId="77777777" w:rsidR="0023462A" w:rsidRDefault="0023462A">
            <w:pPr>
              <w:spacing w:after="120" w:line="240" w:lineRule="auto"/>
              <w:rPr>
                <w:rFonts w:ascii="Times New Roman" w:eastAsia="Times New Roman" w:hAnsi="Times New Roman" w:cs="Times New Roman"/>
                <w:noProof/>
              </w:rPr>
            </w:pPr>
          </w:p>
        </w:tc>
      </w:tr>
      <w:tr w:rsidR="0023462A" w14:paraId="74EBEA61" w14:textId="77777777">
        <w:tblPrEx>
          <w:tblCellMar>
            <w:top w:w="0" w:type="dxa"/>
          </w:tblCellMar>
        </w:tblPrEx>
        <w:trPr>
          <w:gridAfter w:val="1"/>
          <w:wAfter w:w="236" w:type="dxa"/>
          <w:trHeight w:val="689"/>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1414B78" w14:textId="77777777" w:rsidR="0023462A" w:rsidRDefault="00A550FA">
            <w:pPr>
              <w:pStyle w:val="P68B1DB1-Normal80"/>
              <w:spacing w:after="120" w:line="240" w:lineRule="auto"/>
              <w:rPr>
                <w:rFonts w:eastAsia="Times New Roman"/>
                <w:noProof/>
              </w:rPr>
            </w:pPr>
            <w:r>
              <w:rPr>
                <w:noProof/>
              </w:rPr>
              <w:t>1</w:t>
            </w:r>
          </w:p>
        </w:tc>
        <w:tc>
          <w:tcPr>
            <w:tcW w:w="3041" w:type="dxa"/>
            <w:tcBorders>
              <w:top w:val="single" w:sz="4" w:space="0" w:color="auto"/>
              <w:left w:val="nil"/>
              <w:bottom w:val="single" w:sz="4" w:space="0" w:color="auto"/>
              <w:right w:val="single" w:sz="4" w:space="0" w:color="auto"/>
            </w:tcBorders>
            <w:shd w:val="clear" w:color="auto" w:fill="C6EFCE"/>
            <w:vAlign w:val="center"/>
            <w:hideMark/>
          </w:tcPr>
          <w:p w14:paraId="60F900F3" w14:textId="77777777" w:rsidR="0023462A" w:rsidRDefault="00A550FA">
            <w:pPr>
              <w:pStyle w:val="P68B1DB1-Normal80"/>
              <w:spacing w:after="120" w:line="240" w:lineRule="auto"/>
              <w:rPr>
                <w:rFonts w:eastAsia="Times New Roman"/>
                <w:noProof/>
              </w:rPr>
            </w:pPr>
            <w:r>
              <w:rPr>
                <w:noProof/>
              </w:rPr>
              <w:t xml:space="preserve">C1.I1 Développement d'une éducation publique compétitive utilisant la technologie du XXIe siècle </w:t>
            </w:r>
          </w:p>
        </w:tc>
        <w:tc>
          <w:tcPr>
            <w:tcW w:w="1446" w:type="dxa"/>
            <w:tcBorders>
              <w:top w:val="single" w:sz="4" w:space="0" w:color="auto"/>
              <w:left w:val="nil"/>
              <w:bottom w:val="single" w:sz="4" w:space="0" w:color="auto"/>
              <w:right w:val="single" w:sz="4" w:space="0" w:color="auto"/>
            </w:tcBorders>
            <w:shd w:val="clear" w:color="auto" w:fill="C6EFCE"/>
            <w:vAlign w:val="center"/>
            <w:hideMark/>
          </w:tcPr>
          <w:p w14:paraId="4BA6599F" w14:textId="77777777" w:rsidR="0023462A" w:rsidRDefault="0023462A">
            <w:pPr>
              <w:spacing w:after="120" w:line="240" w:lineRule="auto"/>
              <w:rPr>
                <w:rFonts w:ascii="Times New Roman" w:hAnsi="Times New Roman" w:cs="Times New Roman"/>
                <w:noProof/>
              </w:rPr>
            </w:pPr>
          </w:p>
          <w:p w14:paraId="47C8FF74" w14:textId="77777777" w:rsidR="0023462A" w:rsidRDefault="00A550FA">
            <w:pPr>
              <w:pStyle w:val="P68B1DB1-Normal80"/>
              <w:spacing w:after="120" w:line="240" w:lineRule="auto"/>
              <w:rPr>
                <w:rFonts w:eastAsia="Times New Roman"/>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hideMark/>
          </w:tcPr>
          <w:p w14:paraId="04FCE50E" w14:textId="77777777" w:rsidR="0023462A" w:rsidRDefault="00A550FA">
            <w:pPr>
              <w:pStyle w:val="P68B1DB1-Normal80"/>
              <w:spacing w:after="120" w:line="240" w:lineRule="auto"/>
              <w:rPr>
                <w:rFonts w:eastAsia="Times New Roman"/>
                <w:noProof/>
              </w:rPr>
            </w:pPr>
            <w:r>
              <w:rPr>
                <w:noProof/>
              </w:rPr>
              <w:t>Livraison d'ordinateurs portables et d'outils numériques</w:t>
            </w:r>
          </w:p>
        </w:tc>
      </w:tr>
      <w:tr w:rsidR="0023462A" w14:paraId="0BF16D9C" w14:textId="77777777">
        <w:tblPrEx>
          <w:tblCellMar>
            <w:top w:w="0" w:type="dxa"/>
          </w:tblCellMar>
        </w:tblPrEx>
        <w:trPr>
          <w:gridAfter w:val="1"/>
          <w:wAfter w:w="236" w:type="dxa"/>
          <w:trHeight w:val="345"/>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98B7018" w14:textId="77777777" w:rsidR="0023462A" w:rsidRDefault="00A550FA">
            <w:pPr>
              <w:pStyle w:val="P68B1DB1-Normal80"/>
              <w:spacing w:after="120" w:line="240" w:lineRule="auto"/>
              <w:rPr>
                <w:rFonts w:eastAsia="Times New Roman"/>
                <w:noProof/>
              </w:rPr>
            </w:pPr>
            <w:r>
              <w:rPr>
                <w:noProof/>
              </w:rPr>
              <w:t>2</w:t>
            </w:r>
          </w:p>
        </w:tc>
        <w:tc>
          <w:tcPr>
            <w:tcW w:w="3041" w:type="dxa"/>
            <w:tcBorders>
              <w:top w:val="single" w:sz="4" w:space="0" w:color="auto"/>
              <w:left w:val="nil"/>
              <w:bottom w:val="single" w:sz="4" w:space="0" w:color="auto"/>
              <w:right w:val="single" w:sz="4" w:space="0" w:color="auto"/>
            </w:tcBorders>
            <w:shd w:val="clear" w:color="auto" w:fill="C6EFCE"/>
            <w:vAlign w:val="center"/>
            <w:hideMark/>
          </w:tcPr>
          <w:p w14:paraId="15580F14" w14:textId="77777777" w:rsidR="0023462A" w:rsidRDefault="00A550FA">
            <w:pPr>
              <w:pStyle w:val="P68B1DB1-Normal80"/>
              <w:spacing w:after="120" w:line="240" w:lineRule="auto"/>
              <w:rPr>
                <w:rFonts w:eastAsiaTheme="minorHAnsi"/>
                <w:noProof/>
              </w:rPr>
            </w:pPr>
            <w:r>
              <w:rPr>
                <w:noProof/>
              </w:rPr>
              <w:t>C1.I2 Soutien à l'éducation des élèves ayant des besoins éducatifs spéciaux</w:t>
            </w:r>
          </w:p>
          <w:p w14:paraId="6E473B3E" w14:textId="77777777" w:rsidR="0023462A" w:rsidRDefault="0023462A">
            <w:pPr>
              <w:spacing w:after="120" w:line="240" w:lineRule="auto"/>
              <w:rPr>
                <w:rFonts w:ascii="Times New Roman" w:eastAsia="Times New Roman" w:hAnsi="Times New Roman" w:cs="Times New Roman"/>
                <w:noProof/>
              </w:rPr>
            </w:pPr>
          </w:p>
        </w:tc>
        <w:tc>
          <w:tcPr>
            <w:tcW w:w="1446" w:type="dxa"/>
            <w:tcBorders>
              <w:top w:val="single" w:sz="4" w:space="0" w:color="auto"/>
              <w:left w:val="nil"/>
              <w:bottom w:val="single" w:sz="4" w:space="0" w:color="auto"/>
              <w:right w:val="single" w:sz="4" w:space="0" w:color="auto"/>
            </w:tcBorders>
            <w:shd w:val="clear" w:color="auto" w:fill="C6EFCE"/>
            <w:vAlign w:val="center"/>
            <w:hideMark/>
          </w:tcPr>
          <w:p w14:paraId="3DB8B694" w14:textId="77777777" w:rsidR="0023462A" w:rsidRDefault="0023462A">
            <w:pPr>
              <w:spacing w:after="120" w:line="240" w:lineRule="auto"/>
              <w:rPr>
                <w:rFonts w:ascii="Times New Roman" w:hAnsi="Times New Roman" w:cs="Times New Roman"/>
                <w:noProof/>
              </w:rPr>
            </w:pPr>
          </w:p>
          <w:p w14:paraId="72412BBF" w14:textId="77777777" w:rsidR="0023462A" w:rsidRDefault="00A550FA">
            <w:pPr>
              <w:pStyle w:val="P68B1DB1-Normal80"/>
              <w:spacing w:after="120" w:line="240" w:lineRule="auto"/>
              <w:rPr>
                <w:rFonts w:eastAsia="Times New Roman"/>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hideMark/>
          </w:tcPr>
          <w:p w14:paraId="49383260" w14:textId="77777777" w:rsidR="0023462A" w:rsidRDefault="00A550FA">
            <w:pPr>
              <w:pStyle w:val="P68B1DB1-Normal80"/>
              <w:spacing w:after="120" w:line="240" w:lineRule="auto"/>
              <w:rPr>
                <w:rFonts w:eastAsia="Times New Roman"/>
                <w:noProof/>
              </w:rPr>
            </w:pPr>
            <w:r>
              <w:rPr>
                <w:noProof/>
              </w:rPr>
              <w:t>Fourniture de services d ' appui à l ' éducation des enfants ayant des besoins éducatifs spéciaux</w:t>
            </w:r>
          </w:p>
        </w:tc>
      </w:tr>
      <w:tr w:rsidR="0023462A" w14:paraId="7F687BD0" w14:textId="77777777">
        <w:tblPrEx>
          <w:tblCellMar>
            <w:top w:w="0" w:type="dxa"/>
          </w:tblCellMar>
        </w:tblPrEx>
        <w:trPr>
          <w:gridAfter w:val="1"/>
          <w:wAfter w:w="236" w:type="dxa"/>
          <w:trHeight w:val="742"/>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806C041" w14:textId="77777777" w:rsidR="0023462A" w:rsidRDefault="00A550FA">
            <w:pPr>
              <w:pStyle w:val="P68B1DB1-Normal80"/>
              <w:spacing w:after="120" w:line="240" w:lineRule="auto"/>
              <w:rPr>
                <w:rFonts w:eastAsia="Times New Roman"/>
                <w:noProof/>
              </w:rPr>
            </w:pPr>
            <w:r>
              <w:rPr>
                <w:noProof/>
              </w:rPr>
              <w:t>3</w:t>
            </w:r>
          </w:p>
        </w:tc>
        <w:tc>
          <w:tcPr>
            <w:tcW w:w="3041" w:type="dxa"/>
            <w:tcBorders>
              <w:top w:val="single" w:sz="4" w:space="0" w:color="auto"/>
              <w:left w:val="nil"/>
              <w:bottom w:val="single" w:sz="4" w:space="0" w:color="auto"/>
              <w:right w:val="single" w:sz="4" w:space="0" w:color="auto"/>
            </w:tcBorders>
            <w:shd w:val="clear" w:color="auto" w:fill="C6EFCE"/>
            <w:vAlign w:val="center"/>
            <w:hideMark/>
          </w:tcPr>
          <w:p w14:paraId="460A5B80" w14:textId="77777777" w:rsidR="0023462A" w:rsidRDefault="00A550FA">
            <w:pPr>
              <w:pStyle w:val="P68B1DB1-Normal80"/>
              <w:spacing w:after="120" w:line="240" w:lineRule="auto"/>
              <w:rPr>
                <w:rFonts w:eastAsia="Times New Roman"/>
                <w:noProof/>
              </w:rPr>
            </w:pPr>
            <w:r>
              <w:rPr>
                <w:noProof/>
              </w:rPr>
              <w:t>C1.R1 Réduction du risque de ségrégation dans les écoles</w:t>
            </w:r>
          </w:p>
        </w:tc>
        <w:tc>
          <w:tcPr>
            <w:tcW w:w="1446" w:type="dxa"/>
            <w:tcBorders>
              <w:top w:val="single" w:sz="4" w:space="0" w:color="auto"/>
              <w:left w:val="nil"/>
              <w:bottom w:val="single" w:sz="4" w:space="0" w:color="auto"/>
              <w:right w:val="single" w:sz="4" w:space="0" w:color="auto"/>
            </w:tcBorders>
            <w:shd w:val="clear" w:color="auto" w:fill="C6EFCE"/>
            <w:vAlign w:val="center"/>
            <w:hideMark/>
          </w:tcPr>
          <w:p w14:paraId="166507D5" w14:textId="77777777" w:rsidR="0023462A" w:rsidRDefault="00A550FA">
            <w:pPr>
              <w:pStyle w:val="P68B1DB1-Normal80"/>
              <w:spacing w:after="120" w:line="240" w:lineRule="auto"/>
              <w:rPr>
                <w:rFonts w:eastAsia="Times New Roman"/>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hideMark/>
          </w:tcPr>
          <w:p w14:paraId="3CEA310C" w14:textId="77777777" w:rsidR="0023462A" w:rsidRDefault="00A550FA">
            <w:pPr>
              <w:pStyle w:val="P68B1DB1-Normal80"/>
              <w:spacing w:after="120" w:line="240" w:lineRule="auto"/>
              <w:rPr>
                <w:rFonts w:eastAsia="Times New Roman"/>
                <w:noProof/>
              </w:rPr>
            </w:pPr>
            <w:r>
              <w:rPr>
                <w:noProof/>
              </w:rPr>
              <w:t>Entrée en vigueur d’un ou de plusieurs actes juridiques prévoyant la réduction du soutien de l’État aux écoles primaires et secondaires du premier cycle comptant une faible proportion d’élèves défavorisés</w:t>
            </w:r>
          </w:p>
        </w:tc>
      </w:tr>
      <w:tr w:rsidR="0023462A" w14:paraId="4E8E6DAA"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662CE53" w14:textId="77777777" w:rsidR="0023462A" w:rsidRDefault="00A550FA">
            <w:pPr>
              <w:pStyle w:val="P68B1DB1-Normal80"/>
              <w:spacing w:after="120" w:line="240" w:lineRule="auto"/>
              <w:rPr>
                <w:rFonts w:eastAsia="Times New Roman"/>
                <w:noProof/>
              </w:rPr>
            </w:pPr>
            <w:r>
              <w:rPr>
                <w:noProof/>
              </w:rPr>
              <w:t>4</w:t>
            </w:r>
          </w:p>
        </w:tc>
        <w:tc>
          <w:tcPr>
            <w:tcW w:w="3041" w:type="dxa"/>
            <w:tcBorders>
              <w:top w:val="single" w:sz="4" w:space="0" w:color="auto"/>
              <w:left w:val="nil"/>
              <w:bottom w:val="single" w:sz="4" w:space="0" w:color="auto"/>
              <w:right w:val="single" w:sz="4" w:space="0" w:color="auto"/>
            </w:tcBorders>
            <w:shd w:val="clear" w:color="auto" w:fill="C6EFCE"/>
            <w:vAlign w:val="center"/>
            <w:hideMark/>
          </w:tcPr>
          <w:p w14:paraId="7792386A" w14:textId="77777777" w:rsidR="0023462A" w:rsidRDefault="00A550FA">
            <w:pPr>
              <w:pStyle w:val="P68B1DB1-Normal80"/>
              <w:spacing w:after="120" w:line="240" w:lineRule="auto"/>
              <w:rPr>
                <w:rFonts w:eastAsia="Times New Roman"/>
                <w:noProof/>
              </w:rPr>
            </w:pPr>
            <w:r>
              <w:rPr>
                <w:noProof/>
              </w:rPr>
              <w:t>C1.R2 Améliorer l'attractivité de la profession enseignante</w:t>
            </w:r>
          </w:p>
        </w:tc>
        <w:tc>
          <w:tcPr>
            <w:tcW w:w="1446" w:type="dxa"/>
            <w:tcBorders>
              <w:top w:val="single" w:sz="4" w:space="0" w:color="auto"/>
              <w:left w:val="nil"/>
              <w:bottom w:val="single" w:sz="4" w:space="0" w:color="auto"/>
              <w:right w:val="single" w:sz="4" w:space="0" w:color="auto"/>
            </w:tcBorders>
            <w:shd w:val="clear" w:color="auto" w:fill="C6EFCE"/>
            <w:vAlign w:val="center"/>
            <w:hideMark/>
          </w:tcPr>
          <w:p w14:paraId="3F8B3AC9" w14:textId="77777777" w:rsidR="0023462A" w:rsidRDefault="00A550FA">
            <w:pPr>
              <w:pStyle w:val="P68B1DB1-Normal80"/>
              <w:spacing w:after="120" w:line="240" w:lineRule="auto"/>
              <w:rPr>
                <w:rFonts w:eastAsia="Times New Roman"/>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hideMark/>
          </w:tcPr>
          <w:p w14:paraId="5B5B09A9" w14:textId="77777777" w:rsidR="0023462A" w:rsidRDefault="00A550FA">
            <w:pPr>
              <w:pStyle w:val="P68B1DB1-Normal80"/>
              <w:spacing w:after="120" w:line="240" w:lineRule="auto"/>
              <w:rPr>
                <w:rFonts w:eastAsia="Times New Roman"/>
                <w:noProof/>
              </w:rPr>
            </w:pPr>
            <w:r>
              <w:rPr>
                <w:noProof/>
              </w:rPr>
              <w:t xml:space="preserve">Entrée en vigueur d’un ou de plusieurs actes juridiques visant à augmenter les salaires des enseignants dans le système d’enseignement public </w:t>
            </w:r>
          </w:p>
        </w:tc>
      </w:tr>
      <w:tr w:rsidR="0023462A" w14:paraId="5389D542"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4911E15B" w14:textId="77777777" w:rsidR="0023462A" w:rsidRDefault="00A550FA">
            <w:pPr>
              <w:pStyle w:val="P68B1DB1-Normal80"/>
              <w:spacing w:after="120" w:line="240" w:lineRule="auto"/>
              <w:rPr>
                <w:noProof/>
              </w:rPr>
            </w:pPr>
            <w:r>
              <w:rPr>
                <w:noProof/>
              </w:rPr>
              <w:t>5</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4DFF4EA7" w14:textId="77777777" w:rsidR="0023462A" w:rsidRDefault="00A550FA">
            <w:pPr>
              <w:pStyle w:val="P68B1DB1-Normal80"/>
              <w:spacing w:after="120" w:line="240" w:lineRule="auto"/>
              <w:rPr>
                <w:noProof/>
              </w:rPr>
            </w:pPr>
            <w:r>
              <w:rPr>
                <w:noProof/>
              </w:rPr>
              <w:t>C1.I3 Construction de structures de garde d'enfants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56793A67" w14:textId="77777777" w:rsidR="0023462A" w:rsidRDefault="00A550FA">
            <w:pPr>
              <w:pStyle w:val="P68B1DB1-Normal80"/>
              <w:spacing w:after="120" w:line="240" w:lineRule="auto"/>
              <w:rPr>
                <w:noProof/>
              </w:rPr>
            </w:pPr>
            <w:r>
              <w:rPr>
                <w:noProof/>
              </w:rPr>
              <w:t>Objectif</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03C2642D" w14:textId="77777777" w:rsidR="0023462A" w:rsidRDefault="00A550FA">
            <w:pPr>
              <w:pStyle w:val="P68B1DB1-Normal80"/>
              <w:spacing w:after="120" w:line="240" w:lineRule="auto"/>
              <w:rPr>
                <w:noProof/>
              </w:rPr>
            </w:pPr>
            <w:r>
              <w:rPr>
                <w:noProof/>
              </w:rPr>
              <w:t xml:space="preserve">Établissements de garde d'enfants construits </w:t>
            </w:r>
          </w:p>
        </w:tc>
      </w:tr>
      <w:tr w:rsidR="0023462A" w14:paraId="2BE2E413"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69C726AE" w14:textId="77777777" w:rsidR="0023462A" w:rsidRDefault="00A550FA">
            <w:pPr>
              <w:pStyle w:val="P68B1DB1-Normal80"/>
              <w:spacing w:after="120" w:line="240" w:lineRule="auto"/>
              <w:rPr>
                <w:noProof/>
              </w:rPr>
            </w:pPr>
            <w:r>
              <w:rPr>
                <w:noProof/>
              </w:rPr>
              <w:t>6</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1823DC05" w14:textId="77777777" w:rsidR="0023462A" w:rsidRDefault="00A550FA">
            <w:pPr>
              <w:pStyle w:val="P68B1DB1-Normal80"/>
              <w:spacing w:after="120" w:line="240" w:lineRule="auto"/>
              <w:rPr>
                <w:noProof/>
              </w:rPr>
            </w:pPr>
            <w:r>
              <w:rPr>
                <w:noProof/>
              </w:rPr>
              <w:t>C1.I4 Modernisation des infrastructures scolaires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32BC7A7E" w14:textId="77777777" w:rsidR="0023462A" w:rsidRDefault="00A550FA">
            <w:pPr>
              <w:pStyle w:val="P68B1DB1-Normal80"/>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03B402FA" w14:textId="77777777" w:rsidR="0023462A" w:rsidRDefault="00A550FA">
            <w:pPr>
              <w:pStyle w:val="P68B1DB1-Normal80"/>
              <w:spacing w:after="120" w:line="240" w:lineRule="auto"/>
              <w:rPr>
                <w:noProof/>
              </w:rPr>
            </w:pPr>
            <w:r>
              <w:rPr>
                <w:noProof/>
              </w:rPr>
              <w:t>Construction et rénovation d'installations scolaires</w:t>
            </w:r>
          </w:p>
        </w:tc>
      </w:tr>
      <w:tr w:rsidR="0023462A" w14:paraId="08B6D348"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3A5469AB" w14:textId="77777777" w:rsidR="0023462A" w:rsidRDefault="00A550FA">
            <w:pPr>
              <w:pStyle w:val="P68B1DB1-Normal80"/>
              <w:spacing w:after="120" w:line="240" w:lineRule="auto"/>
              <w:rPr>
                <w:noProof/>
              </w:rPr>
            </w:pPr>
            <w:r>
              <w:rPr>
                <w:noProof/>
              </w:rPr>
              <w:t>7</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5366AADF" w14:textId="77777777" w:rsidR="0023462A" w:rsidRDefault="00A550FA">
            <w:pPr>
              <w:pStyle w:val="P68B1DB1-Normal80"/>
              <w:spacing w:after="120" w:line="240" w:lineRule="auto"/>
              <w:rPr>
                <w:noProof/>
              </w:rPr>
            </w:pPr>
            <w:r>
              <w:rPr>
                <w:noProof/>
              </w:rPr>
              <w:t>C2.R1 Modernisation des programmes d'enseignement supérieur</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24B6207A" w14:textId="77777777" w:rsidR="0023462A" w:rsidRDefault="0023462A">
            <w:pPr>
              <w:spacing w:after="120" w:line="240" w:lineRule="auto"/>
              <w:rPr>
                <w:rFonts w:ascii="Times New Roman" w:hAnsi="Times New Roman" w:cs="Times New Roman"/>
                <w:noProof/>
              </w:rPr>
            </w:pPr>
          </w:p>
          <w:p w14:paraId="7A08BEA2" w14:textId="77777777" w:rsidR="0023462A" w:rsidRDefault="00A550FA">
            <w:pPr>
              <w:pStyle w:val="P68B1DB1-Normal80"/>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3C8656A5" w14:textId="77777777" w:rsidR="0023462A" w:rsidRDefault="00A550FA">
            <w:pPr>
              <w:pStyle w:val="P68B1DB1-Normal80"/>
              <w:spacing w:after="120" w:line="240" w:lineRule="auto"/>
              <w:rPr>
                <w:noProof/>
              </w:rPr>
            </w:pPr>
            <w:r>
              <w:rPr>
                <w:noProof/>
              </w:rPr>
              <w:t>Révision des programmes d'enseignement supérieur</w:t>
            </w:r>
          </w:p>
        </w:tc>
      </w:tr>
      <w:tr w:rsidR="0023462A" w14:paraId="0AA707DF"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68D434BD" w14:textId="77777777" w:rsidR="0023462A" w:rsidRDefault="00A550FA">
            <w:pPr>
              <w:pStyle w:val="P68B1DB1-Normal80"/>
              <w:spacing w:after="120" w:line="240" w:lineRule="auto"/>
              <w:rPr>
                <w:noProof/>
              </w:rPr>
            </w:pPr>
            <w:r>
              <w:rPr>
                <w:noProof/>
              </w:rPr>
              <w:t>8</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2FF830B8" w14:textId="77777777" w:rsidR="0023462A" w:rsidRDefault="00A550FA">
            <w:pPr>
              <w:pStyle w:val="P68B1DB1-Normal80"/>
              <w:spacing w:after="120" w:line="240" w:lineRule="auto"/>
              <w:rPr>
                <w:noProof/>
              </w:rPr>
            </w:pPr>
            <w:r>
              <w:rPr>
                <w:noProof/>
              </w:rPr>
              <w:t xml:space="preserve">C2.I1 Innovation institutionnelle dans l'enseignement supérieur </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5F71D88F" w14:textId="77777777" w:rsidR="0023462A" w:rsidRDefault="00A550FA">
            <w:pPr>
              <w:pStyle w:val="P68B1DB1-Normal80"/>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2D8DDE5C" w14:textId="77777777" w:rsidR="0023462A" w:rsidRDefault="00A550FA">
            <w:pPr>
              <w:pStyle w:val="P68B1DB1-CommentText81"/>
              <w:spacing w:after="120"/>
              <w:jc w:val="left"/>
              <w:rPr>
                <w:rFonts w:eastAsia="Times New Roman"/>
                <w:noProof/>
              </w:rPr>
            </w:pPr>
            <w:r>
              <w:rPr>
                <w:noProof/>
              </w:rPr>
              <w:t>Matériel d’apprentissage numérique accessible dans l’enseignement supérieur</w:t>
            </w:r>
          </w:p>
          <w:p w14:paraId="3698454A" w14:textId="77777777" w:rsidR="0023462A" w:rsidRDefault="0023462A">
            <w:pPr>
              <w:pStyle w:val="Header"/>
              <w:spacing w:after="120" w:line="240" w:lineRule="auto"/>
              <w:rPr>
                <w:rFonts w:ascii="Times New Roman" w:hAnsi="Times New Roman" w:cs="Times New Roman"/>
                <w:noProof/>
              </w:rPr>
            </w:pPr>
          </w:p>
        </w:tc>
      </w:tr>
      <w:tr w:rsidR="0023462A" w14:paraId="34BBD79A"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44E59D46" w14:textId="77777777" w:rsidR="0023462A" w:rsidRDefault="00A550FA">
            <w:pPr>
              <w:pStyle w:val="P68B1DB1-Normal80"/>
              <w:spacing w:after="120" w:line="240" w:lineRule="auto"/>
              <w:rPr>
                <w:noProof/>
              </w:rPr>
            </w:pPr>
            <w:r>
              <w:rPr>
                <w:noProof/>
              </w:rPr>
              <w:t>9</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37CF672A" w14:textId="77777777" w:rsidR="0023462A" w:rsidRDefault="00A550FA">
            <w:pPr>
              <w:pStyle w:val="P68B1DB1-Normal80"/>
              <w:spacing w:after="120" w:line="240" w:lineRule="auto"/>
              <w:rPr>
                <w:noProof/>
              </w:rPr>
            </w:pPr>
            <w:r>
              <w:rPr>
                <w:noProof/>
              </w:rPr>
              <w:t>C2.I2 Modernisation des infrastructures et numérisation dans les établissements d’enseignement supérieur</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2AB57CD8" w14:textId="77777777" w:rsidR="0023462A" w:rsidRDefault="00A550FA">
            <w:pPr>
              <w:pStyle w:val="P68B1DB1-Normal80"/>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0F8321FE" w14:textId="77777777" w:rsidR="0023462A" w:rsidRDefault="00A550FA">
            <w:pPr>
              <w:pStyle w:val="P68B1DB1-Header82"/>
              <w:spacing w:after="120" w:line="240" w:lineRule="auto"/>
              <w:rPr>
                <w:noProof/>
              </w:rPr>
            </w:pPr>
            <w:r>
              <w:rPr>
                <w:noProof/>
              </w:rPr>
              <w:t>Rénovation de l'efficacité énergétique des infrastructures des bâtiments et construction de nouveaux bâtiments dans les établissements d'enseignement supérieur</w:t>
            </w:r>
          </w:p>
        </w:tc>
      </w:tr>
      <w:tr w:rsidR="0023462A" w14:paraId="15101D39"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254B0FFB" w14:textId="77777777" w:rsidR="0023462A" w:rsidRDefault="00A550FA">
            <w:pPr>
              <w:pStyle w:val="P68B1DB1-Normal80"/>
              <w:spacing w:after="120" w:line="240" w:lineRule="auto"/>
              <w:rPr>
                <w:noProof/>
              </w:rPr>
            </w:pPr>
            <w:r>
              <w:rPr>
                <w:noProof/>
              </w:rPr>
              <w:t>10</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4BB0CC47" w14:textId="77777777" w:rsidR="0023462A" w:rsidRDefault="00A550FA">
            <w:pPr>
              <w:pStyle w:val="P68B1DB1-Normal80"/>
              <w:spacing w:after="120" w:line="240" w:lineRule="auto"/>
              <w:rPr>
                <w:noProof/>
              </w:rPr>
            </w:pPr>
            <w:r>
              <w:rPr>
                <w:noProof/>
              </w:rPr>
              <w:t xml:space="preserve">C2.I3 Infrastructures d'enseignement et de formation professionnels pour le XXIe siècle </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58998D31" w14:textId="77777777" w:rsidR="0023462A" w:rsidRDefault="00A550FA">
            <w:pPr>
              <w:pStyle w:val="P68B1DB1-Normal80"/>
              <w:spacing w:after="120" w:line="240" w:lineRule="auto"/>
              <w:rPr>
                <w:noProof/>
              </w:rPr>
            </w:pPr>
            <w:r>
              <w:rPr>
                <w:noProof/>
              </w:rPr>
              <w:t>Objectif</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15CA82FF" w14:textId="77777777" w:rsidR="0023462A" w:rsidRDefault="00A550FA">
            <w:pPr>
              <w:pStyle w:val="P68B1DB1-Header82"/>
              <w:spacing w:after="120" w:line="240" w:lineRule="auto"/>
              <w:rPr>
                <w:noProof/>
              </w:rPr>
            </w:pPr>
            <w:r>
              <w:rPr>
                <w:noProof/>
              </w:rPr>
              <w:t>Centres d'enseignement et de formation professionnels équipés et dotés d'infrastructures améliorées</w:t>
            </w:r>
          </w:p>
        </w:tc>
      </w:tr>
      <w:tr w:rsidR="0023462A" w14:paraId="1BC8A476"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263DCA1B" w14:textId="77777777" w:rsidR="0023462A" w:rsidRDefault="00A550FA">
            <w:pPr>
              <w:pStyle w:val="P68B1DB1-Normal80"/>
              <w:spacing w:after="120" w:line="240" w:lineRule="auto"/>
              <w:rPr>
                <w:noProof/>
              </w:rPr>
            </w:pPr>
            <w:r>
              <w:rPr>
                <w:noProof/>
              </w:rPr>
              <w:t>11</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2B7F42B4" w14:textId="77777777" w:rsidR="0023462A" w:rsidRDefault="00A550FA">
            <w:pPr>
              <w:pStyle w:val="P68B1DB1-Normal80"/>
              <w:spacing w:after="120" w:line="240" w:lineRule="auto"/>
              <w:rPr>
                <w:noProof/>
              </w:rPr>
            </w:pPr>
            <w:r>
              <w:rPr>
                <w:noProof/>
              </w:rPr>
              <w:t xml:space="preserve">C2.I4 Développement du Centre central d'examen </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4C2EC583" w14:textId="77777777" w:rsidR="0023462A" w:rsidRDefault="00A550FA">
            <w:pPr>
              <w:pStyle w:val="P68B1DB1-Normal80"/>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395C0F6D" w14:textId="77777777" w:rsidR="0023462A" w:rsidRDefault="00A550FA">
            <w:pPr>
              <w:pStyle w:val="P68B1DB1-Header82"/>
              <w:spacing w:after="120" w:line="240" w:lineRule="auto"/>
              <w:rPr>
                <w:noProof/>
              </w:rPr>
            </w:pPr>
            <w:r>
              <w:rPr>
                <w:noProof/>
              </w:rPr>
              <w:t xml:space="preserve">Rénovation du Centre central d'examen </w:t>
            </w:r>
          </w:p>
        </w:tc>
      </w:tr>
      <w:tr w:rsidR="0023462A" w14:paraId="684DA52A"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7B5A10DD" w14:textId="77777777" w:rsidR="0023462A" w:rsidRDefault="00A550FA">
            <w:pPr>
              <w:pStyle w:val="P68B1DB1-Normal80"/>
              <w:spacing w:after="120" w:line="240" w:lineRule="auto"/>
              <w:rPr>
                <w:noProof/>
              </w:rPr>
            </w:pPr>
            <w:r>
              <w:rPr>
                <w:noProof/>
              </w:rPr>
              <w:t xml:space="preserve"> 12</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4945F1DC" w14:textId="77777777" w:rsidR="0023462A" w:rsidRDefault="00A550FA">
            <w:pPr>
              <w:pStyle w:val="P68B1DB1-Normal80"/>
              <w:spacing w:after="120" w:line="240" w:lineRule="auto"/>
              <w:rPr>
                <w:noProof/>
              </w:rPr>
            </w:pPr>
            <w:r>
              <w:rPr>
                <w:noProof/>
              </w:rPr>
              <w:t>C2.I5 Soutien à la recherche et au développement</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1B5C5D44" w14:textId="77777777" w:rsidR="0023462A" w:rsidRDefault="00A550FA">
            <w:pPr>
              <w:pStyle w:val="P68B1DB1-Normal80"/>
              <w:spacing w:after="120" w:line="240" w:lineRule="auto"/>
              <w:rPr>
                <w:noProof/>
              </w:rPr>
            </w:pPr>
            <w:r>
              <w:rPr>
                <w:noProof/>
              </w:rPr>
              <w:t>Objectif</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4172B319" w14:textId="77777777" w:rsidR="0023462A" w:rsidRDefault="00A550FA">
            <w:pPr>
              <w:pStyle w:val="P68B1DB1-Header82"/>
              <w:spacing w:after="120" w:line="240" w:lineRule="auto"/>
              <w:rPr>
                <w:noProof/>
              </w:rPr>
            </w:pPr>
            <w:r>
              <w:rPr>
                <w:noProof/>
              </w:rPr>
              <w:t>Soutenir les institutions de recherche</w:t>
            </w:r>
          </w:p>
        </w:tc>
      </w:tr>
      <w:tr w:rsidR="0023462A" w14:paraId="59089DF0"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05C6295B" w14:textId="77777777" w:rsidR="0023462A" w:rsidRDefault="00A550FA">
            <w:pPr>
              <w:pStyle w:val="P68B1DB1-Normal80"/>
              <w:spacing w:after="120" w:line="240" w:lineRule="auto"/>
              <w:rPr>
                <w:noProof/>
              </w:rPr>
            </w:pPr>
            <w:r>
              <w:rPr>
                <w:noProof/>
              </w:rPr>
              <w:t>13</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1E2D4D85" w14:textId="77777777" w:rsidR="0023462A" w:rsidRDefault="00A550FA">
            <w:pPr>
              <w:pStyle w:val="P68B1DB1-Normal80"/>
              <w:spacing w:after="120" w:line="240" w:lineRule="auto"/>
              <w:rPr>
                <w:noProof/>
              </w:rPr>
            </w:pPr>
            <w:r>
              <w:rPr>
                <w:noProof/>
              </w:rPr>
              <w:t>C3.I1 Production et utilisation des énergies renouvelables dans les municipalités défavorisées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4B03A967" w14:textId="77777777" w:rsidR="0023462A" w:rsidRDefault="00A550FA">
            <w:pPr>
              <w:pStyle w:val="P68B1DB1-Normal80"/>
              <w:spacing w:after="120" w:line="240" w:lineRule="auto"/>
              <w:rPr>
                <w:noProof/>
              </w:rPr>
            </w:pPr>
            <w:r>
              <w:rPr>
                <w:noProof/>
              </w:rPr>
              <w:t>Objectif</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6686B633" w14:textId="77777777" w:rsidR="0023462A" w:rsidRDefault="00A550FA">
            <w:pPr>
              <w:pStyle w:val="P68B1DB1-Normal80"/>
              <w:spacing w:after="120" w:line="240" w:lineRule="auto"/>
              <w:rPr>
                <w:rFonts w:eastAsiaTheme="minorHAnsi"/>
                <w:noProof/>
              </w:rPr>
            </w:pPr>
            <w:r>
              <w:rPr>
                <w:noProof/>
              </w:rPr>
              <w:t xml:space="preserve">Installation d’une capacité de production d’énergie renouvelable au profit des ménages des municipalités sélectionnées dans le cadre du programme de rattrapage des établissements </w:t>
            </w:r>
          </w:p>
        </w:tc>
      </w:tr>
      <w:tr w:rsidR="0023462A" w14:paraId="33713D10"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3A9FF11B" w14:textId="77777777" w:rsidR="0023462A" w:rsidRDefault="00A550FA">
            <w:pPr>
              <w:pStyle w:val="P68B1DB1-Normal80"/>
              <w:spacing w:after="120" w:line="240" w:lineRule="auto"/>
              <w:rPr>
                <w:noProof/>
              </w:rPr>
            </w:pPr>
            <w:r>
              <w:rPr>
                <w:noProof/>
              </w:rPr>
              <w:t>14</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24F16862" w14:textId="77777777" w:rsidR="0023462A" w:rsidRDefault="00A550FA">
            <w:pPr>
              <w:pStyle w:val="P68B1DB1-Normal80"/>
              <w:spacing w:after="120" w:line="240" w:lineRule="auto"/>
              <w:rPr>
                <w:noProof/>
              </w:rPr>
            </w:pPr>
            <w:r>
              <w:rPr>
                <w:noProof/>
              </w:rPr>
              <w:t>C3.I2 Promouvoir l'emploi et le développement des compétences en fonction des spécificités locales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5C3E4DB1" w14:textId="77777777" w:rsidR="0023462A" w:rsidRDefault="00A550FA">
            <w:pPr>
              <w:pStyle w:val="P68B1DB1-Normal80"/>
              <w:spacing w:after="120" w:line="240" w:lineRule="auto"/>
              <w:rPr>
                <w:noProof/>
              </w:rPr>
            </w:pPr>
            <w:r>
              <w:rPr>
                <w:noProof/>
              </w:rPr>
              <w:t>Objectif</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5D377430" w14:textId="77777777" w:rsidR="0023462A" w:rsidRDefault="00A550FA">
            <w:pPr>
              <w:pStyle w:val="P68B1DB1-Normal80"/>
              <w:spacing w:after="120" w:line="240" w:lineRule="auto"/>
              <w:rPr>
                <w:noProof/>
              </w:rPr>
            </w:pPr>
            <w:r>
              <w:rPr>
                <w:noProof/>
              </w:rPr>
              <w:t>Participation aux programmes de socialisation du travail</w:t>
            </w:r>
          </w:p>
        </w:tc>
      </w:tr>
      <w:tr w:rsidR="0023462A" w14:paraId="4E9EF498"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1A4070AC" w14:textId="77777777" w:rsidR="0023462A" w:rsidRDefault="00A550FA">
            <w:pPr>
              <w:pStyle w:val="P68B1DB1-Normal80"/>
              <w:spacing w:after="120" w:line="240" w:lineRule="auto"/>
              <w:rPr>
                <w:noProof/>
              </w:rPr>
            </w:pPr>
            <w:r>
              <w:rPr>
                <w:noProof/>
              </w:rPr>
              <w:t>15</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352F3281" w14:textId="77777777" w:rsidR="0023462A" w:rsidRDefault="00A550FA">
            <w:pPr>
              <w:pStyle w:val="P68B1DB1-Normal80"/>
              <w:spacing w:after="120" w:line="240" w:lineRule="auto"/>
              <w:rPr>
                <w:noProof/>
              </w:rPr>
            </w:pPr>
            <w:r>
              <w:rPr>
                <w:noProof/>
              </w:rPr>
              <w:t>C3.I3 Pédagogie orientée vers la communauté</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6EB1454B" w14:textId="77777777" w:rsidR="0023462A" w:rsidRDefault="00A550FA">
            <w:pPr>
              <w:pStyle w:val="P68B1DB1-Normal80"/>
              <w:spacing w:after="120" w:line="240" w:lineRule="auto"/>
              <w:rPr>
                <w:noProof/>
              </w:rPr>
            </w:pPr>
            <w:r>
              <w:rPr>
                <w:noProof/>
              </w:rPr>
              <w:t>Objectif</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21BC448F" w14:textId="77777777" w:rsidR="0023462A" w:rsidRDefault="00A550FA">
            <w:pPr>
              <w:spacing w:after="120" w:line="240" w:lineRule="auto"/>
              <w:rPr>
                <w:rFonts w:ascii="Times New Roman" w:hAnsi="Times New Roman" w:cs="Times New Roman"/>
                <w:noProof/>
              </w:rPr>
            </w:pPr>
            <w:r>
              <w:rPr>
                <w:rFonts w:ascii="Times New Roman" w:hAnsi="Times New Roman" w:cs="Times New Roman"/>
                <w:noProof/>
              </w:rPr>
              <w:t xml:space="preserve">Développement pédagogique des établissements publics d'enseignement </w:t>
            </w:r>
            <w:r>
              <w:rPr>
                <w:rStyle w:val="normaltextrun"/>
                <w:rFonts w:ascii="Times New Roman" w:hAnsi="Times New Roman" w:cs="Times New Roman"/>
                <w:noProof/>
                <w:bdr w:val="none" w:sz="0" w:space="0" w:color="auto" w:frame="1"/>
              </w:rPr>
              <w:t xml:space="preserve">ou de formation professionnelle </w:t>
            </w:r>
          </w:p>
        </w:tc>
      </w:tr>
      <w:tr w:rsidR="0023462A" w14:paraId="2E664FFF"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431A5278" w14:textId="77777777" w:rsidR="0023462A" w:rsidRDefault="00A550FA">
            <w:pPr>
              <w:pStyle w:val="P68B1DB1-Normal80"/>
              <w:spacing w:after="120" w:line="240" w:lineRule="auto"/>
              <w:rPr>
                <w:noProof/>
              </w:rPr>
            </w:pPr>
            <w:r>
              <w:rPr>
                <w:noProof/>
              </w:rPr>
              <w:t>16</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63DAAAF8" w14:textId="77777777" w:rsidR="0023462A" w:rsidRDefault="00A550FA">
            <w:pPr>
              <w:pStyle w:val="P68B1DB1-Normal80"/>
              <w:spacing w:after="120" w:line="240" w:lineRule="auto"/>
              <w:rPr>
                <w:noProof/>
              </w:rPr>
            </w:pPr>
            <w:r>
              <w:rPr>
                <w:noProof/>
              </w:rPr>
              <w:t>C4.R1 Sensibilisation - eau</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56DDE314" w14:textId="77777777" w:rsidR="0023462A" w:rsidRDefault="00A550FA">
            <w:pPr>
              <w:pStyle w:val="P68B1DB1-Normal80"/>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195D6131" w14:textId="77777777" w:rsidR="0023462A" w:rsidRDefault="00A550FA">
            <w:pPr>
              <w:pStyle w:val="P68B1DB1-Normal83"/>
              <w:spacing w:after="120" w:line="240" w:lineRule="auto"/>
              <w:rPr>
                <w:noProof/>
              </w:rPr>
            </w:pPr>
            <w:r>
              <w:rPr>
                <w:noProof/>
              </w:rPr>
              <w:t xml:space="preserve">Adoption d'un plan d'action pour une gestion durable de l'eau </w:t>
            </w:r>
          </w:p>
        </w:tc>
      </w:tr>
      <w:tr w:rsidR="0023462A" w14:paraId="378ACDF8"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2617B025" w14:textId="77777777" w:rsidR="0023462A" w:rsidRDefault="00A550FA">
            <w:pPr>
              <w:pStyle w:val="P68B1DB1-Normal80"/>
              <w:spacing w:after="120" w:line="240" w:lineRule="auto"/>
              <w:rPr>
                <w:noProof/>
              </w:rPr>
            </w:pPr>
            <w:r>
              <w:rPr>
                <w:noProof/>
              </w:rPr>
              <w:t>17</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75CD525B" w14:textId="77777777" w:rsidR="0023462A" w:rsidRDefault="00A550FA">
            <w:pPr>
              <w:pStyle w:val="P68B1DB1-Normal80"/>
              <w:spacing w:after="120" w:line="240" w:lineRule="auto"/>
              <w:rPr>
                <w:noProof/>
              </w:rPr>
            </w:pPr>
            <w:r>
              <w:rPr>
                <w:noProof/>
              </w:rPr>
              <w:t>C4.R1 Sensibilisation - eau</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60DD61DF" w14:textId="77777777" w:rsidR="0023462A" w:rsidRDefault="00A550FA">
            <w:pPr>
              <w:pStyle w:val="P68B1DB1-Normal80"/>
              <w:spacing w:after="120" w:line="240" w:lineRule="auto"/>
              <w:rPr>
                <w:noProof/>
              </w:rPr>
            </w:pPr>
            <w:r>
              <w:rPr>
                <w:noProof/>
              </w:rPr>
              <w:t>Objectif</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280088BF" w14:textId="73BF4FB6" w:rsidR="0023462A" w:rsidRDefault="00A550FA">
            <w:pPr>
              <w:pStyle w:val="P68B1DB1-Normal83"/>
              <w:spacing w:after="120" w:line="240" w:lineRule="auto"/>
              <w:rPr>
                <w:noProof/>
              </w:rPr>
            </w:pPr>
            <w:r>
              <w:rPr>
                <w:noProof/>
              </w:rPr>
              <w:t xml:space="preserve">Nombre d’hectares d’interventions de rétention d’eau </w:t>
            </w:r>
          </w:p>
        </w:tc>
      </w:tr>
      <w:tr w:rsidR="0023462A" w14:paraId="671AC4B0"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630C80FA" w14:textId="77777777" w:rsidR="0023462A" w:rsidRDefault="00A550FA">
            <w:pPr>
              <w:pStyle w:val="P68B1DB1-Normal80"/>
              <w:spacing w:after="120" w:line="240" w:lineRule="auto"/>
              <w:rPr>
                <w:noProof/>
              </w:rPr>
            </w:pPr>
            <w:r>
              <w:rPr>
                <w:noProof/>
              </w:rPr>
              <w:t>18</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71BCE782" w14:textId="77777777" w:rsidR="0023462A" w:rsidRDefault="00A550FA">
            <w:pPr>
              <w:pStyle w:val="P68B1DB1-Normal80"/>
              <w:spacing w:after="120" w:line="240" w:lineRule="auto"/>
              <w:rPr>
                <w:noProof/>
              </w:rPr>
            </w:pPr>
            <w:r>
              <w:rPr>
                <w:noProof/>
              </w:rPr>
              <w:t>C4.I1 Protection de la nature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770A6D9E" w14:textId="77777777" w:rsidR="0023462A" w:rsidRDefault="00A550FA">
            <w:pPr>
              <w:pStyle w:val="P68B1DB1-Normal80"/>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661C4F4A" w14:textId="77777777" w:rsidR="0023462A" w:rsidRDefault="00A550FA">
            <w:pPr>
              <w:pStyle w:val="P68B1DB1-Normal83"/>
              <w:spacing w:after="120" w:line="240" w:lineRule="auto"/>
              <w:rPr>
                <w:noProof/>
              </w:rPr>
            </w:pPr>
            <w:r>
              <w:rPr>
                <w:noProof/>
              </w:rPr>
              <w:t>Livraison de la station de pompage de Kvassay – Phase 2</w:t>
            </w:r>
          </w:p>
        </w:tc>
      </w:tr>
      <w:tr w:rsidR="0023462A" w14:paraId="11C26230"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08F888FB" w14:textId="77777777" w:rsidR="0023462A" w:rsidRDefault="00A550FA">
            <w:pPr>
              <w:pStyle w:val="P68B1DB1-Normal80"/>
              <w:spacing w:after="120" w:line="240" w:lineRule="auto"/>
              <w:rPr>
                <w:noProof/>
              </w:rPr>
            </w:pPr>
            <w:r>
              <w:rPr>
                <w:noProof/>
              </w:rPr>
              <w:t>19</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41ABAE05" w14:textId="77777777" w:rsidR="0023462A" w:rsidRDefault="00A550FA">
            <w:pPr>
              <w:pStyle w:val="P68B1DB1-Normal80"/>
              <w:spacing w:after="120" w:line="240" w:lineRule="auto"/>
              <w:rPr>
                <w:noProof/>
              </w:rPr>
            </w:pPr>
            <w:r>
              <w:rPr>
                <w:noProof/>
              </w:rPr>
              <w:t>C4.R2 Réglementation interne de la transition vers une économie circulaire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723FCF6E" w14:textId="77777777" w:rsidR="0023462A" w:rsidRDefault="00A550FA">
            <w:pPr>
              <w:pStyle w:val="P68B1DB1-Normal80"/>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15059218" w14:textId="77777777" w:rsidR="0023462A" w:rsidRDefault="00A550FA">
            <w:pPr>
              <w:pStyle w:val="P68B1DB1-Normal80"/>
              <w:spacing w:after="120" w:line="240" w:lineRule="auto"/>
              <w:rPr>
                <w:noProof/>
              </w:rPr>
            </w:pPr>
            <w:r>
              <w:rPr>
                <w:noProof/>
              </w:rPr>
              <w:t>Entrée en vigueur du ou des actes juridiques nécessaires à la mise en œuvre des pratiques de gestion des déchets et adoption d’un plan national de gestion des déchets</w:t>
            </w:r>
          </w:p>
        </w:tc>
      </w:tr>
      <w:tr w:rsidR="0023462A" w14:paraId="0D784A67"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693D7924" w14:textId="77777777" w:rsidR="0023462A" w:rsidRDefault="00A550FA">
            <w:pPr>
              <w:pStyle w:val="P68B1DB1-Normal80"/>
              <w:spacing w:after="120" w:line="240" w:lineRule="auto"/>
              <w:rPr>
                <w:noProof/>
              </w:rPr>
            </w:pPr>
            <w:r>
              <w:rPr>
                <w:noProof/>
              </w:rPr>
              <w:t>20</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765D52A2" w14:textId="77777777" w:rsidR="0023462A" w:rsidRDefault="00A550FA">
            <w:pPr>
              <w:pStyle w:val="P68B1DB1-Normal80"/>
              <w:spacing w:after="120" w:line="240" w:lineRule="auto"/>
              <w:rPr>
                <w:noProof/>
              </w:rPr>
            </w:pPr>
            <w:r>
              <w:rPr>
                <w:noProof/>
              </w:rPr>
              <w:t xml:space="preserve">C4.R3: Plan d'action pour les activités locales de sensibilisation </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75381B04" w14:textId="77777777" w:rsidR="0023462A" w:rsidRDefault="00A550FA">
            <w:pPr>
              <w:pStyle w:val="P68B1DB1-Normal80"/>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04716690" w14:textId="77777777" w:rsidR="0023462A" w:rsidRDefault="00A550FA">
            <w:pPr>
              <w:pStyle w:val="P68B1DB1-Normal80"/>
              <w:spacing w:after="120" w:line="240" w:lineRule="auto"/>
              <w:rPr>
                <w:noProof/>
              </w:rPr>
            </w:pPr>
            <w:r>
              <w:rPr>
                <w:noProof/>
              </w:rPr>
              <w:t>Adoption d'un plan d'action national en matière de communication</w:t>
            </w:r>
          </w:p>
        </w:tc>
      </w:tr>
      <w:tr w:rsidR="0023462A" w14:paraId="5157FF3C"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5ACB0BB6" w14:textId="77777777" w:rsidR="0023462A" w:rsidRDefault="00A550FA">
            <w:pPr>
              <w:pStyle w:val="P68B1DB1-Normal80"/>
              <w:spacing w:after="120" w:line="240" w:lineRule="auto"/>
              <w:rPr>
                <w:noProof/>
              </w:rPr>
            </w:pPr>
            <w:r>
              <w:rPr>
                <w:noProof/>
              </w:rPr>
              <w:t>21</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3A8D2B18" w14:textId="025F6F38" w:rsidR="0023462A" w:rsidRDefault="00A550FA">
            <w:pPr>
              <w:pStyle w:val="P68B1DB1-Normal80"/>
              <w:spacing w:after="120" w:line="240" w:lineRule="auto"/>
              <w:rPr>
                <w:noProof/>
              </w:rPr>
            </w:pPr>
            <w:r>
              <w:rPr>
                <w:noProof/>
              </w:rPr>
              <w:t>C5.I1 Développement d'une ligne de chemin de fer de banlieue </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54BB19B9" w14:textId="77777777" w:rsidR="0023462A" w:rsidRDefault="00A550FA">
            <w:pPr>
              <w:pStyle w:val="P68B1DB1-Normal80"/>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28D6BE87" w14:textId="77777777" w:rsidR="0023462A" w:rsidRDefault="00A550FA">
            <w:pPr>
              <w:pStyle w:val="P68B1DB1-Normal80"/>
              <w:spacing w:after="120" w:line="240" w:lineRule="auto"/>
              <w:rPr>
                <w:noProof/>
              </w:rPr>
            </w:pPr>
            <w:r>
              <w:rPr>
                <w:noProof/>
              </w:rPr>
              <w:t>Travaux relatifs au tronçon ferroviaire Debrecen-Balmazújváros </w:t>
            </w:r>
          </w:p>
        </w:tc>
      </w:tr>
      <w:tr w:rsidR="0023462A" w14:paraId="2BE05FC2"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37E7717F" w14:textId="77777777" w:rsidR="0023462A" w:rsidRDefault="00A550FA">
            <w:pPr>
              <w:pStyle w:val="P68B1DB1-Normal80"/>
              <w:spacing w:after="120" w:line="240" w:lineRule="auto"/>
              <w:rPr>
                <w:noProof/>
              </w:rPr>
            </w:pPr>
            <w:r>
              <w:rPr>
                <w:noProof/>
              </w:rPr>
              <w:t>22</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44F9E0AA" w14:textId="77777777" w:rsidR="0023462A" w:rsidRDefault="00A550FA">
            <w:pPr>
              <w:pStyle w:val="P68B1DB1-Normal80"/>
              <w:spacing w:after="120" w:line="240" w:lineRule="auto"/>
              <w:rPr>
                <w:noProof/>
              </w:rPr>
            </w:pPr>
            <w:r>
              <w:rPr>
                <w:noProof/>
              </w:rPr>
              <w:t>C5.I2 Commutation de la congestion du réseau ferroviaire sur le corridor RTE-T</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412CB732" w14:textId="77777777" w:rsidR="0023462A" w:rsidRDefault="00A550FA">
            <w:pPr>
              <w:pStyle w:val="P68B1DB1-Normal80"/>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6B7CC00B" w14:textId="77777777" w:rsidR="0023462A" w:rsidRDefault="00A550FA">
            <w:pPr>
              <w:pStyle w:val="P68B1DB1-Normal80"/>
              <w:spacing w:after="120" w:line="240" w:lineRule="auto"/>
              <w:rPr>
                <w:noProof/>
              </w:rPr>
            </w:pPr>
            <w:r>
              <w:rPr>
                <w:noProof/>
              </w:rPr>
              <w:t>Travaux relatifs au tronçon ferroviaire Békéscsaba-Lőkösháza</w:t>
            </w:r>
          </w:p>
        </w:tc>
      </w:tr>
      <w:tr w:rsidR="0023462A" w14:paraId="651863C8"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59C64F65" w14:textId="77777777" w:rsidR="0023462A" w:rsidRDefault="00A550FA">
            <w:pPr>
              <w:pStyle w:val="P68B1DB1-Normal80"/>
              <w:spacing w:after="120" w:line="240" w:lineRule="auto"/>
              <w:rPr>
                <w:noProof/>
              </w:rPr>
            </w:pPr>
            <w:r>
              <w:rPr>
                <w:noProof/>
              </w:rPr>
              <w:t>23</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27E0BF31" w14:textId="77777777" w:rsidR="0023462A" w:rsidRDefault="00A550FA">
            <w:pPr>
              <w:pStyle w:val="P68B1DB1-Normal80"/>
              <w:spacing w:after="120" w:line="240" w:lineRule="auto"/>
              <w:rPr>
                <w:noProof/>
              </w:rPr>
            </w:pPr>
            <w:r>
              <w:rPr>
                <w:noProof/>
              </w:rPr>
              <w:t>C5.I3 Développement du transport par autobus à émissions nulles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74138B0C" w14:textId="77777777" w:rsidR="0023462A" w:rsidRDefault="00A550FA">
            <w:pPr>
              <w:pStyle w:val="P68B1DB1-Normal80"/>
              <w:spacing w:after="120" w:line="240" w:lineRule="auto"/>
              <w:rPr>
                <w:noProof/>
              </w:rPr>
            </w:pPr>
            <w:r>
              <w:rPr>
                <w:noProof/>
              </w:rPr>
              <w:t>Objectif</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2CCA39CE" w14:textId="77777777" w:rsidR="0023462A" w:rsidRDefault="00A550FA">
            <w:pPr>
              <w:pStyle w:val="P68B1DB1-Normal80"/>
              <w:spacing w:after="120" w:line="240" w:lineRule="auto"/>
              <w:rPr>
                <w:noProof/>
              </w:rPr>
            </w:pPr>
            <w:r>
              <w:rPr>
                <w:noProof/>
              </w:rPr>
              <w:t>Livraison d’autobus à émissions nulles</w:t>
            </w:r>
          </w:p>
        </w:tc>
      </w:tr>
      <w:tr w:rsidR="0023462A" w14:paraId="77A67467"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73B8E896" w14:textId="77777777" w:rsidR="0023462A" w:rsidRDefault="00A550FA">
            <w:pPr>
              <w:pStyle w:val="P68B1DB1-Normal80"/>
              <w:spacing w:after="120" w:line="240" w:lineRule="auto"/>
              <w:rPr>
                <w:noProof/>
              </w:rPr>
            </w:pPr>
            <w:r>
              <w:rPr>
                <w:noProof/>
              </w:rPr>
              <w:t>24</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17BFC924" w14:textId="223A5804" w:rsidR="0023462A" w:rsidRDefault="00A550FA">
            <w:pPr>
              <w:pStyle w:val="P68B1DB1-Normal80"/>
              <w:spacing w:after="120" w:line="240" w:lineRule="auto"/>
              <w:rPr>
                <w:noProof/>
              </w:rPr>
            </w:pPr>
            <w:r>
              <w:rPr>
                <w:noProof/>
              </w:rPr>
              <w:t xml:space="preserve">C5.I4 Développement d'un système de tramway et de trolleybus </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33942D4A" w14:textId="77777777" w:rsidR="0023462A" w:rsidRDefault="00A550FA">
            <w:pPr>
              <w:pStyle w:val="P68B1DB1-Normal80"/>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569A4719" w14:textId="77777777" w:rsidR="0023462A" w:rsidRDefault="00A550FA">
            <w:pPr>
              <w:pStyle w:val="P68B1DB1-Normal80"/>
              <w:spacing w:after="120" w:line="240" w:lineRule="auto"/>
              <w:rPr>
                <w:noProof/>
              </w:rPr>
            </w:pPr>
            <w:r>
              <w:rPr>
                <w:noProof/>
              </w:rPr>
              <w:t>Tramway</w:t>
            </w:r>
          </w:p>
        </w:tc>
      </w:tr>
      <w:tr w:rsidR="0023462A" w14:paraId="68A9E662"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47CC89F4" w14:textId="77777777" w:rsidR="0023462A" w:rsidRDefault="00A550FA">
            <w:pPr>
              <w:pStyle w:val="P68B1DB1-Normal80"/>
              <w:spacing w:after="120" w:line="240" w:lineRule="auto"/>
              <w:rPr>
                <w:noProof/>
              </w:rPr>
            </w:pPr>
            <w:r>
              <w:rPr>
                <w:noProof/>
              </w:rPr>
              <w:t>25</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0CD53D45" w14:textId="334F4C6D" w:rsidR="0023462A" w:rsidRDefault="00A550FA">
            <w:pPr>
              <w:pStyle w:val="P68B1DB1-Normal80"/>
              <w:spacing w:after="120" w:line="240" w:lineRule="auto"/>
              <w:rPr>
                <w:noProof/>
              </w:rPr>
            </w:pPr>
            <w:r>
              <w:rPr>
                <w:noProof/>
              </w:rPr>
              <w:t xml:space="preserve">C5.I4 Développement d'un système de tramway et de trolleybus </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6B9C3B8F" w14:textId="77777777" w:rsidR="0023462A" w:rsidRDefault="00A550FA">
            <w:pPr>
              <w:pStyle w:val="P68B1DB1-Normal80"/>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63A5BF54" w14:textId="77777777" w:rsidR="0023462A" w:rsidRDefault="00A550FA">
            <w:pPr>
              <w:pStyle w:val="P68B1DB1-Normal80"/>
              <w:spacing w:after="120" w:line="240" w:lineRule="auto"/>
              <w:rPr>
                <w:noProof/>
              </w:rPr>
            </w:pPr>
            <w:r>
              <w:rPr>
                <w:noProof/>
              </w:rPr>
              <w:t xml:space="preserve">Trolleybus </w:t>
            </w:r>
          </w:p>
        </w:tc>
      </w:tr>
      <w:tr w:rsidR="0023462A" w14:paraId="121BD67D"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58F83AE1" w14:textId="77777777" w:rsidR="0023462A" w:rsidRDefault="00A550FA">
            <w:pPr>
              <w:pStyle w:val="P68B1DB1-Normal80"/>
              <w:spacing w:after="120" w:line="240" w:lineRule="auto"/>
              <w:rPr>
                <w:noProof/>
              </w:rPr>
            </w:pPr>
            <w:r>
              <w:rPr>
                <w:noProof/>
              </w:rPr>
              <w:t>26</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45F7BE8D" w14:textId="7EFD7AB1" w:rsidR="0023462A" w:rsidRDefault="00A550FA">
            <w:pPr>
              <w:pStyle w:val="P68B1DB1-Normal80"/>
              <w:spacing w:after="120" w:line="240" w:lineRule="auto"/>
              <w:rPr>
                <w:b/>
                <w:noProof/>
              </w:rPr>
            </w:pPr>
            <w:r>
              <w:rPr>
                <w:noProof/>
              </w:rPr>
              <w:t>C5.I5 : Travaux sur le tronçon ferroviaire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4C5607E1" w14:textId="77777777" w:rsidR="0023462A" w:rsidRDefault="00A550FA">
            <w:pPr>
              <w:pStyle w:val="P68B1DB1-Normal80"/>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1B7928B8" w14:textId="4F7B371B" w:rsidR="0023462A" w:rsidRDefault="00A550FA">
            <w:pPr>
              <w:pStyle w:val="P68B1DB1-Normal80"/>
              <w:spacing w:after="120" w:line="240" w:lineRule="auto"/>
              <w:rPr>
                <w:noProof/>
                <w:sz w:val="18"/>
                <w:szCs w:val="18"/>
              </w:rPr>
            </w:pPr>
            <w:r>
              <w:rPr>
                <w:noProof/>
              </w:rPr>
              <w:t>Travaux liés au tronçon ferroviaire Szeged-Rendező - Röszke - Frontière du pays</w:t>
            </w:r>
          </w:p>
        </w:tc>
      </w:tr>
      <w:tr w:rsidR="0023462A" w14:paraId="6DE4ABB8"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5100435D" w14:textId="77777777" w:rsidR="0023462A" w:rsidRDefault="00A550FA">
            <w:pPr>
              <w:pStyle w:val="P68B1DB1-Normal80"/>
              <w:spacing w:after="120" w:line="240" w:lineRule="auto"/>
              <w:rPr>
                <w:noProof/>
              </w:rPr>
            </w:pPr>
            <w:r>
              <w:rPr>
                <w:noProof/>
              </w:rPr>
              <w:t>27</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12252B58" w14:textId="77777777" w:rsidR="0023462A" w:rsidRDefault="00A550FA">
            <w:pPr>
              <w:pStyle w:val="P68B1DB1-Normal80"/>
              <w:spacing w:after="120" w:line="240" w:lineRule="auto"/>
              <w:rPr>
                <w:noProof/>
              </w:rPr>
            </w:pPr>
            <w:r>
              <w:rPr>
                <w:noProof/>
              </w:rPr>
              <w:t>C5.I6 : Stimuler l’adoption des véhicules électriques par les entreprises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36FC794E" w14:textId="77777777" w:rsidR="0023462A" w:rsidRDefault="00A550FA">
            <w:pPr>
              <w:pStyle w:val="P68B1DB1-Normal80"/>
              <w:spacing w:after="120" w:line="240" w:lineRule="auto"/>
              <w:rPr>
                <w:noProof/>
              </w:rPr>
            </w:pPr>
            <w:r>
              <w:rPr>
                <w:noProof/>
              </w:rPr>
              <w:t>Objectif</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0EC670DE" w14:textId="77777777" w:rsidR="0023462A" w:rsidRDefault="00A550FA">
            <w:pPr>
              <w:pStyle w:val="P68B1DB1-Normal80"/>
              <w:spacing w:after="120" w:line="240" w:lineRule="auto"/>
              <w:rPr>
                <w:noProof/>
              </w:rPr>
            </w:pPr>
            <w:r>
              <w:rPr>
                <w:noProof/>
              </w:rPr>
              <w:t xml:space="preserve">Soutien financier à l'achat de véhicules électriques </w:t>
            </w:r>
          </w:p>
        </w:tc>
      </w:tr>
      <w:tr w:rsidR="0023462A" w14:paraId="734EB06F"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789C9F16" w14:textId="77777777" w:rsidR="0023462A" w:rsidRDefault="00A550FA">
            <w:pPr>
              <w:pStyle w:val="P68B1DB1-Normal80"/>
              <w:spacing w:after="120" w:line="240" w:lineRule="auto"/>
              <w:rPr>
                <w:noProof/>
              </w:rPr>
            </w:pPr>
            <w:r>
              <w:rPr>
                <w:noProof/>
              </w:rPr>
              <w:t>28</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2B9008E7" w14:textId="77777777" w:rsidR="0023462A" w:rsidRDefault="00A550FA">
            <w:pPr>
              <w:pStyle w:val="P68B1DB1-Normal80"/>
              <w:spacing w:after="120" w:line="240" w:lineRule="auto"/>
              <w:rPr>
                <w:noProof/>
              </w:rPr>
            </w:pPr>
            <w:r>
              <w:rPr>
                <w:noProof/>
              </w:rPr>
              <w:t>C5.I7: Mise en place d’un instrument financier pour accroître le déploiement des bornes de recharge pour véhicules électriques (VE)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4FB24DC6" w14:textId="77777777" w:rsidR="0023462A" w:rsidRDefault="00A550FA">
            <w:pPr>
              <w:pStyle w:val="P68B1DB1-Normal80"/>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065E8631" w14:textId="77777777" w:rsidR="0023462A" w:rsidRDefault="00A550FA">
            <w:pPr>
              <w:pStyle w:val="P68B1DB1-Normal80"/>
              <w:spacing w:after="120" w:line="240" w:lineRule="auto"/>
              <w:rPr>
                <w:noProof/>
              </w:rPr>
            </w:pPr>
            <w:r>
              <w:rPr>
                <w:noProof/>
              </w:rPr>
              <w:t>Accord de mise en œuvre</w:t>
            </w:r>
          </w:p>
        </w:tc>
      </w:tr>
      <w:tr w:rsidR="0023462A" w14:paraId="036CC8C7"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2CD379BA" w14:textId="77777777" w:rsidR="0023462A" w:rsidRDefault="00A550FA">
            <w:pPr>
              <w:pStyle w:val="P68B1DB1-Normal80"/>
              <w:spacing w:after="120" w:line="240" w:lineRule="auto"/>
              <w:rPr>
                <w:noProof/>
              </w:rPr>
            </w:pPr>
            <w:r>
              <w:rPr>
                <w:noProof/>
              </w:rPr>
              <w:t>29</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47F1A186" w14:textId="77777777" w:rsidR="0023462A" w:rsidRDefault="00A550FA">
            <w:pPr>
              <w:pStyle w:val="P68B1DB1-Normal80"/>
              <w:spacing w:after="120" w:line="240" w:lineRule="auto"/>
              <w:rPr>
                <w:noProof/>
              </w:rPr>
            </w:pPr>
            <w:r>
              <w:rPr>
                <w:noProof/>
              </w:rPr>
              <w:t>C5.I7: Mise en place d’un instrument financier pour accroître le déploiement des bornes de recharge pour véhicules électriques (VE)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1BCE5A10" w14:textId="77777777" w:rsidR="0023462A" w:rsidRDefault="00A550FA">
            <w:pPr>
              <w:pStyle w:val="P68B1DB1-Normal80"/>
              <w:spacing w:after="120" w:line="240" w:lineRule="auto"/>
              <w:rPr>
                <w:noProof/>
              </w:rPr>
            </w:pPr>
            <w:r>
              <w:rPr>
                <w:noProof/>
              </w:rPr>
              <w:t>Objectif</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5661DD1F" w14:textId="77777777" w:rsidR="0023462A" w:rsidRDefault="00A550FA">
            <w:pPr>
              <w:pStyle w:val="P68B1DB1-Normal80"/>
              <w:spacing w:after="120" w:line="240" w:lineRule="auto"/>
              <w:rPr>
                <w:noProof/>
              </w:rPr>
            </w:pPr>
            <w:r>
              <w:rPr>
                <w:noProof/>
              </w:rPr>
              <w:t>Accords juridiques signés avec les bénéficiaires finaux</w:t>
            </w:r>
          </w:p>
        </w:tc>
      </w:tr>
      <w:tr w:rsidR="0023462A" w14:paraId="6FD57B03"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7F5F3DF3" w14:textId="77777777" w:rsidR="0023462A" w:rsidRDefault="00A550FA">
            <w:pPr>
              <w:pStyle w:val="P68B1DB1-Normal80"/>
              <w:spacing w:after="120" w:line="240" w:lineRule="auto"/>
              <w:rPr>
                <w:noProof/>
              </w:rPr>
            </w:pPr>
            <w:r>
              <w:rPr>
                <w:noProof/>
              </w:rPr>
              <w:t>30</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03D8944F" w14:textId="77777777" w:rsidR="0023462A" w:rsidRDefault="00A550FA">
            <w:pPr>
              <w:pStyle w:val="P68B1DB1-Normal80"/>
              <w:spacing w:after="120" w:line="240" w:lineRule="auto"/>
              <w:rPr>
                <w:noProof/>
              </w:rPr>
            </w:pPr>
            <w:r>
              <w:rPr>
                <w:noProof/>
              </w:rPr>
              <w:t>C5.I7: Mise en place d’un instrument financier pour accroître le déploiement des bornes de recharge pour véhicules électriques (VE)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26BE4616" w14:textId="77777777" w:rsidR="0023462A" w:rsidRDefault="00A550FA">
            <w:pPr>
              <w:pStyle w:val="P68B1DB1-Normal80"/>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6C9373FC" w14:textId="77777777" w:rsidR="0023462A" w:rsidRDefault="00A550FA">
            <w:pPr>
              <w:pStyle w:val="P68B1DB1-Normal80"/>
              <w:spacing w:after="120" w:line="240" w:lineRule="auto"/>
              <w:rPr>
                <w:noProof/>
              </w:rPr>
            </w:pPr>
            <w:r>
              <w:rPr>
                <w:noProof/>
              </w:rPr>
              <w:t>Le ministère a terminé l'investissement</w:t>
            </w:r>
          </w:p>
        </w:tc>
      </w:tr>
      <w:tr w:rsidR="0023462A" w14:paraId="5AC317DD"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6BDD14A7" w14:textId="77777777" w:rsidR="0023462A" w:rsidRDefault="00A550FA">
            <w:pPr>
              <w:pStyle w:val="P68B1DB1-Normal80"/>
              <w:spacing w:after="120" w:line="240" w:lineRule="auto"/>
              <w:rPr>
                <w:noProof/>
              </w:rPr>
            </w:pPr>
            <w:r>
              <w:rPr>
                <w:noProof/>
              </w:rPr>
              <w:t>31</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1B6E4088" w14:textId="77777777" w:rsidR="0023462A" w:rsidRDefault="00A550FA">
            <w:pPr>
              <w:pStyle w:val="P68B1DB1-Normal80"/>
              <w:spacing w:after="120" w:line="240" w:lineRule="auto"/>
              <w:rPr>
                <w:noProof/>
              </w:rPr>
            </w:pPr>
            <w:r>
              <w:rPr>
                <w:noProof/>
              </w:rPr>
              <w:t xml:space="preserve">C5.R1 Réforme tarifaire </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6FAE709A" w14:textId="77777777" w:rsidR="0023462A" w:rsidRDefault="00A550FA">
            <w:pPr>
              <w:pStyle w:val="P68B1DB1-Normal80"/>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1222C3ED" w14:textId="77777777" w:rsidR="0023462A" w:rsidRDefault="00A550FA">
            <w:pPr>
              <w:pStyle w:val="P68B1DB1-Normal80"/>
              <w:spacing w:after="120" w:line="240" w:lineRule="auto"/>
              <w:rPr>
                <w:noProof/>
              </w:rPr>
            </w:pPr>
            <w:r>
              <w:rPr>
                <w:noProof/>
              </w:rPr>
              <w:t xml:space="preserve">Entrée en vigueur du ou des actes juridiques relatifs aux tarifs </w:t>
            </w:r>
          </w:p>
        </w:tc>
      </w:tr>
      <w:tr w:rsidR="0023462A" w14:paraId="6F16CF91"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09775F0B" w14:textId="77777777" w:rsidR="0023462A" w:rsidRDefault="00A550FA">
            <w:pPr>
              <w:pStyle w:val="P68B1DB1-Normal80"/>
              <w:spacing w:after="120" w:line="240" w:lineRule="auto"/>
              <w:rPr>
                <w:noProof/>
              </w:rPr>
            </w:pPr>
            <w:r>
              <w:rPr>
                <w:noProof/>
              </w:rPr>
              <w:t>35</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4385CFBC" w14:textId="77777777" w:rsidR="0023462A" w:rsidRDefault="00A550FA">
            <w:pPr>
              <w:pStyle w:val="P68B1DB1-Normal80"/>
              <w:spacing w:after="120" w:line="240" w:lineRule="auto"/>
              <w:rPr>
                <w:noProof/>
              </w:rPr>
            </w:pPr>
            <w:r>
              <w:rPr>
                <w:noProof/>
              </w:rPr>
              <w:t>C6.R1 Transformation de la régulation de l'électricité</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7F7F359C" w14:textId="77777777" w:rsidR="0023462A" w:rsidRDefault="00A550FA">
            <w:pPr>
              <w:pStyle w:val="P68B1DB1-Normal80"/>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4E38AB77" w14:textId="77777777" w:rsidR="0023462A" w:rsidRDefault="00A550FA">
            <w:pPr>
              <w:pStyle w:val="P68B1DB1-Normal80"/>
              <w:spacing w:after="120" w:line="240" w:lineRule="auto"/>
              <w:rPr>
                <w:noProof/>
              </w:rPr>
            </w:pPr>
            <w:r>
              <w:rPr>
                <w:noProof/>
              </w:rPr>
              <w:t>Entrée en vigueur du ou des actes juridiques concernant le comptage brut</w:t>
            </w:r>
          </w:p>
        </w:tc>
      </w:tr>
      <w:tr w:rsidR="0023462A" w14:paraId="459FCE34"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5925D7A0" w14:textId="77777777" w:rsidR="0023462A" w:rsidRDefault="00A550FA">
            <w:pPr>
              <w:pStyle w:val="P68B1DB1-Normal80"/>
              <w:spacing w:after="120" w:line="240" w:lineRule="auto"/>
              <w:rPr>
                <w:noProof/>
              </w:rPr>
            </w:pPr>
            <w:r>
              <w:rPr>
                <w:noProof/>
              </w:rPr>
              <w:t>36</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1BCDE8F9" w14:textId="77777777" w:rsidR="0023462A" w:rsidRDefault="00A550FA">
            <w:pPr>
              <w:pStyle w:val="P68B1DB1-Normal80"/>
              <w:spacing w:after="120" w:line="240" w:lineRule="auto"/>
              <w:rPr>
                <w:noProof/>
              </w:rPr>
            </w:pPr>
            <w:r>
              <w:rPr>
                <w:noProof/>
              </w:rPr>
              <w:t>C6.R2 Encourager le déploiement de l'énergie éolienne terrestre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456F55C0" w14:textId="77777777" w:rsidR="0023462A" w:rsidRDefault="00A550FA">
            <w:pPr>
              <w:pStyle w:val="P68B1DB1-Normal80"/>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5B39708E" w14:textId="77777777" w:rsidR="0023462A" w:rsidRDefault="00A550FA">
            <w:pPr>
              <w:pStyle w:val="P68B1DB1-Normal80"/>
              <w:spacing w:after="120" w:line="240" w:lineRule="auto"/>
              <w:rPr>
                <w:noProof/>
              </w:rPr>
            </w:pPr>
            <w:r>
              <w:rPr>
                <w:noProof/>
              </w:rPr>
              <w:t>Entrée en vigueur du ou des actes juridiques</w:t>
            </w:r>
          </w:p>
        </w:tc>
      </w:tr>
      <w:tr w:rsidR="0023462A" w14:paraId="0C05A5F1"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1EB679D5" w14:textId="77777777" w:rsidR="0023462A" w:rsidRDefault="00A550FA">
            <w:pPr>
              <w:pStyle w:val="P68B1DB1-Normal80"/>
              <w:spacing w:after="120" w:line="240" w:lineRule="auto"/>
              <w:rPr>
                <w:noProof/>
              </w:rPr>
            </w:pPr>
            <w:r>
              <w:rPr>
                <w:noProof/>
              </w:rPr>
              <w:t>37</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596CAB28" w14:textId="77777777" w:rsidR="0023462A" w:rsidRDefault="00A550FA">
            <w:pPr>
              <w:pStyle w:val="P68B1DB1-Normal80"/>
              <w:spacing w:after="120" w:line="240" w:lineRule="auto"/>
              <w:rPr>
                <w:noProof/>
              </w:rPr>
            </w:pPr>
            <w:r>
              <w:rPr>
                <w:noProof/>
              </w:rPr>
              <w:t>C6.R2 Encourager le déploiement de l'énergie éolienne terrestre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38EF0203" w14:textId="77777777" w:rsidR="0023462A" w:rsidRDefault="00A550FA">
            <w:pPr>
              <w:pStyle w:val="P68B1DB1-Normal80"/>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442CF6D2" w14:textId="77777777" w:rsidR="0023462A" w:rsidRDefault="00A550FA">
            <w:pPr>
              <w:pStyle w:val="P68B1DB1-Normal80"/>
              <w:spacing w:after="120" w:line="240" w:lineRule="auto"/>
              <w:rPr>
                <w:noProof/>
              </w:rPr>
            </w:pPr>
            <w:r>
              <w:rPr>
                <w:noProof/>
              </w:rPr>
              <w:t>Entrée en vigueur du ou des actes juridiques</w:t>
            </w:r>
          </w:p>
        </w:tc>
      </w:tr>
      <w:tr w:rsidR="0023462A" w14:paraId="4D12B45B"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4FBBC53F" w14:textId="77777777" w:rsidR="0023462A" w:rsidRDefault="00A550FA">
            <w:pPr>
              <w:pStyle w:val="P68B1DB1-Normal80"/>
              <w:spacing w:after="120" w:line="240" w:lineRule="auto"/>
              <w:rPr>
                <w:noProof/>
              </w:rPr>
            </w:pPr>
            <w:r>
              <w:rPr>
                <w:noProof/>
              </w:rPr>
              <w:t>38</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718AF2A7" w14:textId="77777777" w:rsidR="0023462A" w:rsidRDefault="00A550FA">
            <w:pPr>
              <w:pStyle w:val="P68B1DB1-Normal80"/>
              <w:spacing w:after="120" w:line="240" w:lineRule="auto"/>
              <w:rPr>
                <w:noProof/>
              </w:rPr>
            </w:pPr>
            <w:r>
              <w:rPr>
                <w:noProof/>
              </w:rPr>
              <w:t>C6.R3 Accélérer le raccordement des projets d'énergies renouvelables au réseau</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7A8BD8AA" w14:textId="77777777" w:rsidR="0023462A" w:rsidRDefault="00A550FA">
            <w:pPr>
              <w:pStyle w:val="P68B1DB1-Normal80"/>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6203F674" w14:textId="77777777" w:rsidR="0023462A" w:rsidRDefault="00A550FA">
            <w:pPr>
              <w:pStyle w:val="P68B1DB1-Normal80"/>
              <w:spacing w:after="120" w:line="240" w:lineRule="auto"/>
              <w:rPr>
                <w:noProof/>
              </w:rPr>
            </w:pPr>
            <w:r>
              <w:rPr>
                <w:noProof/>
              </w:rPr>
              <w:t>Entrée en vigueur du ou des actes juridiques</w:t>
            </w:r>
          </w:p>
        </w:tc>
      </w:tr>
      <w:tr w:rsidR="0023462A" w14:paraId="50DED571"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619DD655" w14:textId="77777777" w:rsidR="0023462A" w:rsidRDefault="00A550FA">
            <w:pPr>
              <w:pStyle w:val="P68B1DB1-Normal80"/>
              <w:spacing w:after="120" w:line="240" w:lineRule="auto"/>
              <w:rPr>
                <w:noProof/>
              </w:rPr>
            </w:pPr>
            <w:r>
              <w:rPr>
                <w:noProof/>
              </w:rPr>
              <w:t>39</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7F345B75" w14:textId="77777777" w:rsidR="0023462A" w:rsidRDefault="00A550FA">
            <w:pPr>
              <w:pStyle w:val="P68B1DB1-Normal80"/>
              <w:spacing w:after="120" w:line="240" w:lineRule="auto"/>
              <w:rPr>
                <w:noProof/>
              </w:rPr>
            </w:pPr>
            <w:r>
              <w:rPr>
                <w:noProof/>
              </w:rPr>
              <w:t>C6.R3 Accélérer le raccordement des projets d'énergies renouvelables au réseau</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16A59CE1" w14:textId="77777777" w:rsidR="0023462A" w:rsidRDefault="00A550FA">
            <w:pPr>
              <w:pStyle w:val="P68B1DB1-Normal80"/>
              <w:spacing w:after="120" w:line="240" w:lineRule="auto"/>
              <w:rPr>
                <w:noProof/>
              </w:rPr>
            </w:pPr>
            <w:r>
              <w:rPr>
                <w:noProof/>
              </w:rPr>
              <w:t>Objectif</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6A802380" w14:textId="77777777" w:rsidR="0023462A" w:rsidRDefault="00A550FA">
            <w:pPr>
              <w:pStyle w:val="P68B1DB1-Normal80"/>
              <w:spacing w:after="120" w:line="240" w:lineRule="auto"/>
              <w:rPr>
                <w:noProof/>
              </w:rPr>
            </w:pPr>
            <w:r>
              <w:rPr>
                <w:noProof/>
              </w:rPr>
              <w:t>Autorisation de raccordement au réseau pour la capacité des centrales électriques renouvelables</w:t>
            </w:r>
          </w:p>
        </w:tc>
      </w:tr>
      <w:tr w:rsidR="0023462A" w14:paraId="621015F2"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0FAF3821" w14:textId="77777777" w:rsidR="0023462A" w:rsidRDefault="00A550FA">
            <w:pPr>
              <w:pStyle w:val="P68B1DB1-Normal80"/>
              <w:spacing w:after="120" w:line="240" w:lineRule="auto"/>
              <w:rPr>
                <w:noProof/>
              </w:rPr>
            </w:pPr>
            <w:r>
              <w:rPr>
                <w:noProof/>
              </w:rPr>
              <w:t>39bis</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500908ED" w14:textId="77777777" w:rsidR="0023462A" w:rsidRDefault="00A550FA">
            <w:pPr>
              <w:pStyle w:val="P68B1DB1-Normal80"/>
              <w:spacing w:after="120" w:line="240" w:lineRule="auto"/>
              <w:rPr>
                <w:noProof/>
              </w:rPr>
            </w:pPr>
            <w:r>
              <w:rPr>
                <w:noProof/>
              </w:rPr>
              <w:t>C6.R3 Accélérer le raccordement des projets d'énergies renouvelables au réseau</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05A85C1F" w14:textId="77777777" w:rsidR="0023462A" w:rsidRDefault="00A550FA">
            <w:pPr>
              <w:pStyle w:val="P68B1DB1-Normal80"/>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26E2B395" w14:textId="77777777" w:rsidR="0023462A" w:rsidRDefault="00A550FA">
            <w:pPr>
              <w:pStyle w:val="P68B1DB1-Normal80"/>
              <w:spacing w:after="120" w:line="240" w:lineRule="auto"/>
              <w:rPr>
                <w:noProof/>
              </w:rPr>
            </w:pPr>
            <w:r>
              <w:rPr>
                <w:noProof/>
              </w:rPr>
              <w:t>Entrée en vigueur du ou des actes juridiques</w:t>
            </w:r>
          </w:p>
        </w:tc>
      </w:tr>
      <w:tr w:rsidR="0023462A" w14:paraId="7072EB54"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1E26D54F" w14:textId="77777777" w:rsidR="0023462A" w:rsidRDefault="00A550FA">
            <w:pPr>
              <w:pStyle w:val="P68B1DB1-Normal80"/>
              <w:spacing w:after="120" w:line="240" w:lineRule="auto"/>
              <w:rPr>
                <w:noProof/>
              </w:rPr>
            </w:pPr>
            <w:r>
              <w:rPr>
                <w:noProof/>
              </w:rPr>
              <w:t>40</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52D1FCDB" w14:textId="77777777" w:rsidR="0023462A" w:rsidRDefault="00A550FA">
            <w:pPr>
              <w:pStyle w:val="P68B1DB1-Normal80"/>
              <w:spacing w:after="120" w:line="240" w:lineRule="auto"/>
              <w:rPr>
                <w:noProof/>
              </w:rPr>
            </w:pPr>
            <w:r>
              <w:rPr>
                <w:noProof/>
              </w:rPr>
              <w:t>C6.R4 Fixation de normes minimales d'efficacité énergétique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5CDE507F" w14:textId="77777777" w:rsidR="0023462A" w:rsidRDefault="00A550FA">
            <w:pPr>
              <w:pStyle w:val="P68B1DB1-Normal80"/>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57C30A67" w14:textId="77777777" w:rsidR="0023462A" w:rsidRDefault="00A550FA">
            <w:pPr>
              <w:pStyle w:val="P68B1DB1-Normal80"/>
              <w:spacing w:after="120" w:line="240" w:lineRule="auto"/>
              <w:rPr>
                <w:noProof/>
              </w:rPr>
            </w:pPr>
            <w:r>
              <w:rPr>
                <w:noProof/>
              </w:rPr>
              <w:t>Fixation d’exigences minimales en matière d’efficacité énergétique pour les régimes d’aide à la rénovation des bâtiments</w:t>
            </w:r>
          </w:p>
        </w:tc>
      </w:tr>
      <w:tr w:rsidR="0023462A" w14:paraId="5112CC37"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03BAF486" w14:textId="77777777" w:rsidR="0023462A" w:rsidRDefault="00A550FA">
            <w:pPr>
              <w:pStyle w:val="P68B1DB1-Normal80"/>
              <w:spacing w:after="120" w:line="240" w:lineRule="auto"/>
              <w:rPr>
                <w:noProof/>
              </w:rPr>
            </w:pPr>
            <w:r>
              <w:rPr>
                <w:noProof/>
              </w:rPr>
              <w:t>41</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364367A9" w14:textId="77777777" w:rsidR="0023462A" w:rsidRDefault="00A550FA">
            <w:pPr>
              <w:pStyle w:val="P68B1DB1-Normal80"/>
              <w:spacing w:after="120" w:line="240" w:lineRule="auto"/>
              <w:rPr>
                <w:noProof/>
              </w:rPr>
            </w:pPr>
            <w:r>
              <w:rPr>
                <w:noProof/>
              </w:rPr>
              <w:t>C6.I1 Développement de réseaux classiques et intelligents pour les gestionnaires de réseau de transport et les gestionnaires de</w:t>
            </w:r>
            <w:r>
              <w:rPr>
                <w:b/>
                <w:noProof/>
              </w:rPr>
              <w:t xml:space="preserve"> </w:t>
            </w:r>
            <w:r>
              <w:rPr>
                <w:noProof/>
              </w:rPr>
              <w:t>réseau de distribution</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52EC93F6" w14:textId="77777777" w:rsidR="0023462A" w:rsidRDefault="00A550FA">
            <w:pPr>
              <w:pStyle w:val="P68B1DB1-Normal80"/>
              <w:spacing w:after="120" w:line="240" w:lineRule="auto"/>
              <w:rPr>
                <w:noProof/>
              </w:rPr>
            </w:pPr>
            <w:r>
              <w:rPr>
                <w:noProof/>
              </w:rPr>
              <w:t xml:space="preserve">Objectif </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58F52ED7" w14:textId="77777777" w:rsidR="0023462A" w:rsidRDefault="00A550FA">
            <w:pPr>
              <w:pStyle w:val="P68B1DB1-Normal80"/>
              <w:spacing w:after="120" w:line="240" w:lineRule="auto"/>
              <w:rPr>
                <w:noProof/>
              </w:rPr>
            </w:pPr>
            <w:r>
              <w:rPr>
                <w:noProof/>
              </w:rPr>
              <w:t>Capacité supplémentaire cumulée ajoutée au réseau</w:t>
            </w:r>
          </w:p>
        </w:tc>
      </w:tr>
      <w:tr w:rsidR="0023462A" w14:paraId="2DD5ADB6"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59313937" w14:textId="77777777" w:rsidR="0023462A" w:rsidRDefault="00A550FA">
            <w:pPr>
              <w:pStyle w:val="P68B1DB1-Normal80"/>
              <w:spacing w:after="120" w:line="240" w:lineRule="auto"/>
              <w:rPr>
                <w:noProof/>
              </w:rPr>
            </w:pPr>
            <w:r>
              <w:rPr>
                <w:noProof/>
              </w:rPr>
              <w:t>42</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506CC7A6" w14:textId="77777777" w:rsidR="0023462A" w:rsidRDefault="00A550FA">
            <w:pPr>
              <w:pStyle w:val="P68B1DB1-Normal80"/>
              <w:spacing w:after="120" w:line="240" w:lineRule="auto"/>
              <w:rPr>
                <w:noProof/>
              </w:rPr>
            </w:pPr>
            <w:r>
              <w:rPr>
                <w:noProof/>
              </w:rPr>
              <w:t>C6.I2 Soutien à l'utilisation de panneaux solaires résidentiels et à la modernisation du chauffage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78340EE2" w14:textId="77777777" w:rsidR="0023462A" w:rsidRDefault="00A550FA">
            <w:pPr>
              <w:pStyle w:val="P68B1DB1-Normal80"/>
              <w:spacing w:after="120" w:line="240" w:lineRule="auto"/>
              <w:rPr>
                <w:noProof/>
              </w:rPr>
            </w:pPr>
            <w:r>
              <w:rPr>
                <w:noProof/>
              </w:rPr>
              <w:t xml:space="preserve">Objectif </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002BDD4E" w14:textId="77777777" w:rsidR="0023462A" w:rsidRDefault="00A550FA">
            <w:pPr>
              <w:pStyle w:val="P68B1DB1-Normal80"/>
              <w:spacing w:after="120" w:line="240" w:lineRule="auto"/>
              <w:rPr>
                <w:noProof/>
              </w:rPr>
            </w:pPr>
            <w:r>
              <w:rPr>
                <w:noProof/>
              </w:rPr>
              <w:t>Nombre de ménages bénéficiant d’une aide</w:t>
            </w:r>
          </w:p>
        </w:tc>
      </w:tr>
      <w:tr w:rsidR="0023462A" w14:paraId="48C36544"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7975F7AE" w14:textId="77777777" w:rsidR="0023462A" w:rsidRDefault="00A550FA">
            <w:pPr>
              <w:pStyle w:val="P68B1DB1-Normal80"/>
              <w:spacing w:after="120" w:line="240" w:lineRule="auto"/>
              <w:rPr>
                <w:noProof/>
              </w:rPr>
            </w:pPr>
            <w:r>
              <w:rPr>
                <w:noProof/>
              </w:rPr>
              <w:t>43</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3DABD143" w14:textId="77777777" w:rsidR="0023462A" w:rsidRDefault="00A550FA">
            <w:pPr>
              <w:pStyle w:val="P68B1DB1-Normal80"/>
              <w:spacing w:after="120" w:line="240" w:lineRule="auto"/>
              <w:rPr>
                <w:noProof/>
              </w:rPr>
            </w:pPr>
            <w:r>
              <w:rPr>
                <w:noProof/>
              </w:rPr>
              <w:t>C6.I3 Installation d'installations de stockage d'énergie sur le réseau pour les acteurs du marché de l'énergie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0387C558" w14:textId="77777777" w:rsidR="0023462A" w:rsidRDefault="00A550FA">
            <w:pPr>
              <w:pStyle w:val="P68B1DB1-Normal80"/>
              <w:spacing w:after="120" w:line="240" w:lineRule="auto"/>
              <w:rPr>
                <w:noProof/>
              </w:rPr>
            </w:pPr>
            <w:r>
              <w:rPr>
                <w:noProof/>
              </w:rPr>
              <w:t>Objectif</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0AAA77D2" w14:textId="77777777" w:rsidR="0023462A" w:rsidRDefault="00A550FA">
            <w:pPr>
              <w:pStyle w:val="P68B1DB1-Normal80"/>
              <w:spacing w:after="120" w:line="240" w:lineRule="auto"/>
              <w:rPr>
                <w:noProof/>
              </w:rPr>
            </w:pPr>
            <w:r>
              <w:rPr>
                <w:noProof/>
              </w:rPr>
              <w:t>Capacité des installations de stockage d'énergie installées</w:t>
            </w:r>
          </w:p>
        </w:tc>
      </w:tr>
      <w:tr w:rsidR="0023462A" w14:paraId="2EF4CE55"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0B10C177" w14:textId="77777777" w:rsidR="0023462A" w:rsidRDefault="00A550FA">
            <w:pPr>
              <w:pStyle w:val="P68B1DB1-Normal80"/>
              <w:spacing w:after="120" w:line="240" w:lineRule="auto"/>
              <w:rPr>
                <w:noProof/>
              </w:rPr>
            </w:pPr>
            <w:r>
              <w:rPr>
                <w:noProof/>
              </w:rPr>
              <w:t>44</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1CDAAAF4" w14:textId="77777777" w:rsidR="0023462A" w:rsidRDefault="00A550FA">
            <w:pPr>
              <w:pStyle w:val="P68B1DB1-Normal80"/>
              <w:spacing w:after="120" w:line="240" w:lineRule="auto"/>
              <w:rPr>
                <w:noProof/>
              </w:rPr>
            </w:pPr>
            <w:r>
              <w:rPr>
                <w:noProof/>
              </w:rPr>
              <w:t>C6.I4 Diffusion des compteurs intelligents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0BDD1960" w14:textId="77777777" w:rsidR="0023462A" w:rsidRDefault="00A550FA">
            <w:pPr>
              <w:pStyle w:val="P68B1DB1-Normal80"/>
              <w:spacing w:after="120" w:line="240" w:lineRule="auto"/>
              <w:rPr>
                <w:noProof/>
              </w:rPr>
            </w:pPr>
            <w:r>
              <w:rPr>
                <w:noProof/>
              </w:rPr>
              <w:t>Objectif</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3C233D56" w14:textId="358D71FE" w:rsidR="0023462A" w:rsidRDefault="00A550FA">
            <w:pPr>
              <w:pStyle w:val="P68B1DB1-Normal80"/>
              <w:spacing w:after="120" w:line="240" w:lineRule="auto"/>
              <w:rPr>
                <w:noProof/>
              </w:rPr>
            </w:pPr>
            <w:r>
              <w:rPr>
                <w:noProof/>
              </w:rPr>
              <w:t xml:space="preserve">Installation de compteurs intelligents </w:t>
            </w:r>
          </w:p>
        </w:tc>
      </w:tr>
      <w:tr w:rsidR="0023462A" w14:paraId="416AC541"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009C4E4D" w14:textId="77777777" w:rsidR="0023462A" w:rsidRDefault="00A550FA">
            <w:pPr>
              <w:pStyle w:val="P68B1DB1-Normal80"/>
              <w:spacing w:after="120" w:line="240" w:lineRule="auto"/>
              <w:rPr>
                <w:noProof/>
              </w:rPr>
            </w:pPr>
            <w:r>
              <w:rPr>
                <w:noProof/>
              </w:rPr>
              <w:t>45</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07749507" w14:textId="77777777" w:rsidR="0023462A" w:rsidRDefault="00A550FA">
            <w:pPr>
              <w:pStyle w:val="P68B1DB1-Normal80"/>
              <w:spacing w:after="120" w:line="240" w:lineRule="auto"/>
              <w:rPr>
                <w:rFonts w:eastAsia="Calibri"/>
                <w:noProof/>
              </w:rPr>
            </w:pPr>
            <w:r>
              <w:rPr>
                <w:noProof/>
              </w:rPr>
              <w:t>C6.I5. Investissements dans l'efficacité énergétique des bâtiments publics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1E85D1BD" w14:textId="77777777" w:rsidR="0023462A" w:rsidRDefault="00A550FA">
            <w:pPr>
              <w:pStyle w:val="P68B1DB1-Normal80"/>
              <w:spacing w:after="120" w:line="240" w:lineRule="auto"/>
              <w:rPr>
                <w:noProof/>
              </w:rPr>
            </w:pPr>
            <w:r>
              <w:rPr>
                <w:noProof/>
              </w:rPr>
              <w:t>Objectif</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0ECBF460" w14:textId="77777777" w:rsidR="0023462A" w:rsidRDefault="00A550FA">
            <w:pPr>
              <w:pStyle w:val="P68B1DB1-Normal80"/>
              <w:spacing w:after="120" w:line="240" w:lineRule="auto"/>
              <w:rPr>
                <w:noProof/>
              </w:rPr>
            </w:pPr>
            <w:r>
              <w:rPr>
                <w:noProof/>
              </w:rPr>
              <w:t>Nombre de bâtiments publics ayant bénéficié d’une rénovation visant à améliorer l’efficacité énergétique</w:t>
            </w:r>
          </w:p>
        </w:tc>
      </w:tr>
      <w:tr w:rsidR="0023462A" w14:paraId="35AC510F"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381E1D8D" w14:textId="77777777" w:rsidR="0023462A" w:rsidRDefault="00A550FA">
            <w:pPr>
              <w:pStyle w:val="P68B1DB1-Normal80"/>
              <w:spacing w:after="120" w:line="240" w:lineRule="auto"/>
              <w:rPr>
                <w:noProof/>
              </w:rPr>
            </w:pPr>
            <w:r>
              <w:rPr>
                <w:noProof/>
              </w:rPr>
              <w:t>46</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76607E97" w14:textId="77777777" w:rsidR="0023462A" w:rsidRDefault="00A550FA">
            <w:pPr>
              <w:pStyle w:val="P68B1DB1-Normal80"/>
              <w:spacing w:after="120" w:line="240" w:lineRule="auto"/>
              <w:rPr>
                <w:noProof/>
              </w:rPr>
            </w:pPr>
            <w:r>
              <w:rPr>
                <w:noProof/>
              </w:rPr>
              <w:t>C6.I6. Régime de subventions pour le développement du réseau électrique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6EE554EC" w14:textId="77777777" w:rsidR="0023462A" w:rsidRDefault="00A550FA">
            <w:pPr>
              <w:pStyle w:val="P68B1DB1-Normal80"/>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6EF7DB7E" w14:textId="77777777" w:rsidR="0023462A" w:rsidRDefault="00A550FA">
            <w:pPr>
              <w:pStyle w:val="P68B1DB1-Normal80"/>
              <w:spacing w:after="120" w:line="240" w:lineRule="auto"/>
              <w:rPr>
                <w:noProof/>
              </w:rPr>
            </w:pPr>
            <w:r>
              <w:rPr>
                <w:noProof/>
              </w:rPr>
              <w:t>Accord de mise en œuvre</w:t>
            </w:r>
          </w:p>
        </w:tc>
      </w:tr>
      <w:tr w:rsidR="0023462A" w14:paraId="015C858D"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2EAE6FA9" w14:textId="77777777" w:rsidR="0023462A" w:rsidRDefault="00A550FA">
            <w:pPr>
              <w:pStyle w:val="P68B1DB1-Normal80"/>
              <w:spacing w:after="120" w:line="240" w:lineRule="auto"/>
              <w:rPr>
                <w:noProof/>
              </w:rPr>
            </w:pPr>
            <w:r>
              <w:rPr>
                <w:noProof/>
              </w:rPr>
              <w:t>47</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74FE7D9C" w14:textId="77777777" w:rsidR="0023462A" w:rsidRDefault="00A550FA">
            <w:pPr>
              <w:pStyle w:val="P68B1DB1-Normal80"/>
              <w:spacing w:after="120" w:line="240" w:lineRule="auto"/>
              <w:rPr>
                <w:rFonts w:eastAsia="Times New Roman"/>
                <w:noProof/>
                <w:color w:val="000000" w:themeColor="text1"/>
              </w:rPr>
            </w:pPr>
            <w:r>
              <w:rPr>
                <w:noProof/>
              </w:rPr>
              <w:t>C6.I6. Régime de subventions pour le développement du réseau électrique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6225B3FE" w14:textId="77777777" w:rsidR="0023462A" w:rsidRDefault="00A550FA">
            <w:pPr>
              <w:pStyle w:val="P68B1DB1-Normal84"/>
              <w:spacing w:after="120" w:line="240" w:lineRule="auto"/>
              <w:rPr>
                <w:noProof/>
              </w:rPr>
            </w:pPr>
            <w:r>
              <w:rPr>
                <w:noProof/>
              </w:rPr>
              <w:t>Objectif</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5B770DE2" w14:textId="77777777" w:rsidR="0023462A" w:rsidRDefault="00A550FA">
            <w:pPr>
              <w:pStyle w:val="P68B1DB1-Normal80"/>
              <w:spacing w:after="120" w:line="240" w:lineRule="auto"/>
              <w:textAlignment w:val="baseline"/>
              <w:rPr>
                <w:rFonts w:eastAsia="Times New Roman"/>
                <w:noProof/>
                <w:color w:val="000000" w:themeColor="text1"/>
              </w:rPr>
            </w:pPr>
            <w:r>
              <w:rPr>
                <w:noProof/>
              </w:rPr>
              <w:t>Accords juridiques signés avec les bénéficiaires finaux</w:t>
            </w:r>
          </w:p>
        </w:tc>
      </w:tr>
      <w:tr w:rsidR="0023462A" w14:paraId="259EA8AA"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557C1BA8" w14:textId="77777777" w:rsidR="0023462A" w:rsidRDefault="00A550FA">
            <w:pPr>
              <w:pStyle w:val="P68B1DB1-Normal80"/>
              <w:spacing w:after="120" w:line="240" w:lineRule="auto"/>
              <w:rPr>
                <w:noProof/>
              </w:rPr>
            </w:pPr>
            <w:r>
              <w:rPr>
                <w:noProof/>
              </w:rPr>
              <w:t>48</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153DE708" w14:textId="77777777" w:rsidR="0023462A" w:rsidRDefault="00A550FA">
            <w:pPr>
              <w:pStyle w:val="P68B1DB1-Normal80"/>
              <w:spacing w:after="120" w:line="240" w:lineRule="auto"/>
              <w:rPr>
                <w:noProof/>
              </w:rPr>
            </w:pPr>
            <w:r>
              <w:rPr>
                <w:noProof/>
              </w:rPr>
              <w:t>C6.I6. Régime de subventions pour le développement du réseau électrique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02D4EB89" w14:textId="77777777" w:rsidR="0023462A" w:rsidRDefault="00A550FA">
            <w:pPr>
              <w:pStyle w:val="P68B1DB1-Normal80"/>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3D5CA124" w14:textId="77777777" w:rsidR="0023462A" w:rsidRDefault="00A550FA">
            <w:pPr>
              <w:pStyle w:val="P68B1DB1-Normal84"/>
              <w:spacing w:after="120" w:line="240" w:lineRule="auto"/>
              <w:textAlignment w:val="baseline"/>
              <w:rPr>
                <w:noProof/>
              </w:rPr>
            </w:pPr>
            <w:r>
              <w:rPr>
                <w:noProof/>
              </w:rPr>
              <w:t>Le ministère a terminé l'investissement</w:t>
            </w:r>
          </w:p>
        </w:tc>
      </w:tr>
      <w:tr w:rsidR="0023462A" w14:paraId="78E6A6C6"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52B95048" w14:textId="77777777" w:rsidR="0023462A" w:rsidRDefault="00A550FA">
            <w:pPr>
              <w:pStyle w:val="P68B1DB1-Normal80"/>
              <w:spacing w:after="120" w:line="240" w:lineRule="auto"/>
              <w:rPr>
                <w:noProof/>
                <w:highlight w:val="yellow"/>
              </w:rPr>
            </w:pPr>
            <w:r>
              <w:rPr>
                <w:noProof/>
              </w:rPr>
              <w:t>49</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2A49C1C9" w14:textId="77777777" w:rsidR="0023462A" w:rsidRDefault="00A550FA">
            <w:pPr>
              <w:pStyle w:val="P68B1DB1-Normal80"/>
              <w:spacing w:after="120" w:line="240" w:lineRule="auto"/>
              <w:rPr>
                <w:noProof/>
                <w:highlight w:val="yellow"/>
              </w:rPr>
            </w:pPr>
            <w:r>
              <w:rPr>
                <w:noProof/>
              </w:rPr>
              <w:t>C7.R1 Éradication des paiements de gratification dans le secteur de la santé</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6A9BF783" w14:textId="4C2C4002" w:rsidR="0023462A" w:rsidRDefault="00A550FA">
            <w:pPr>
              <w:pStyle w:val="P68B1DB1-Normal80"/>
              <w:spacing w:after="120" w:line="240" w:lineRule="auto"/>
              <w:rPr>
                <w:noProof/>
                <w:highlight w:val="yellow"/>
              </w:rPr>
            </w:pPr>
            <w:r>
              <w:rPr>
                <w:noProof/>
              </w:rPr>
              <w:t xml:space="preserve">Étape </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6C439CE3" w14:textId="77777777" w:rsidR="0023462A" w:rsidRDefault="00A550FA">
            <w:pPr>
              <w:pStyle w:val="P68B1DB1-Normal80"/>
              <w:spacing w:after="120" w:line="240" w:lineRule="auto"/>
              <w:textAlignment w:val="baseline"/>
              <w:rPr>
                <w:noProof/>
                <w:highlight w:val="yellow"/>
              </w:rPr>
            </w:pPr>
            <w:r>
              <w:rPr>
                <w:noProof/>
              </w:rPr>
              <w:t>Entrée en vigueur du ou des actes juridiques relatifs à l’éradication de la pratique du paiement de gratifications </w:t>
            </w:r>
          </w:p>
        </w:tc>
      </w:tr>
      <w:tr w:rsidR="0023462A" w14:paraId="4F103ED5"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4398F2F0" w14:textId="77777777" w:rsidR="0023462A" w:rsidRDefault="00A550FA">
            <w:pPr>
              <w:pStyle w:val="P68B1DB1-Normal80"/>
              <w:spacing w:after="120" w:line="240" w:lineRule="auto"/>
              <w:rPr>
                <w:noProof/>
              </w:rPr>
            </w:pPr>
            <w:r>
              <w:rPr>
                <w:noProof/>
              </w:rPr>
              <w:t>50</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5DACC883" w14:textId="77777777" w:rsidR="0023462A" w:rsidRDefault="00A550FA">
            <w:pPr>
              <w:pStyle w:val="P68B1DB1-Normal83"/>
              <w:spacing w:after="120" w:line="240" w:lineRule="auto"/>
              <w:rPr>
                <w:noProof/>
              </w:rPr>
            </w:pPr>
            <w:r>
              <w:rPr>
                <w:noProof/>
              </w:rPr>
              <w:t xml:space="preserve">C7.I1 Modernisation du système de santé pour le XXIe siècle </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489535F0" w14:textId="58A06B6F" w:rsidR="0023462A" w:rsidRDefault="00A550FA">
            <w:pPr>
              <w:pStyle w:val="P68B1DB1-Normal84"/>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6917BF3C" w14:textId="5EFD0600" w:rsidR="0023462A" w:rsidRDefault="00A550FA">
            <w:pPr>
              <w:pStyle w:val="P68B1DB1-Normal84"/>
              <w:spacing w:after="120" w:line="240" w:lineRule="auto"/>
              <w:textAlignment w:val="baseline"/>
              <w:rPr>
                <w:noProof/>
              </w:rPr>
            </w:pPr>
            <w:r>
              <w:rPr>
                <w:noProof/>
                <w:color w:val="000000" w:themeColor="text1"/>
              </w:rPr>
              <w:t>Rénovation des établissements de santé et modernisation des équipements de soins de santé</w:t>
            </w:r>
            <w:r>
              <w:rPr>
                <w:noProof/>
              </w:rPr>
              <w:t xml:space="preserve"> </w:t>
            </w:r>
          </w:p>
        </w:tc>
      </w:tr>
      <w:tr w:rsidR="0023462A" w14:paraId="0E9A94AC"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3D4749A5" w14:textId="77777777" w:rsidR="0023462A" w:rsidRDefault="00A550FA">
            <w:pPr>
              <w:pStyle w:val="P68B1DB1-Normal80"/>
              <w:spacing w:after="120" w:line="240" w:lineRule="auto"/>
              <w:rPr>
                <w:noProof/>
              </w:rPr>
            </w:pPr>
            <w:r>
              <w:rPr>
                <w:noProof/>
              </w:rPr>
              <w:t>51</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72E117BB" w14:textId="77777777" w:rsidR="0023462A" w:rsidRDefault="00A550FA">
            <w:pPr>
              <w:pStyle w:val="P68B1DB1-Normal80"/>
              <w:spacing w:after="120" w:line="240" w:lineRule="auto"/>
              <w:rPr>
                <w:noProof/>
              </w:rPr>
            </w:pPr>
            <w:r>
              <w:rPr>
                <w:noProof/>
              </w:rPr>
              <w:t xml:space="preserve">C7.I2 Soutenir la transformation numérique de la santé </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40584424" w14:textId="1D4671F2" w:rsidR="0023462A" w:rsidRDefault="00A550FA">
            <w:pPr>
              <w:pStyle w:val="P68B1DB1-Normal80"/>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153ADF70" w14:textId="77777777" w:rsidR="0023462A" w:rsidRDefault="00A550FA">
            <w:pPr>
              <w:pStyle w:val="P68B1DB1-Normal80"/>
              <w:spacing w:after="120" w:line="240" w:lineRule="auto"/>
              <w:textAlignment w:val="baseline"/>
              <w:rPr>
                <w:noProof/>
              </w:rPr>
            </w:pPr>
            <w:r>
              <w:rPr>
                <w:noProof/>
              </w:rPr>
              <w:t xml:space="preserve">Élargissement des fonctions et procédures de santé en ligne </w:t>
            </w:r>
          </w:p>
        </w:tc>
      </w:tr>
      <w:tr w:rsidR="0023462A" w14:paraId="1AF7890A"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5B463AD0" w14:textId="77777777" w:rsidR="0023462A" w:rsidRDefault="00A550FA">
            <w:pPr>
              <w:pStyle w:val="P68B1DB1-Normal80"/>
              <w:spacing w:after="120" w:line="240" w:lineRule="auto"/>
              <w:rPr>
                <w:noProof/>
              </w:rPr>
            </w:pPr>
            <w:r>
              <w:rPr>
                <w:noProof/>
              </w:rPr>
              <w:t>52</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304B1D79" w14:textId="77777777" w:rsidR="0023462A" w:rsidRDefault="00A550FA">
            <w:pPr>
              <w:pStyle w:val="P68B1DB1-Normal80"/>
              <w:spacing w:after="120" w:line="240" w:lineRule="auto"/>
              <w:rPr>
                <w:noProof/>
              </w:rPr>
            </w:pPr>
            <w:r>
              <w:rPr>
                <w:noProof/>
              </w:rPr>
              <w:t>C7.I3 Développement des soins de santé primaires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4CB6719D" w14:textId="328E049E" w:rsidR="0023462A" w:rsidRDefault="00A550FA">
            <w:pPr>
              <w:pStyle w:val="P68B1DB1-Normal80"/>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0E3178E4" w14:textId="77777777" w:rsidR="0023462A" w:rsidRDefault="00A550FA">
            <w:pPr>
              <w:pStyle w:val="P68B1DB1-Normal80"/>
              <w:spacing w:after="120" w:line="240" w:lineRule="auto"/>
              <w:textAlignment w:val="baseline"/>
              <w:rPr>
                <w:noProof/>
              </w:rPr>
            </w:pPr>
            <w:r>
              <w:rPr>
                <w:noProof/>
              </w:rPr>
              <w:t>Programmes de soins de santé primaires</w:t>
            </w:r>
          </w:p>
        </w:tc>
      </w:tr>
      <w:tr w:rsidR="0023462A" w14:paraId="7A3719D3"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2550FFAE" w14:textId="77777777" w:rsidR="0023462A" w:rsidRDefault="00A550FA">
            <w:pPr>
              <w:pStyle w:val="P68B1DB1-Normal80"/>
              <w:spacing w:after="120" w:line="240" w:lineRule="auto"/>
              <w:rPr>
                <w:noProof/>
              </w:rPr>
            </w:pPr>
            <w:r>
              <w:rPr>
                <w:noProof/>
              </w:rPr>
              <w:t>53</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2F6D6EC8" w14:textId="77777777" w:rsidR="0023462A" w:rsidRDefault="00A550FA">
            <w:pPr>
              <w:pStyle w:val="P68B1DB1-Normal80"/>
              <w:spacing w:after="120" w:line="240" w:lineRule="auto"/>
              <w:rPr>
                <w:noProof/>
              </w:rPr>
            </w:pPr>
            <w:r>
              <w:rPr>
                <w:noProof/>
              </w:rPr>
              <w:t>C7.I4 Infrastructures sanitaires et sociales locales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143FCDD1" w14:textId="0D53E19E" w:rsidR="0023462A" w:rsidRDefault="00A550FA">
            <w:pPr>
              <w:pStyle w:val="P68B1DB1-Normal80"/>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6EC798A0" w14:textId="77777777" w:rsidR="0023462A" w:rsidRDefault="00A550FA">
            <w:pPr>
              <w:pStyle w:val="P68B1DB1-Normal80"/>
              <w:spacing w:after="120" w:line="240" w:lineRule="auto"/>
              <w:rPr>
                <w:noProof/>
              </w:rPr>
            </w:pPr>
            <w:r>
              <w:rPr>
                <w:noProof/>
              </w:rPr>
              <w:t>Infrastructures sanitaires et sociales locales</w:t>
            </w:r>
          </w:p>
        </w:tc>
      </w:tr>
      <w:tr w:rsidR="0023462A" w14:paraId="58DE974F"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2EE69C7A" w14:textId="77777777" w:rsidR="0023462A" w:rsidRDefault="00A550FA">
            <w:pPr>
              <w:pStyle w:val="P68B1DB1-Normal80"/>
              <w:spacing w:after="120" w:line="240" w:lineRule="auto"/>
              <w:rPr>
                <w:noProof/>
              </w:rPr>
            </w:pPr>
            <w:r>
              <w:rPr>
                <w:noProof/>
              </w:rPr>
              <w:t>54</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0D5744CF" w14:textId="32955585" w:rsidR="0023462A" w:rsidRDefault="00A550FA">
            <w:pPr>
              <w:pStyle w:val="P68B1DB1-Normal80"/>
              <w:spacing w:after="120" w:line="240" w:lineRule="auto"/>
              <w:ind w:left="52"/>
              <w:rPr>
                <w:noProof/>
                <w:highlight w:val="yellow"/>
              </w:rPr>
            </w:pPr>
            <w:r>
              <w:rPr>
                <w:noProof/>
              </w:rPr>
              <w:t>C8.R1 Entrée en vigueur de la législation relative à une autorité chargée de l'intégrité</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67F78181" w14:textId="77777777" w:rsidR="0023462A" w:rsidRDefault="00A550FA">
            <w:pPr>
              <w:pStyle w:val="P68B1DB1-Normal80"/>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1D301692" w14:textId="504BA1CA" w:rsidR="0023462A" w:rsidRDefault="00A550FA">
            <w:pPr>
              <w:pStyle w:val="P68B1DB1-Normal80"/>
              <w:spacing w:after="120" w:line="240" w:lineRule="auto"/>
              <w:rPr>
                <w:noProof/>
              </w:rPr>
            </w:pPr>
            <w:r>
              <w:rPr>
                <w:noProof/>
              </w:rPr>
              <w:t>Entrée en vigueur de la législation relative à une autorité chargée de l'intégrité</w:t>
            </w:r>
          </w:p>
        </w:tc>
      </w:tr>
      <w:tr w:rsidR="0023462A" w14:paraId="3891AD1D"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6E5F9B58" w14:textId="77777777" w:rsidR="0023462A" w:rsidRDefault="00A550FA">
            <w:pPr>
              <w:pStyle w:val="P68B1DB1-Normal80"/>
              <w:spacing w:after="120" w:line="240" w:lineRule="auto"/>
              <w:rPr>
                <w:noProof/>
              </w:rPr>
            </w:pPr>
            <w:r>
              <w:rPr>
                <w:noProof/>
              </w:rPr>
              <w:t>55</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64D78384" w14:textId="5F087A5B" w:rsidR="0023462A" w:rsidRDefault="00A550FA">
            <w:pPr>
              <w:pStyle w:val="P68B1DB1-Normal80"/>
              <w:spacing w:after="120" w:line="240" w:lineRule="auto"/>
              <w:ind w:left="52"/>
              <w:rPr>
                <w:noProof/>
              </w:rPr>
            </w:pPr>
            <w:r>
              <w:rPr>
                <w:noProof/>
              </w:rPr>
              <w:t>C8.R1 Entrée en vigueur de la législation relative à une autorité chargée de l'intégrité</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3ADD453B" w14:textId="77777777" w:rsidR="0023462A" w:rsidRDefault="00A550FA">
            <w:pPr>
              <w:pStyle w:val="P68B1DB1-Normal80"/>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55B5BFF3" w14:textId="77777777" w:rsidR="0023462A" w:rsidRDefault="00A550FA">
            <w:pPr>
              <w:pStyle w:val="P68B1DB1-Normal80"/>
              <w:spacing w:after="120" w:line="240" w:lineRule="auto"/>
              <w:rPr>
                <w:noProof/>
              </w:rPr>
            </w:pPr>
            <w:r>
              <w:rPr>
                <w:noProof/>
              </w:rPr>
              <w:t>Modifications législatives concernant les pouvoirs et compétences de l’Autorité pour l’intégrité en matière de vérification des déclarations de patrimoine</w:t>
            </w:r>
          </w:p>
        </w:tc>
      </w:tr>
      <w:tr w:rsidR="0023462A" w14:paraId="3AE6C688"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03F500B0" w14:textId="25FE984C" w:rsidR="0023462A" w:rsidRDefault="00A550FA">
            <w:pPr>
              <w:pStyle w:val="P68B1DB1-Normal80"/>
              <w:spacing w:after="120" w:line="240" w:lineRule="auto"/>
              <w:ind w:left="52"/>
              <w:textAlignment w:val="baseline"/>
              <w:rPr>
                <w:noProof/>
              </w:rPr>
            </w:pPr>
            <w:r>
              <w:rPr>
                <w:noProof/>
              </w:rPr>
              <w:t>56</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6927FF68" w14:textId="477A4FFE" w:rsidR="0023462A" w:rsidRDefault="00A550FA">
            <w:pPr>
              <w:pStyle w:val="P68B1DB1-Normal80"/>
              <w:spacing w:after="120" w:line="240" w:lineRule="auto"/>
              <w:ind w:left="52"/>
              <w:rPr>
                <w:noProof/>
              </w:rPr>
            </w:pPr>
            <w:r>
              <w:rPr>
                <w:noProof/>
              </w:rPr>
              <w:t>C8.R2 Participation à la coopération renforcée concernant la création du Parquet européen</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3E7E1DB6" w14:textId="77777777" w:rsidR="0023462A" w:rsidRDefault="00A550FA">
            <w:pPr>
              <w:pStyle w:val="P68B1DB1-Normal80"/>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07469C4C" w14:textId="77777777" w:rsidR="0023462A" w:rsidRDefault="00A550FA">
            <w:pPr>
              <w:pStyle w:val="P68B1DB1-Normal80"/>
              <w:spacing w:after="120" w:line="240" w:lineRule="auto"/>
              <w:rPr>
                <w:noProof/>
              </w:rPr>
            </w:pPr>
            <w:r>
              <w:rPr>
                <w:noProof/>
              </w:rPr>
              <w:t>Participation à une coopération renforcée liée au Parquet européen</w:t>
            </w:r>
          </w:p>
        </w:tc>
      </w:tr>
      <w:tr w:rsidR="0023462A" w14:paraId="0D96BE12"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425B2EB7" w14:textId="77777777" w:rsidR="0023462A" w:rsidRDefault="00A550FA">
            <w:pPr>
              <w:pStyle w:val="P68B1DB1-Normal80"/>
              <w:spacing w:after="120" w:line="240" w:lineRule="auto"/>
              <w:ind w:left="52"/>
              <w:textAlignment w:val="baseline"/>
              <w:rPr>
                <w:noProof/>
              </w:rPr>
            </w:pPr>
            <w:r>
              <w:rPr>
                <w:noProof/>
              </w:rPr>
              <w:t>57</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3F1BFE1E" w14:textId="20C3499C" w:rsidR="0023462A" w:rsidRDefault="00A550FA">
            <w:pPr>
              <w:pStyle w:val="P68B1DB1-Normal80"/>
              <w:spacing w:after="120" w:line="240" w:lineRule="auto"/>
              <w:ind w:left="52"/>
              <w:rPr>
                <w:noProof/>
              </w:rPr>
            </w:pPr>
            <w:r>
              <w:rPr>
                <w:noProof/>
              </w:rPr>
              <w:t xml:space="preserve">C8.R3 Entrée en vigueur des actes juridiques relatifs à une task force de lutte contre la corruption </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2FF0A45C" w14:textId="77777777" w:rsidR="0023462A" w:rsidRDefault="00A550FA">
            <w:pPr>
              <w:pStyle w:val="P68B1DB1-Normal80"/>
              <w:spacing w:after="120" w:line="240" w:lineRule="auto"/>
              <w:rPr>
                <w:noProof/>
              </w:rPr>
            </w:pPr>
            <w:r>
              <w:rPr>
                <w:noProof/>
              </w:rPr>
              <w:t>Étape </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3DDE20A2" w14:textId="77777777" w:rsidR="0023462A" w:rsidRDefault="00A550FA">
            <w:pPr>
              <w:pStyle w:val="P68B1DB1-Normal80"/>
              <w:spacing w:after="120" w:line="240" w:lineRule="auto"/>
              <w:rPr>
                <w:noProof/>
              </w:rPr>
            </w:pPr>
            <w:r>
              <w:rPr>
                <w:noProof/>
              </w:rPr>
              <w:t xml:space="preserve">Entrée en vigueur des actes juridiques relatifs à une task force de lutte contre la corruption </w:t>
            </w:r>
          </w:p>
        </w:tc>
      </w:tr>
      <w:tr w:rsidR="0023462A" w14:paraId="0750E2CC"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6B067C7F" w14:textId="77777777" w:rsidR="0023462A" w:rsidRDefault="00A550FA">
            <w:pPr>
              <w:pStyle w:val="P68B1DB1-Normal80"/>
              <w:spacing w:after="120" w:line="240" w:lineRule="auto"/>
              <w:ind w:left="52"/>
              <w:textAlignment w:val="baseline"/>
              <w:rPr>
                <w:noProof/>
              </w:rPr>
            </w:pPr>
            <w:r>
              <w:rPr>
                <w:noProof/>
              </w:rPr>
              <w:t>58</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72E30AAC" w14:textId="77777777" w:rsidR="0023462A" w:rsidRDefault="00A550FA">
            <w:pPr>
              <w:pStyle w:val="P68B1DB1-Normal80"/>
              <w:spacing w:after="120" w:line="240" w:lineRule="auto"/>
              <w:ind w:left="52"/>
              <w:rPr>
                <w:noProof/>
              </w:rPr>
            </w:pPr>
            <w:r>
              <w:rPr>
                <w:noProof/>
              </w:rPr>
              <w:t>C8.R4 Introduction d’une procédure spécifique en cas d’infractions spéciales liées à l’exercice de l’autorité publique ou à la gestion de biens publics («contrôle juridictionnel»)</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0B1D501D" w14:textId="77777777" w:rsidR="0023462A" w:rsidRDefault="00A550FA">
            <w:pPr>
              <w:pStyle w:val="P68B1DB1-Normal80"/>
              <w:spacing w:after="120" w:line="240" w:lineRule="auto"/>
              <w:rPr>
                <w:noProof/>
              </w:rPr>
            </w:pPr>
            <w:r>
              <w:rPr>
                <w:noProof/>
              </w:rPr>
              <w:t>Étape </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7E97241A" w14:textId="58DFA626" w:rsidR="0023462A" w:rsidRDefault="00A550FA">
            <w:pPr>
              <w:pStyle w:val="P68B1DB1-Normal80"/>
              <w:spacing w:after="120" w:line="240" w:lineRule="auto"/>
              <w:rPr>
                <w:noProof/>
              </w:rPr>
            </w:pPr>
            <w:r>
              <w:rPr>
                <w:noProof/>
              </w:rPr>
              <w:t>Modification(s) législative(s) concernant une procédure en cas de certaines pratiques de corruption et pratiques liées à la corruption</w:t>
            </w:r>
          </w:p>
        </w:tc>
      </w:tr>
      <w:tr w:rsidR="0023462A" w14:paraId="042A4A0E"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45196E92" w14:textId="77777777" w:rsidR="0023462A" w:rsidRDefault="00A550FA">
            <w:pPr>
              <w:pStyle w:val="P68B1DB1-Normal80"/>
              <w:spacing w:after="120" w:line="240" w:lineRule="auto"/>
              <w:ind w:left="52"/>
              <w:textAlignment w:val="baseline"/>
              <w:rPr>
                <w:noProof/>
              </w:rPr>
            </w:pPr>
            <w:r>
              <w:rPr>
                <w:noProof/>
              </w:rPr>
              <w:t>59</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383F11C8" w14:textId="6E334BC2" w:rsidR="0023462A" w:rsidRDefault="00A550FA">
            <w:pPr>
              <w:pStyle w:val="P68B1DB1-Normal80"/>
              <w:spacing w:after="120" w:line="240" w:lineRule="auto"/>
              <w:ind w:left="52"/>
              <w:textAlignment w:val="baseline"/>
              <w:rPr>
                <w:noProof/>
              </w:rPr>
            </w:pPr>
            <w:r>
              <w:rPr>
                <w:noProof/>
              </w:rPr>
              <w:t>C8.R5 Modification des règles relatives aux déclarations de patrimoine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6699F228" w14:textId="77777777" w:rsidR="0023462A" w:rsidRDefault="00A550FA">
            <w:pPr>
              <w:pStyle w:val="P68B1DB1-Normal80"/>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3AEBD3D4" w14:textId="77777777" w:rsidR="0023462A" w:rsidRDefault="00A550FA">
            <w:pPr>
              <w:pStyle w:val="P68B1DB1-Normal80"/>
              <w:spacing w:after="120" w:line="240" w:lineRule="auto"/>
              <w:rPr>
                <w:noProof/>
              </w:rPr>
            </w:pPr>
            <w:r>
              <w:rPr>
                <w:noProof/>
              </w:rPr>
              <w:t xml:space="preserve">Entrée en vigueur de modifications législatives élargissant le champ d’application personnel et matériel des déclarations de patrimoine, tout en garantissant une divulgation fréquente </w:t>
            </w:r>
          </w:p>
        </w:tc>
      </w:tr>
      <w:tr w:rsidR="0023462A" w14:paraId="2806EA49"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6567ACFC" w14:textId="77777777" w:rsidR="0023462A" w:rsidRDefault="00A550FA">
            <w:pPr>
              <w:pStyle w:val="P68B1DB1-Normal80"/>
              <w:spacing w:after="120" w:line="240" w:lineRule="auto"/>
              <w:ind w:left="52"/>
              <w:textAlignment w:val="baseline"/>
              <w:rPr>
                <w:noProof/>
              </w:rPr>
            </w:pPr>
            <w:r>
              <w:rPr>
                <w:noProof/>
              </w:rPr>
              <w:t>60</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01C63C3D" w14:textId="3E9ED3E2" w:rsidR="0023462A" w:rsidRDefault="00A550FA">
            <w:pPr>
              <w:pStyle w:val="P68B1DB1-Normal80"/>
              <w:spacing w:after="120" w:line="240" w:lineRule="auto"/>
              <w:ind w:left="52"/>
              <w:textAlignment w:val="baseline"/>
              <w:rPr>
                <w:noProof/>
              </w:rPr>
            </w:pPr>
            <w:r>
              <w:rPr>
                <w:noProof/>
              </w:rPr>
              <w:t>C8.R5 Modification des règles relatives aux déclarations de patrimoine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2D019028" w14:textId="77777777" w:rsidR="0023462A" w:rsidRDefault="00A550FA">
            <w:pPr>
              <w:pStyle w:val="P68B1DB1-Normal80"/>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30041784" w14:textId="6603110F" w:rsidR="0023462A" w:rsidRDefault="00A550FA">
            <w:pPr>
              <w:pStyle w:val="P68B1DB1-Normal80"/>
              <w:spacing w:after="120" w:line="240" w:lineRule="auto"/>
              <w:rPr>
                <w:noProof/>
              </w:rPr>
            </w:pPr>
            <w:r>
              <w:rPr>
                <w:noProof/>
              </w:rPr>
              <w:t>Entrée en vigueur des modifications législatives relatives à la mise en place d’un système de soumission électronique des déclarations de patrimoine au format numérique et d’une base de données publique pour les déclarations de patrimoine</w:t>
            </w:r>
          </w:p>
        </w:tc>
      </w:tr>
      <w:tr w:rsidR="0023462A" w14:paraId="0FC8830D"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2C56C95D" w14:textId="77777777" w:rsidR="0023462A" w:rsidRDefault="00A550FA">
            <w:pPr>
              <w:pStyle w:val="P68B1DB1-Normal80"/>
              <w:spacing w:after="120" w:line="240" w:lineRule="auto"/>
              <w:ind w:left="52"/>
              <w:textAlignment w:val="baseline"/>
              <w:rPr>
                <w:noProof/>
              </w:rPr>
            </w:pPr>
            <w:r>
              <w:rPr>
                <w:noProof/>
              </w:rPr>
              <w:t>61</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1877BC45" w14:textId="77777777" w:rsidR="0023462A" w:rsidRDefault="00A550FA">
            <w:pPr>
              <w:pStyle w:val="P68B1DB1-Normal80"/>
              <w:spacing w:after="120" w:line="240" w:lineRule="auto"/>
              <w:ind w:left="52"/>
              <w:textAlignment w:val="baseline"/>
              <w:rPr>
                <w:noProof/>
              </w:rPr>
            </w:pPr>
            <w:r>
              <w:rPr>
                <w:noProof/>
              </w:rPr>
              <w:t>C8.R5 Modification des règles relatives aux déclarations de patrimoine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447E617B" w14:textId="77777777" w:rsidR="0023462A" w:rsidRDefault="00A550FA">
            <w:pPr>
              <w:pStyle w:val="P68B1DB1-Normal80"/>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3F6E9149" w14:textId="77777777" w:rsidR="0023462A" w:rsidRDefault="00A550FA">
            <w:pPr>
              <w:pStyle w:val="P68B1DB1-Normal80"/>
              <w:spacing w:after="120" w:line="240" w:lineRule="auto"/>
              <w:rPr>
                <w:noProof/>
              </w:rPr>
            </w:pPr>
            <w:r>
              <w:rPr>
                <w:noProof/>
              </w:rPr>
              <w:t>Introduction de sanctions concernant les violations des obligations en matière de déclaration de patrimoine</w:t>
            </w:r>
          </w:p>
        </w:tc>
      </w:tr>
      <w:tr w:rsidR="0023462A" w14:paraId="4C72CAA8"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1A5841EC" w14:textId="77777777" w:rsidR="0023462A" w:rsidRDefault="00A550FA">
            <w:pPr>
              <w:pStyle w:val="P68B1DB1-Normal80"/>
              <w:spacing w:after="120" w:line="240" w:lineRule="auto"/>
              <w:ind w:left="52"/>
              <w:textAlignment w:val="baseline"/>
              <w:rPr>
                <w:noProof/>
              </w:rPr>
            </w:pPr>
            <w:r>
              <w:rPr>
                <w:noProof/>
              </w:rPr>
              <w:t>62</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46E5B70D" w14:textId="77777777" w:rsidR="0023462A" w:rsidRDefault="00A550FA">
            <w:pPr>
              <w:pStyle w:val="P68B1DB1-Normal80"/>
              <w:spacing w:after="120" w:line="240" w:lineRule="auto"/>
              <w:ind w:left="52"/>
              <w:textAlignment w:val="baseline"/>
              <w:rPr>
                <w:noProof/>
              </w:rPr>
            </w:pPr>
            <w:r>
              <w:rPr>
                <w:noProof/>
              </w:rPr>
              <w:t>C8.R6 Entrée en vigueur des actes juridiques relatifs à la transparence de l'utilisation des ressources publiques par les fondations de gestion d'actifs d'intérêt public</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75AC5007" w14:textId="77777777" w:rsidR="0023462A" w:rsidRDefault="00A550FA">
            <w:pPr>
              <w:pStyle w:val="P68B1DB1-Normal80"/>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6E87025E" w14:textId="68B5670C" w:rsidR="0023462A" w:rsidRDefault="00A550FA">
            <w:pPr>
              <w:pStyle w:val="P68B1DB1-Normal80"/>
              <w:spacing w:after="120" w:line="240" w:lineRule="auto"/>
              <w:rPr>
                <w:noProof/>
              </w:rPr>
            </w:pPr>
            <w:r>
              <w:rPr>
                <w:noProof/>
              </w:rPr>
              <w:t>Entrée en vigueur des modifications législatives relatives à la surveillance de la manière dont les fondations de gestion d’actifs d’intérêt public accomplissant des missions d’intérêt public et les personnes morales qu’elles établissent ou entretiennent utilisent le soutien de l’Union</w:t>
            </w:r>
          </w:p>
        </w:tc>
      </w:tr>
      <w:tr w:rsidR="0023462A" w14:paraId="27F0186D"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6AD56845" w14:textId="77777777" w:rsidR="0023462A" w:rsidRDefault="00A550FA">
            <w:pPr>
              <w:pStyle w:val="P68B1DB1-Normal80"/>
              <w:spacing w:after="120" w:line="240" w:lineRule="auto"/>
              <w:ind w:left="52"/>
              <w:textAlignment w:val="baseline"/>
              <w:rPr>
                <w:noProof/>
              </w:rPr>
            </w:pPr>
            <w:r>
              <w:rPr>
                <w:noProof/>
              </w:rPr>
              <w:t>63</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6CFE37FC" w14:textId="3325724D" w:rsidR="0023462A" w:rsidRDefault="00A550FA">
            <w:pPr>
              <w:pStyle w:val="P68B1DB1-Normal80"/>
              <w:spacing w:after="120" w:line="240" w:lineRule="auto"/>
              <w:ind w:left="52"/>
              <w:rPr>
                <w:noProof/>
              </w:rPr>
            </w:pPr>
            <w:r>
              <w:rPr>
                <w:noProof/>
              </w:rPr>
              <w:t>C8.R7 Renforcer la transparence des dépenses publiques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6FB6BE12" w14:textId="77777777" w:rsidR="0023462A" w:rsidRDefault="00A550FA">
            <w:pPr>
              <w:pStyle w:val="P68B1DB1-Normal80"/>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50A6BEBC" w14:textId="77777777" w:rsidR="0023462A" w:rsidRDefault="00A550FA">
            <w:pPr>
              <w:pStyle w:val="P68B1DB1-Normal80"/>
              <w:spacing w:after="120" w:line="240" w:lineRule="auto"/>
              <w:rPr>
                <w:noProof/>
              </w:rPr>
            </w:pPr>
            <w:r>
              <w:rPr>
                <w:noProof/>
              </w:rPr>
              <w:t>Entrée en vigueur d'une législation visant à renforcer la transparence des dépenses publiques</w:t>
            </w:r>
          </w:p>
        </w:tc>
      </w:tr>
      <w:tr w:rsidR="0023462A" w14:paraId="279AC125"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4C7CC16C" w14:textId="40EE3655" w:rsidR="0023462A" w:rsidRDefault="00A550FA">
            <w:pPr>
              <w:pStyle w:val="P68B1DB1-Normal80"/>
              <w:spacing w:after="120" w:line="240" w:lineRule="auto"/>
              <w:ind w:left="52"/>
              <w:textAlignment w:val="baseline"/>
              <w:rPr>
                <w:noProof/>
              </w:rPr>
            </w:pPr>
            <w:r>
              <w:rPr>
                <w:noProof/>
              </w:rPr>
              <w:t>64</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69153189" w14:textId="77777777" w:rsidR="0023462A" w:rsidRDefault="00A550FA">
            <w:pPr>
              <w:pStyle w:val="P68B1DB1-Normal80"/>
              <w:spacing w:after="120" w:line="240" w:lineRule="auto"/>
              <w:ind w:left="52"/>
              <w:rPr>
                <w:noProof/>
              </w:rPr>
            </w:pPr>
            <w:r>
              <w:rPr>
                <w:noProof/>
              </w:rPr>
              <w:t>C8.R8 Règles garantissant la transparence des bénéficiaires effectifs des entités et sur l’utilisation des subventions publiques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6D1A44C9" w14:textId="77777777" w:rsidR="0023462A" w:rsidRDefault="00A550FA">
            <w:pPr>
              <w:pStyle w:val="P68B1DB1-Normal80"/>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23CDC211" w14:textId="77777777" w:rsidR="0023462A" w:rsidRDefault="00A550FA">
            <w:pPr>
              <w:pStyle w:val="P68B1DB1-Normal80"/>
              <w:spacing w:after="120" w:line="240" w:lineRule="auto"/>
              <w:rPr>
                <w:noProof/>
              </w:rPr>
            </w:pPr>
            <w:r>
              <w:rPr>
                <w:noProof/>
              </w:rPr>
              <w:t xml:space="preserve">Amendements législatifs garantissant la transparence des données des personnes physiques qui sont les bénéficiaires effectifs et législation visant à clarifier le champ d’application des agents publics et des entités qui sont exclus du bénéfice de subventions publiques </w:t>
            </w:r>
          </w:p>
        </w:tc>
      </w:tr>
      <w:tr w:rsidR="0023462A" w14:paraId="74AB0524"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76F08067" w14:textId="77777777" w:rsidR="0023462A" w:rsidRDefault="00A550FA">
            <w:pPr>
              <w:pStyle w:val="P68B1DB1-Normal80"/>
              <w:spacing w:after="120" w:line="240" w:lineRule="auto"/>
              <w:ind w:left="52"/>
              <w:textAlignment w:val="baseline"/>
              <w:rPr>
                <w:noProof/>
              </w:rPr>
            </w:pPr>
            <w:r>
              <w:rPr>
                <w:noProof/>
              </w:rPr>
              <w:t>65</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037AF911" w14:textId="77777777" w:rsidR="0023462A" w:rsidRDefault="00A550FA">
            <w:pPr>
              <w:pStyle w:val="P68B1DB1-Normal80"/>
              <w:spacing w:after="120" w:line="240" w:lineRule="auto"/>
              <w:ind w:left="52"/>
              <w:rPr>
                <w:noProof/>
              </w:rPr>
            </w:pPr>
            <w:r>
              <w:rPr>
                <w:noProof/>
              </w:rPr>
              <w:t>C8.R9 Réduction de la part des procédures de marchés publics à offre unique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1FB1A837" w14:textId="77777777" w:rsidR="0023462A" w:rsidRDefault="00A550FA">
            <w:pPr>
              <w:pStyle w:val="P68B1DB1-Normal80"/>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7D8F11CE" w14:textId="77777777" w:rsidR="0023462A" w:rsidRDefault="00A550FA">
            <w:pPr>
              <w:pStyle w:val="P68B1DB1-Normal80"/>
              <w:spacing w:after="120" w:line="240" w:lineRule="auto"/>
              <w:rPr>
                <w:noProof/>
              </w:rPr>
            </w:pPr>
            <w:r>
              <w:rPr>
                <w:noProof/>
              </w:rPr>
              <w:t>La part des procédures d’appel d’offres comportant des offres uniques pour les marchés financés par le soutien de l’Union ne dépasse pas 15 %.</w:t>
            </w:r>
          </w:p>
        </w:tc>
      </w:tr>
      <w:tr w:rsidR="0023462A" w14:paraId="57136149"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442F34BB" w14:textId="0DA7213D" w:rsidR="0023462A" w:rsidRDefault="00A550FA">
            <w:pPr>
              <w:pStyle w:val="P68B1DB1-Normal80"/>
              <w:spacing w:after="120" w:line="240" w:lineRule="auto"/>
              <w:ind w:left="52"/>
              <w:textAlignment w:val="baseline"/>
              <w:rPr>
                <w:noProof/>
              </w:rPr>
            </w:pPr>
            <w:r>
              <w:rPr>
                <w:noProof/>
              </w:rPr>
              <w:t>66</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6206BEE7" w14:textId="77777777" w:rsidR="0023462A" w:rsidRDefault="00A550FA">
            <w:pPr>
              <w:pStyle w:val="P68B1DB1-Normal80"/>
              <w:spacing w:after="120" w:line="240" w:lineRule="auto"/>
              <w:ind w:left="52"/>
              <w:rPr>
                <w:noProof/>
              </w:rPr>
            </w:pPr>
            <w:r>
              <w:rPr>
                <w:noProof/>
              </w:rPr>
              <w:t xml:space="preserve">C8.R10 Renforcer l'intégrité, la transparence et la compétitivité des marchés publics </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37D67D02" w14:textId="77777777" w:rsidR="0023462A" w:rsidRDefault="00A550FA">
            <w:pPr>
              <w:pStyle w:val="P68B1DB1-Normal80"/>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3A868E71" w14:textId="77777777" w:rsidR="0023462A" w:rsidRDefault="00A550FA">
            <w:pPr>
              <w:pStyle w:val="P68B1DB1-Normal80"/>
              <w:spacing w:after="120" w:line="240" w:lineRule="auto"/>
              <w:rPr>
                <w:noProof/>
              </w:rPr>
            </w:pPr>
            <w:r>
              <w:rPr>
                <w:noProof/>
              </w:rPr>
              <w:t xml:space="preserve">Acte(s) juridique(s) sur les marchés publics visant à renforcer la transparence des procédures de passation des marchés publics et à introduire des règles de prévention de la corruption </w:t>
            </w:r>
          </w:p>
        </w:tc>
      </w:tr>
      <w:tr w:rsidR="0023462A" w14:paraId="23BA9B2A"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1D881E5D" w14:textId="77777777" w:rsidR="0023462A" w:rsidRDefault="00A550FA">
            <w:pPr>
              <w:pStyle w:val="P68B1DB1-Normal80"/>
              <w:spacing w:after="120" w:line="240" w:lineRule="auto"/>
              <w:ind w:left="52"/>
              <w:textAlignment w:val="baseline"/>
              <w:rPr>
                <w:noProof/>
              </w:rPr>
            </w:pPr>
            <w:r>
              <w:rPr>
                <w:noProof/>
              </w:rPr>
              <w:t>67</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0A019E65" w14:textId="77777777" w:rsidR="0023462A" w:rsidRDefault="00A550FA">
            <w:pPr>
              <w:pStyle w:val="P68B1DB1-Normal80"/>
              <w:spacing w:after="120" w:line="240" w:lineRule="auto"/>
              <w:ind w:left="52"/>
              <w:rPr>
                <w:noProof/>
              </w:rPr>
            </w:pPr>
            <w:r>
              <w:rPr>
                <w:noProof/>
              </w:rPr>
              <w:t>C8.R9 Réduction de la part des procédures de marchés publics à offre unique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7B263C8A" w14:textId="77777777" w:rsidR="0023462A" w:rsidRDefault="00A550FA">
            <w:pPr>
              <w:pStyle w:val="P68B1DB1-Normal80"/>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04ED6EA6" w14:textId="77777777" w:rsidR="0023462A" w:rsidRDefault="00A550FA">
            <w:pPr>
              <w:pStyle w:val="P68B1DB1-Normal80"/>
              <w:spacing w:after="120" w:line="240" w:lineRule="auto"/>
              <w:rPr>
                <w:noProof/>
              </w:rPr>
            </w:pPr>
            <w:r>
              <w:rPr>
                <w:noProof/>
              </w:rPr>
              <w:t xml:space="preserve">Mise en place d’un outil de suivi et de compte rendu («outil de compte rendu à offre unique») </w:t>
            </w:r>
          </w:p>
        </w:tc>
      </w:tr>
      <w:tr w:rsidR="0023462A" w14:paraId="38B3209D"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48DF7153" w14:textId="77777777" w:rsidR="0023462A" w:rsidRDefault="00A550FA">
            <w:pPr>
              <w:pStyle w:val="P68B1DB1-Normal80"/>
              <w:spacing w:after="120" w:line="240" w:lineRule="auto"/>
              <w:ind w:left="52"/>
              <w:textAlignment w:val="baseline"/>
              <w:rPr>
                <w:noProof/>
              </w:rPr>
            </w:pPr>
            <w:r>
              <w:rPr>
                <w:noProof/>
              </w:rPr>
              <w:t>68</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3176DB8D" w14:textId="5FB2EA24" w:rsidR="0023462A" w:rsidRDefault="00A550FA">
            <w:pPr>
              <w:pStyle w:val="P68B1DB1-Normal80"/>
              <w:spacing w:after="120" w:line="240" w:lineRule="auto"/>
              <w:ind w:left="52"/>
              <w:rPr>
                <w:noProof/>
              </w:rPr>
            </w:pPr>
            <w:r>
              <w:rPr>
                <w:noProof/>
              </w:rPr>
              <w:t xml:space="preserve">C8.R11 Développement du système électronique de passation des marchés publics (EPS) pour accroître la transparence </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37D17096" w14:textId="77777777" w:rsidR="0023462A" w:rsidRDefault="00A550FA">
            <w:pPr>
              <w:pStyle w:val="P68B1DB1-Normal80"/>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78D90574" w14:textId="77777777" w:rsidR="0023462A" w:rsidRDefault="00A550FA">
            <w:pPr>
              <w:pStyle w:val="P68B1DB1-Normal80"/>
              <w:spacing w:after="120" w:line="240" w:lineRule="auto"/>
              <w:rPr>
                <w:noProof/>
              </w:rPr>
            </w:pPr>
            <w:r>
              <w:rPr>
                <w:noProof/>
              </w:rPr>
              <w:t xml:space="preserve">Le SPE mis à niveau avec les nouvelles fonctionnalités est accessible au public </w:t>
            </w:r>
          </w:p>
        </w:tc>
      </w:tr>
      <w:tr w:rsidR="0023462A" w14:paraId="202B9206"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4AF6E90C" w14:textId="77777777" w:rsidR="0023462A" w:rsidRDefault="00A550FA">
            <w:pPr>
              <w:pStyle w:val="P68B1DB1-Normal80"/>
              <w:spacing w:after="120" w:line="240" w:lineRule="auto"/>
              <w:ind w:left="52"/>
              <w:textAlignment w:val="baseline"/>
              <w:rPr>
                <w:noProof/>
              </w:rPr>
            </w:pPr>
            <w:r>
              <w:rPr>
                <w:noProof/>
              </w:rPr>
              <w:t>69</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7D574C2B" w14:textId="77777777" w:rsidR="0023462A" w:rsidRDefault="00A550FA">
            <w:pPr>
              <w:pStyle w:val="P68B1DB1-Normal80"/>
              <w:spacing w:after="120" w:line="240" w:lineRule="auto"/>
              <w:ind w:left="52"/>
              <w:rPr>
                <w:noProof/>
              </w:rPr>
            </w:pPr>
            <w:r>
              <w:rPr>
                <w:noProof/>
              </w:rPr>
              <w:t>C8.R12 Cadre de mesure de la performance pour les marchés publics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19121385" w14:textId="77777777" w:rsidR="0023462A" w:rsidRDefault="00A550FA">
            <w:pPr>
              <w:pStyle w:val="P68B1DB1-Normal80"/>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058D7E1B" w14:textId="75C78E79" w:rsidR="0023462A" w:rsidRDefault="00A550FA">
            <w:pPr>
              <w:pStyle w:val="P68B1DB1-Normal80"/>
              <w:spacing w:after="120" w:line="240" w:lineRule="auto"/>
              <w:ind w:left="52"/>
              <w:textAlignment w:val="baseline"/>
              <w:rPr>
                <w:noProof/>
              </w:rPr>
            </w:pPr>
            <w:r>
              <w:rPr>
                <w:noProof/>
              </w:rPr>
              <w:t>Mise en place d'un cadre de mesure de la performance des marchés publics</w:t>
            </w:r>
          </w:p>
        </w:tc>
      </w:tr>
      <w:tr w:rsidR="0023462A" w14:paraId="07D5C216"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52A0699A" w14:textId="6DCD3DC5" w:rsidR="0023462A" w:rsidRDefault="00A550FA">
            <w:pPr>
              <w:pStyle w:val="P68B1DB1-Normal80"/>
              <w:spacing w:after="120" w:line="240" w:lineRule="auto"/>
              <w:ind w:left="52"/>
              <w:textAlignment w:val="baseline"/>
              <w:rPr>
                <w:noProof/>
              </w:rPr>
            </w:pPr>
            <w:r>
              <w:rPr>
                <w:noProof/>
              </w:rPr>
              <w:t>70</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6F00207E" w14:textId="77777777" w:rsidR="0023462A" w:rsidRDefault="00A550FA">
            <w:pPr>
              <w:pStyle w:val="P68B1DB1-Normal80"/>
              <w:spacing w:after="120" w:line="240" w:lineRule="auto"/>
              <w:ind w:left="52"/>
              <w:rPr>
                <w:noProof/>
              </w:rPr>
            </w:pPr>
            <w:r>
              <w:rPr>
                <w:noProof/>
              </w:rPr>
              <w:t>C8.R13 Plan</w:t>
            </w:r>
            <w:r>
              <w:rPr>
                <w:b/>
                <w:noProof/>
              </w:rPr>
              <w:t xml:space="preserve"> </w:t>
            </w:r>
            <w:r>
              <w:rPr>
                <w:noProof/>
              </w:rPr>
              <w:t>d'action pour accroître le niveau de concurrence dans les marchés publics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72EB8306" w14:textId="77777777" w:rsidR="0023462A" w:rsidRDefault="00A550FA">
            <w:pPr>
              <w:pStyle w:val="P68B1DB1-Normal80"/>
              <w:spacing w:after="120" w:line="240" w:lineRule="auto"/>
              <w:rPr>
                <w:noProof/>
              </w:rPr>
            </w:pPr>
            <w:r>
              <w:rPr>
                <w:noProof/>
              </w:rPr>
              <w:t xml:space="preserve">Étape </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5315D694" w14:textId="03B1A4FB" w:rsidR="0023462A" w:rsidRDefault="00A550FA">
            <w:pPr>
              <w:pStyle w:val="P68B1DB1-Normal80"/>
              <w:spacing w:after="120" w:line="240" w:lineRule="auto"/>
              <w:ind w:left="52"/>
              <w:textAlignment w:val="baseline"/>
              <w:rPr>
                <w:noProof/>
              </w:rPr>
            </w:pPr>
            <w:r>
              <w:rPr>
                <w:noProof/>
              </w:rPr>
              <w:t xml:space="preserve">Adoption d'un plan d'action visant à accroître le niveau de concurrence dans les marchés publics </w:t>
            </w:r>
          </w:p>
        </w:tc>
      </w:tr>
      <w:tr w:rsidR="0023462A" w14:paraId="7AF570E5"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tcPr>
          <w:p w14:paraId="2E83830F" w14:textId="77777777" w:rsidR="0023462A" w:rsidRDefault="00A550FA">
            <w:pPr>
              <w:pStyle w:val="P68B1DB1-Normal80"/>
              <w:spacing w:after="120" w:line="240" w:lineRule="auto"/>
              <w:ind w:left="52"/>
              <w:textAlignment w:val="baseline"/>
              <w:rPr>
                <w:noProof/>
              </w:rPr>
            </w:pPr>
            <w:r>
              <w:rPr>
                <w:noProof/>
              </w:rPr>
              <w:t>71</w:t>
            </w:r>
          </w:p>
        </w:tc>
        <w:tc>
          <w:tcPr>
            <w:tcW w:w="3041" w:type="dxa"/>
            <w:tcBorders>
              <w:top w:val="single" w:sz="4" w:space="0" w:color="auto"/>
              <w:left w:val="nil"/>
              <w:bottom w:val="single" w:sz="4" w:space="0" w:color="auto"/>
              <w:right w:val="single" w:sz="4" w:space="0" w:color="auto"/>
            </w:tcBorders>
            <w:shd w:val="clear" w:color="auto" w:fill="C6EFCE"/>
          </w:tcPr>
          <w:p w14:paraId="0647B1B7" w14:textId="74F56F35" w:rsidR="0023462A" w:rsidRDefault="00A550FA">
            <w:pPr>
              <w:pStyle w:val="P68B1DB1-Normal80"/>
              <w:spacing w:after="120" w:line="240" w:lineRule="auto"/>
              <w:ind w:left="52"/>
              <w:rPr>
                <w:noProof/>
              </w:rPr>
            </w:pPr>
            <w:r>
              <w:rPr>
                <w:noProof/>
              </w:rPr>
              <w:t>C8.R14 Renforcement du rôle et des pouvoirs du Conseil national de la magistrature visant à contrebalancer les pouvoirs du président de l’Office national de la magistrature </w:t>
            </w:r>
          </w:p>
        </w:tc>
        <w:tc>
          <w:tcPr>
            <w:tcW w:w="1446" w:type="dxa"/>
            <w:tcBorders>
              <w:top w:val="single" w:sz="4" w:space="0" w:color="auto"/>
              <w:left w:val="nil"/>
              <w:bottom w:val="single" w:sz="4" w:space="0" w:color="auto"/>
              <w:right w:val="single" w:sz="4" w:space="0" w:color="auto"/>
            </w:tcBorders>
            <w:shd w:val="clear" w:color="auto" w:fill="C6EFCE"/>
          </w:tcPr>
          <w:p w14:paraId="0779761A" w14:textId="77777777" w:rsidR="0023462A" w:rsidRDefault="00A550FA">
            <w:pPr>
              <w:pStyle w:val="P68B1DB1-Normal80"/>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tcPr>
          <w:p w14:paraId="59B474E6" w14:textId="65E2115A" w:rsidR="0023462A" w:rsidRDefault="00A550FA">
            <w:pPr>
              <w:pStyle w:val="P68B1DB1-Normal80"/>
              <w:spacing w:after="120" w:line="240" w:lineRule="auto"/>
              <w:ind w:left="52"/>
              <w:textAlignment w:val="baseline"/>
              <w:rPr>
                <w:noProof/>
              </w:rPr>
            </w:pPr>
            <w:r>
              <w:rPr>
                <w:noProof/>
              </w:rPr>
              <w:t xml:space="preserve">Entrée en vigueur des modifications législatives visant à renforcer le rôle du Conseil national de la magistrature </w:t>
            </w:r>
          </w:p>
        </w:tc>
      </w:tr>
      <w:tr w:rsidR="0023462A" w14:paraId="7316C186"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tcPr>
          <w:p w14:paraId="34F8FD20" w14:textId="77777777" w:rsidR="0023462A" w:rsidRDefault="00A550FA">
            <w:pPr>
              <w:pStyle w:val="P68B1DB1-Normal80"/>
              <w:spacing w:after="120" w:line="240" w:lineRule="auto"/>
              <w:ind w:left="52"/>
              <w:textAlignment w:val="baseline"/>
              <w:rPr>
                <w:noProof/>
              </w:rPr>
            </w:pPr>
            <w:r>
              <w:rPr>
                <w:noProof/>
              </w:rPr>
              <w:t>72</w:t>
            </w:r>
          </w:p>
        </w:tc>
        <w:tc>
          <w:tcPr>
            <w:tcW w:w="3041" w:type="dxa"/>
            <w:tcBorders>
              <w:top w:val="single" w:sz="4" w:space="0" w:color="auto"/>
              <w:left w:val="nil"/>
              <w:bottom w:val="single" w:sz="4" w:space="0" w:color="auto"/>
              <w:right w:val="single" w:sz="4" w:space="0" w:color="auto"/>
            </w:tcBorders>
            <w:shd w:val="clear" w:color="auto" w:fill="C6EFCE"/>
          </w:tcPr>
          <w:p w14:paraId="4F1378E2" w14:textId="74CFDEE8" w:rsidR="0023462A" w:rsidRDefault="00A550FA">
            <w:pPr>
              <w:pStyle w:val="P68B1DB1-Normal80"/>
              <w:spacing w:after="120" w:line="240" w:lineRule="auto"/>
              <w:ind w:left="52"/>
              <w:rPr>
                <w:noProof/>
              </w:rPr>
            </w:pPr>
            <w:r>
              <w:rPr>
                <w:noProof/>
              </w:rPr>
              <w:t>C8.R15 Indépendance judiciaire de la Cour suprême (Kúria)</w:t>
            </w:r>
          </w:p>
        </w:tc>
        <w:tc>
          <w:tcPr>
            <w:tcW w:w="1446" w:type="dxa"/>
            <w:tcBorders>
              <w:top w:val="single" w:sz="4" w:space="0" w:color="auto"/>
              <w:left w:val="nil"/>
              <w:bottom w:val="single" w:sz="4" w:space="0" w:color="auto"/>
              <w:right w:val="single" w:sz="4" w:space="0" w:color="auto"/>
            </w:tcBorders>
            <w:shd w:val="clear" w:color="auto" w:fill="C6EFCE"/>
          </w:tcPr>
          <w:p w14:paraId="39116226" w14:textId="77777777" w:rsidR="0023462A" w:rsidRDefault="00A550FA">
            <w:pPr>
              <w:pStyle w:val="P68B1DB1-Normal80"/>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tcPr>
          <w:p w14:paraId="6AEF22CB" w14:textId="16AE06E0" w:rsidR="0023462A" w:rsidRDefault="00A550FA">
            <w:pPr>
              <w:pStyle w:val="P68B1DB1-Normal80"/>
              <w:spacing w:after="120" w:line="240" w:lineRule="auto"/>
              <w:ind w:left="52"/>
              <w:textAlignment w:val="baseline"/>
              <w:rPr>
                <w:noProof/>
              </w:rPr>
            </w:pPr>
            <w:r>
              <w:rPr>
                <w:noProof/>
              </w:rPr>
              <w:t>Entrée en vigueur des amendements sur l'indépendance judiciaire de la Cour suprême</w:t>
            </w:r>
          </w:p>
        </w:tc>
      </w:tr>
      <w:tr w:rsidR="0023462A" w14:paraId="0DF95B3C"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tcPr>
          <w:p w14:paraId="4B0B3494" w14:textId="77777777" w:rsidR="0023462A" w:rsidRDefault="00A550FA">
            <w:pPr>
              <w:pStyle w:val="P68B1DB1-Normal80"/>
              <w:spacing w:after="120" w:line="240" w:lineRule="auto"/>
              <w:ind w:left="52"/>
              <w:textAlignment w:val="baseline"/>
              <w:rPr>
                <w:noProof/>
              </w:rPr>
            </w:pPr>
            <w:r>
              <w:rPr>
                <w:noProof/>
              </w:rPr>
              <w:t>73</w:t>
            </w:r>
          </w:p>
        </w:tc>
        <w:tc>
          <w:tcPr>
            <w:tcW w:w="3041" w:type="dxa"/>
            <w:tcBorders>
              <w:top w:val="single" w:sz="4" w:space="0" w:color="auto"/>
              <w:left w:val="nil"/>
              <w:bottom w:val="single" w:sz="4" w:space="0" w:color="auto"/>
              <w:right w:val="single" w:sz="4" w:space="0" w:color="auto"/>
            </w:tcBorders>
            <w:shd w:val="clear" w:color="auto" w:fill="C6EFCE"/>
          </w:tcPr>
          <w:p w14:paraId="07ECF832" w14:textId="77777777" w:rsidR="0023462A" w:rsidRDefault="00A550FA">
            <w:pPr>
              <w:pStyle w:val="P68B1DB1-Normal80"/>
              <w:spacing w:after="120" w:line="240" w:lineRule="auto"/>
              <w:ind w:left="52"/>
              <w:textAlignment w:val="baseline"/>
              <w:rPr>
                <w:rFonts w:eastAsia="Times New Roman"/>
                <w:noProof/>
              </w:rPr>
            </w:pPr>
            <w:r>
              <w:rPr>
                <w:noProof/>
              </w:rPr>
              <w:t>C8.R16: Suppression des obstacles aux renvois préjudiciels devant la Cour de justice de l’Union européenne</w:t>
            </w:r>
          </w:p>
          <w:p w14:paraId="28FA5541" w14:textId="77777777" w:rsidR="0023462A" w:rsidRDefault="0023462A">
            <w:pPr>
              <w:spacing w:after="120" w:line="240" w:lineRule="auto"/>
              <w:ind w:left="52"/>
              <w:textAlignment w:val="baseline"/>
              <w:rPr>
                <w:rFonts w:ascii="Times New Roman" w:eastAsia="Times New Roman" w:hAnsi="Times New Roman" w:cs="Times New Roman"/>
                <w:noProof/>
              </w:rPr>
            </w:pPr>
          </w:p>
        </w:tc>
        <w:tc>
          <w:tcPr>
            <w:tcW w:w="1446" w:type="dxa"/>
            <w:tcBorders>
              <w:top w:val="single" w:sz="4" w:space="0" w:color="auto"/>
              <w:left w:val="nil"/>
              <w:bottom w:val="single" w:sz="4" w:space="0" w:color="auto"/>
              <w:right w:val="single" w:sz="4" w:space="0" w:color="auto"/>
            </w:tcBorders>
            <w:shd w:val="clear" w:color="auto" w:fill="C6EFCE"/>
          </w:tcPr>
          <w:p w14:paraId="26A57635" w14:textId="77777777" w:rsidR="0023462A" w:rsidRDefault="00A550FA">
            <w:pPr>
              <w:pStyle w:val="P68B1DB1-Normal80"/>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tcPr>
          <w:p w14:paraId="34B48FB1" w14:textId="77777777" w:rsidR="0023462A" w:rsidRDefault="00A550FA">
            <w:pPr>
              <w:pStyle w:val="P68B1DB1-Normal80"/>
              <w:spacing w:after="120" w:line="240" w:lineRule="auto"/>
              <w:ind w:left="52"/>
              <w:textAlignment w:val="baseline"/>
              <w:rPr>
                <w:noProof/>
              </w:rPr>
            </w:pPr>
            <w:r>
              <w:rPr>
                <w:noProof/>
              </w:rPr>
              <w:t>Entrée en vigueur de modifications législatives visant à lever les obstacles aux renvois préjudiciels devant la Cour de justice de l’Union européenne</w:t>
            </w:r>
          </w:p>
        </w:tc>
      </w:tr>
      <w:tr w:rsidR="0023462A" w14:paraId="17D8974E"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tcPr>
          <w:p w14:paraId="322DCFC9" w14:textId="77777777" w:rsidR="0023462A" w:rsidRDefault="00A550FA">
            <w:pPr>
              <w:pStyle w:val="P68B1DB1-Normal80"/>
              <w:spacing w:after="120" w:line="240" w:lineRule="auto"/>
              <w:ind w:left="52"/>
              <w:textAlignment w:val="baseline"/>
              <w:rPr>
                <w:noProof/>
              </w:rPr>
            </w:pPr>
            <w:r>
              <w:rPr>
                <w:noProof/>
              </w:rPr>
              <w:t>74</w:t>
            </w:r>
          </w:p>
        </w:tc>
        <w:tc>
          <w:tcPr>
            <w:tcW w:w="3041" w:type="dxa"/>
            <w:tcBorders>
              <w:top w:val="single" w:sz="4" w:space="0" w:color="auto"/>
              <w:left w:val="nil"/>
              <w:bottom w:val="single" w:sz="4" w:space="0" w:color="auto"/>
              <w:right w:val="single" w:sz="4" w:space="0" w:color="auto"/>
            </w:tcBorders>
            <w:shd w:val="clear" w:color="auto" w:fill="C6EFCE"/>
          </w:tcPr>
          <w:p w14:paraId="22891455" w14:textId="77777777" w:rsidR="0023462A" w:rsidRDefault="00A550FA">
            <w:pPr>
              <w:pStyle w:val="P68B1DB1-Normal80"/>
              <w:spacing w:after="120" w:line="240" w:lineRule="auto"/>
              <w:ind w:left="52"/>
              <w:textAlignment w:val="baseline"/>
              <w:rPr>
                <w:noProof/>
              </w:rPr>
            </w:pPr>
            <w:r>
              <w:rPr>
                <w:noProof/>
              </w:rPr>
              <w:t>C8.R17 Réforme concernant le contrôle des jugements définitifs par la Cour constitutionnelle</w:t>
            </w:r>
          </w:p>
        </w:tc>
        <w:tc>
          <w:tcPr>
            <w:tcW w:w="1446" w:type="dxa"/>
            <w:tcBorders>
              <w:top w:val="single" w:sz="4" w:space="0" w:color="auto"/>
              <w:left w:val="nil"/>
              <w:bottom w:val="single" w:sz="4" w:space="0" w:color="auto"/>
              <w:right w:val="single" w:sz="4" w:space="0" w:color="auto"/>
            </w:tcBorders>
            <w:shd w:val="clear" w:color="auto" w:fill="C6EFCE"/>
          </w:tcPr>
          <w:p w14:paraId="7FDDD133" w14:textId="77777777" w:rsidR="0023462A" w:rsidRDefault="00A550FA">
            <w:pPr>
              <w:pStyle w:val="P68B1DB1-Normal80"/>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tcPr>
          <w:p w14:paraId="7BAF86F0" w14:textId="77777777" w:rsidR="0023462A" w:rsidRDefault="00A550FA">
            <w:pPr>
              <w:pStyle w:val="P68B1DB1-Normal80"/>
              <w:spacing w:after="120" w:line="240" w:lineRule="auto"/>
              <w:ind w:left="52"/>
              <w:textAlignment w:val="baseline"/>
              <w:rPr>
                <w:noProof/>
              </w:rPr>
            </w:pPr>
            <w:r>
              <w:rPr>
                <w:noProof/>
              </w:rPr>
              <w:t>Entrée en vigueur des modifications législatives visant à supprimer la possibilité pour les autorités publiques de contester les décisions définitives devant la Cour constitutionnelle</w:t>
            </w:r>
          </w:p>
        </w:tc>
      </w:tr>
      <w:tr w:rsidR="0023462A" w14:paraId="106F0B53"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6B315763" w14:textId="77777777" w:rsidR="0023462A" w:rsidRDefault="00A550FA">
            <w:pPr>
              <w:pStyle w:val="P68B1DB1-Normal80"/>
              <w:spacing w:after="120" w:line="240" w:lineRule="auto"/>
              <w:ind w:left="52"/>
              <w:textAlignment w:val="baseline"/>
              <w:rPr>
                <w:noProof/>
              </w:rPr>
            </w:pPr>
            <w:r>
              <w:rPr>
                <w:noProof/>
              </w:rPr>
              <w:t>75</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5EF258D0" w14:textId="77777777" w:rsidR="0023462A" w:rsidRDefault="00A550FA">
            <w:pPr>
              <w:pStyle w:val="P68B1DB1-Normal80"/>
              <w:spacing w:after="120" w:line="240" w:lineRule="auto"/>
              <w:ind w:left="52"/>
              <w:textAlignment w:val="baseline"/>
              <w:rPr>
                <w:noProof/>
              </w:rPr>
            </w:pPr>
            <w:r>
              <w:rPr>
                <w:noProof/>
              </w:rPr>
              <w:t>C8.R18 Modifications législatives renforçant les mécanismes de gestion, de suivi, d’audit et de contrôle afin de garantir la bonne utilisation du soutien de l’Union</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12461A7A" w14:textId="77777777" w:rsidR="0023462A" w:rsidRDefault="00A550FA">
            <w:pPr>
              <w:pStyle w:val="P68B1DB1-Normal80"/>
              <w:spacing w:after="120" w:line="240" w:lineRule="auto"/>
              <w:rPr>
                <w:noProof/>
              </w:rPr>
            </w:pPr>
            <w:r>
              <w:rPr>
                <w:noProof/>
              </w:rPr>
              <w:t xml:space="preserve">Étape </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267277EA" w14:textId="77777777" w:rsidR="0023462A" w:rsidRDefault="00A550FA">
            <w:pPr>
              <w:pStyle w:val="P68B1DB1-Normal80"/>
              <w:spacing w:after="120" w:line="240" w:lineRule="auto"/>
              <w:ind w:left="52"/>
              <w:textAlignment w:val="baseline"/>
              <w:rPr>
                <w:noProof/>
              </w:rPr>
            </w:pPr>
            <w:r>
              <w:rPr>
                <w:noProof/>
              </w:rPr>
              <w:t>Acte(s) juridique(s) établissant le mandat juridique pour la gestion, l’audit et le contrôle du plan pour la reprise et la résilience et réglementant la gestion, le suivi, le contrôle et l’audit des fonds au titre du règlement (UE) 2021/1060 en Hongrie</w:t>
            </w:r>
          </w:p>
        </w:tc>
      </w:tr>
      <w:tr w:rsidR="0023462A" w14:paraId="787953C2"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0F12354A" w14:textId="77777777" w:rsidR="0023462A" w:rsidRDefault="00A550FA">
            <w:pPr>
              <w:pStyle w:val="P68B1DB1-Normal80"/>
              <w:spacing w:after="120" w:line="240" w:lineRule="auto"/>
              <w:ind w:left="52"/>
              <w:textAlignment w:val="baseline"/>
              <w:rPr>
                <w:noProof/>
              </w:rPr>
            </w:pPr>
            <w:r>
              <w:rPr>
                <w:noProof/>
              </w:rPr>
              <w:t>76</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4C3E990F" w14:textId="5112EFBF" w:rsidR="0023462A" w:rsidRDefault="00A550FA">
            <w:pPr>
              <w:pStyle w:val="P68B1DB1-Normal80"/>
              <w:spacing w:after="120" w:line="240" w:lineRule="auto"/>
              <w:ind w:left="52"/>
              <w:textAlignment w:val="baseline"/>
              <w:rPr>
                <w:noProof/>
              </w:rPr>
            </w:pPr>
            <w:r>
              <w:rPr>
                <w:noProof/>
              </w:rPr>
              <w:t>C8.R18 Modifications législatives renforçant les mécanismes de gestion, de suivi, d’audit et de contrôle afin de garantir la bonne utilisation du soutien de l’Union</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1882B33C" w14:textId="77777777" w:rsidR="0023462A" w:rsidRDefault="00A550FA">
            <w:pPr>
              <w:pStyle w:val="P68B1DB1-Normal80"/>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6922D604" w14:textId="77777777" w:rsidR="0023462A" w:rsidRDefault="00A550FA">
            <w:pPr>
              <w:pStyle w:val="P68B1DB1-Normal80"/>
              <w:spacing w:after="120" w:line="240" w:lineRule="auto"/>
              <w:ind w:left="52"/>
              <w:textAlignment w:val="baseline"/>
              <w:rPr>
                <w:noProof/>
              </w:rPr>
            </w:pPr>
            <w:r>
              <w:rPr>
                <w:noProof/>
              </w:rPr>
              <w:t>Règles visant à garantir la prévention, la détection et la correction des conflits d’intérêts pour le personnel de tous les organismes participant à la gestion et au contrôle du soutien de l’Union en Hongrie</w:t>
            </w:r>
          </w:p>
        </w:tc>
      </w:tr>
      <w:tr w:rsidR="0023462A" w14:paraId="101484E2"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618F206D" w14:textId="77777777" w:rsidR="0023462A" w:rsidRDefault="00A550FA">
            <w:pPr>
              <w:pStyle w:val="P68B1DB1-Normal80"/>
              <w:spacing w:after="120" w:line="240" w:lineRule="auto"/>
              <w:ind w:left="52"/>
              <w:textAlignment w:val="baseline"/>
              <w:rPr>
                <w:noProof/>
              </w:rPr>
            </w:pPr>
            <w:r>
              <w:rPr>
                <w:noProof/>
              </w:rPr>
              <w:t>77</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4ADBE59D" w14:textId="77777777" w:rsidR="0023462A" w:rsidRDefault="00A550FA">
            <w:pPr>
              <w:pStyle w:val="P68B1DB1-Normal80"/>
              <w:spacing w:after="120" w:line="240" w:lineRule="auto"/>
              <w:ind w:left="52"/>
              <w:textAlignment w:val="baseline"/>
              <w:rPr>
                <w:noProof/>
              </w:rPr>
            </w:pPr>
            <w:r>
              <w:rPr>
                <w:noProof/>
              </w:rPr>
              <w:t>C8.R19 Stratégie de lutte contre la fraude et la corruption pour la mise en œuvre, l’audit et le contrôle du soutien de l’Union</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7104A714" w14:textId="77777777" w:rsidR="0023462A" w:rsidRDefault="00A550FA">
            <w:pPr>
              <w:pStyle w:val="P68B1DB1-Normal80"/>
              <w:spacing w:after="120" w:line="240" w:lineRule="auto"/>
              <w:rPr>
                <w:noProof/>
              </w:rPr>
            </w:pPr>
            <w:r>
              <w:rPr>
                <w:noProof/>
              </w:rPr>
              <w:t xml:space="preserve">Étape </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5A8A8B72" w14:textId="77777777" w:rsidR="0023462A" w:rsidRDefault="00A550FA">
            <w:pPr>
              <w:pStyle w:val="P68B1DB1-Normal80"/>
              <w:spacing w:after="120" w:line="240" w:lineRule="auto"/>
              <w:ind w:left="52"/>
              <w:textAlignment w:val="baseline"/>
              <w:rPr>
                <w:noProof/>
              </w:rPr>
            </w:pPr>
            <w:r>
              <w:rPr>
                <w:noProof/>
              </w:rPr>
              <w:t>Adoption d’une stratégie de lutte contre la fraude et la corruption pour le soutien de l’Union et d’un plan d’action connexe</w:t>
            </w:r>
          </w:p>
        </w:tc>
      </w:tr>
      <w:tr w:rsidR="0023462A" w14:paraId="09551AF8"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7E3A9E3A" w14:textId="77777777" w:rsidR="0023462A" w:rsidRDefault="00A550FA">
            <w:pPr>
              <w:pStyle w:val="P68B1DB1-Normal80"/>
              <w:spacing w:after="120" w:line="240" w:lineRule="auto"/>
              <w:ind w:left="52"/>
              <w:textAlignment w:val="baseline"/>
              <w:rPr>
                <w:noProof/>
              </w:rPr>
            </w:pPr>
            <w:r>
              <w:rPr>
                <w:noProof/>
              </w:rPr>
              <w:t>78</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29D505E4" w14:textId="1DA2683B" w:rsidR="0023462A" w:rsidRDefault="00A550FA">
            <w:pPr>
              <w:pStyle w:val="P68B1DB1-Normal80"/>
              <w:spacing w:after="120" w:line="240" w:lineRule="auto"/>
              <w:ind w:left="52"/>
              <w:textAlignment w:val="baseline"/>
              <w:rPr>
                <w:noProof/>
              </w:rPr>
            </w:pPr>
            <w:r>
              <w:rPr>
                <w:noProof/>
              </w:rPr>
              <w:t>C8.R20 Le système Arachne pour le soutien de l'Union</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6C4FC82D" w14:textId="77777777" w:rsidR="0023462A" w:rsidRDefault="00A550FA">
            <w:pPr>
              <w:pStyle w:val="P68B1DB1-Normal80"/>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4BBF6A12" w14:textId="77777777" w:rsidR="0023462A" w:rsidRDefault="00A550FA">
            <w:pPr>
              <w:pStyle w:val="P68B1DB1-Normal80"/>
              <w:spacing w:after="120" w:line="240" w:lineRule="auto"/>
              <w:ind w:left="52"/>
              <w:textAlignment w:val="baseline"/>
              <w:rPr>
                <w:noProof/>
              </w:rPr>
            </w:pPr>
            <w:r>
              <w:rPr>
                <w:noProof/>
              </w:rPr>
              <w:t>L'utilisation systématique de l'outil de notation des risques Arachne</w:t>
            </w:r>
          </w:p>
        </w:tc>
      </w:tr>
      <w:tr w:rsidR="0023462A" w14:paraId="3AD359AB"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20F85B30" w14:textId="77777777" w:rsidR="0023462A" w:rsidRDefault="00A550FA">
            <w:pPr>
              <w:pStyle w:val="P68B1DB1-Normal80"/>
              <w:spacing w:after="120" w:line="240" w:lineRule="auto"/>
              <w:ind w:left="52"/>
              <w:textAlignment w:val="baseline"/>
              <w:rPr>
                <w:noProof/>
              </w:rPr>
            </w:pPr>
            <w:r>
              <w:rPr>
                <w:noProof/>
              </w:rPr>
              <w:t>79</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0819ED90" w14:textId="5E8465ED" w:rsidR="0023462A" w:rsidRDefault="00A550FA">
            <w:pPr>
              <w:pStyle w:val="P68B1DB1-Normal80"/>
              <w:spacing w:after="120" w:line="240" w:lineRule="auto"/>
              <w:ind w:left="52"/>
              <w:textAlignment w:val="baseline"/>
              <w:rPr>
                <w:noProof/>
              </w:rPr>
            </w:pPr>
            <w:r>
              <w:rPr>
                <w:noProof/>
              </w:rPr>
              <w:t>C8.R20 Le système Arachne pour le soutien de l'Union</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65BB68E1" w14:textId="77777777" w:rsidR="0023462A" w:rsidRDefault="00A550FA">
            <w:pPr>
              <w:pStyle w:val="P68B1DB1-Normal80"/>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61B36916" w14:textId="77777777" w:rsidR="0023462A" w:rsidRDefault="00A550FA">
            <w:pPr>
              <w:pStyle w:val="P68B1DB1-Normal80"/>
              <w:spacing w:after="120" w:line="240" w:lineRule="auto"/>
              <w:ind w:left="52"/>
              <w:textAlignment w:val="baseline"/>
              <w:rPr>
                <w:noProof/>
              </w:rPr>
            </w:pPr>
            <w:r>
              <w:rPr>
                <w:noProof/>
              </w:rPr>
              <w:t>L'utilisation systématique de l'outil de notation des risques Arachne</w:t>
            </w:r>
          </w:p>
        </w:tc>
      </w:tr>
      <w:tr w:rsidR="0023462A" w14:paraId="6ECA67AB"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5923C571" w14:textId="77777777" w:rsidR="0023462A" w:rsidRDefault="00A550FA">
            <w:pPr>
              <w:pStyle w:val="P68B1DB1-Normal80"/>
              <w:spacing w:after="120" w:line="240" w:lineRule="auto"/>
              <w:ind w:left="52"/>
              <w:textAlignment w:val="baseline"/>
              <w:rPr>
                <w:noProof/>
              </w:rPr>
            </w:pPr>
            <w:r>
              <w:rPr>
                <w:noProof/>
              </w:rPr>
              <w:t>80</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4C5A7577" w14:textId="77777777" w:rsidR="0023462A" w:rsidRDefault="00A550FA">
            <w:pPr>
              <w:pStyle w:val="P68B1DB1-Normal80"/>
              <w:spacing w:after="120" w:line="240" w:lineRule="auto"/>
              <w:ind w:left="52"/>
              <w:textAlignment w:val="baseline"/>
              <w:rPr>
                <w:noProof/>
              </w:rPr>
            </w:pPr>
            <w:r>
              <w:rPr>
                <w:noProof/>
              </w:rPr>
              <w:t>C8.R21 : Création d’une direction de l’audit interne et de l’intégrité afin de renforcer le contrôle des conflits d’intérêts lors de la mise en œuvre du soutien de l’Union</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455921E8" w14:textId="77777777" w:rsidR="0023462A" w:rsidRDefault="00A550FA">
            <w:pPr>
              <w:pStyle w:val="P68B1DB1-Normal80"/>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0776ACA8" w14:textId="77777777" w:rsidR="0023462A" w:rsidRDefault="00A550FA">
            <w:pPr>
              <w:pStyle w:val="P68B1DB1-Normal80"/>
              <w:spacing w:after="120" w:line="240" w:lineRule="auto"/>
              <w:ind w:left="52"/>
              <w:textAlignment w:val="baseline"/>
              <w:rPr>
                <w:noProof/>
              </w:rPr>
            </w:pPr>
            <w:r>
              <w:rPr>
                <w:noProof/>
              </w:rPr>
              <w:t>Assurer une prévention, une détection et une correction efficaces de la fraude et de la corruption dans la mise en œuvre du soutien de l’Union par la mise en place et le plein fonctionnement d’une nouvelle direction de l’audit interne et de l’intégrité (DIAI)</w:t>
            </w:r>
          </w:p>
        </w:tc>
      </w:tr>
      <w:tr w:rsidR="0023462A" w14:paraId="13D6125D"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65F805A0" w14:textId="77777777" w:rsidR="0023462A" w:rsidRDefault="00A550FA">
            <w:pPr>
              <w:pStyle w:val="P68B1DB1-Normal80"/>
              <w:spacing w:after="120" w:line="240" w:lineRule="auto"/>
              <w:ind w:left="52"/>
              <w:textAlignment w:val="baseline"/>
              <w:rPr>
                <w:noProof/>
              </w:rPr>
            </w:pPr>
            <w:r>
              <w:rPr>
                <w:noProof/>
              </w:rPr>
              <w:t>81</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76FCCABA" w14:textId="77777777" w:rsidR="0023462A" w:rsidRDefault="00A550FA">
            <w:pPr>
              <w:pStyle w:val="P68B1DB1-Normal80"/>
              <w:spacing w:after="120" w:line="240" w:lineRule="auto"/>
              <w:ind w:left="52"/>
              <w:textAlignment w:val="baseline"/>
              <w:rPr>
                <w:noProof/>
              </w:rPr>
            </w:pPr>
            <w:r>
              <w:rPr>
                <w:noProof/>
              </w:rPr>
              <w:t>C8.R22 Garantir la capacité de l'EUTAF à s'acquitter efficacement de ses tâches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5AFA2839" w14:textId="77777777" w:rsidR="0023462A" w:rsidRDefault="00A550FA">
            <w:pPr>
              <w:pStyle w:val="P68B1DB1-Normal80"/>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49E5E6DA" w14:textId="77777777" w:rsidR="0023462A" w:rsidRDefault="00A550FA">
            <w:pPr>
              <w:pStyle w:val="P68B1DB1-Normal80"/>
              <w:spacing w:after="120" w:line="240" w:lineRule="auto"/>
              <w:ind w:left="52"/>
              <w:textAlignment w:val="baseline"/>
              <w:rPr>
                <w:noProof/>
              </w:rPr>
            </w:pPr>
            <w:r>
              <w:rPr>
                <w:noProof/>
              </w:rPr>
              <w:t>Garantir une prévention, une détection et une correction efficaces de la fraude et de la corruption dans la mise en œuvre du soutien de l’Union grâce à des capacités appropriées pour l’EUTAF</w:t>
            </w:r>
          </w:p>
        </w:tc>
      </w:tr>
      <w:tr w:rsidR="0023462A" w14:paraId="1E0EB620"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168B331C" w14:textId="77777777" w:rsidR="0023462A" w:rsidRDefault="00A550FA">
            <w:pPr>
              <w:pStyle w:val="P68B1DB1-Normal80"/>
              <w:spacing w:after="120" w:line="240" w:lineRule="auto"/>
              <w:ind w:left="52"/>
              <w:textAlignment w:val="baseline"/>
              <w:rPr>
                <w:noProof/>
              </w:rPr>
            </w:pPr>
            <w:r>
              <w:rPr>
                <w:noProof/>
              </w:rPr>
              <w:t>82</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75346AEC" w14:textId="77777777" w:rsidR="0023462A" w:rsidRDefault="00A550FA">
            <w:pPr>
              <w:pStyle w:val="P68B1DB1-Normal80"/>
              <w:spacing w:after="120" w:line="240" w:lineRule="auto"/>
              <w:ind w:left="52"/>
              <w:textAlignment w:val="baseline"/>
              <w:rPr>
                <w:noProof/>
              </w:rPr>
            </w:pPr>
            <w:r>
              <w:rPr>
                <w:noProof/>
              </w:rPr>
              <w:t>C8.R23 Coopération avec l’OLAF en vue de renforcer la détection des fraudes liées à la mise en œuvre du soutien de l’Union</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76F6D0F3" w14:textId="77777777" w:rsidR="0023462A" w:rsidRDefault="00A550FA">
            <w:pPr>
              <w:pStyle w:val="P68B1DB1-Normal80"/>
              <w:spacing w:after="120" w:line="240" w:lineRule="auto"/>
              <w:rPr>
                <w:noProof/>
              </w:rPr>
            </w:pPr>
            <w:r>
              <w:rPr>
                <w:noProof/>
              </w:rPr>
              <w:t xml:space="preserve">Étape </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75BAE5CC" w14:textId="77777777" w:rsidR="0023462A" w:rsidRDefault="00A550FA">
            <w:pPr>
              <w:pStyle w:val="P68B1DB1-Normal80"/>
              <w:spacing w:after="120" w:line="240" w:lineRule="auto"/>
              <w:ind w:left="52"/>
              <w:textAlignment w:val="baseline"/>
              <w:rPr>
                <w:noProof/>
              </w:rPr>
            </w:pPr>
            <w:r>
              <w:rPr>
                <w:noProof/>
              </w:rPr>
              <w:t>Désignation d’une autorité nationale chargée d’assister l’OLAF dans ses contrôles sur place en Hongrie et introduction de la possibilité de percevoir des sanctions financières à l’encontre des acteurs économiques non coopérants</w:t>
            </w:r>
          </w:p>
        </w:tc>
      </w:tr>
      <w:tr w:rsidR="0023462A" w14:paraId="59285DE7"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356DBC92" w14:textId="77777777" w:rsidR="0023462A" w:rsidRDefault="00A550FA">
            <w:pPr>
              <w:pStyle w:val="P68B1DB1-Normal80"/>
              <w:spacing w:after="120" w:line="240" w:lineRule="auto"/>
              <w:ind w:left="52"/>
              <w:textAlignment w:val="baseline"/>
              <w:rPr>
                <w:noProof/>
              </w:rPr>
            </w:pPr>
            <w:r>
              <w:rPr>
                <w:noProof/>
              </w:rPr>
              <w:t>83</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4DE809CD" w14:textId="77777777" w:rsidR="0023462A" w:rsidRDefault="00A550FA">
            <w:pPr>
              <w:pStyle w:val="P68B1DB1-Normal80"/>
              <w:spacing w:after="120" w:line="240" w:lineRule="auto"/>
              <w:ind w:left="52"/>
              <w:textAlignment w:val="baseline"/>
              <w:rPr>
                <w:noProof/>
              </w:rPr>
            </w:pPr>
            <w:r>
              <w:rPr>
                <w:noProof/>
              </w:rPr>
              <w:t>C8.R24 Audit et contrôle du plan pour la reprise et la résilience et de la protection des intérêts financiers de l’Union</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59CCD25D" w14:textId="77777777" w:rsidR="0023462A" w:rsidRDefault="00A550FA">
            <w:pPr>
              <w:pStyle w:val="P68B1DB1-Normal80"/>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21AF3246" w14:textId="77777777" w:rsidR="0023462A" w:rsidRDefault="00A550FA">
            <w:pPr>
              <w:pStyle w:val="P68B1DB1-Normal80"/>
              <w:spacing w:after="120" w:line="240" w:lineRule="auto"/>
              <w:ind w:left="52"/>
              <w:textAlignment w:val="baseline"/>
              <w:rPr>
                <w:noProof/>
              </w:rPr>
            </w:pPr>
            <w:r>
              <w:rPr>
                <w:noProof/>
              </w:rPr>
              <w:t>Système de suivi de la mise en œuvre du plan hongrois pour la reprise et la résilience</w:t>
            </w:r>
          </w:p>
        </w:tc>
      </w:tr>
      <w:tr w:rsidR="0023462A" w14:paraId="7A6B5BEE"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7CA742C7" w14:textId="77777777" w:rsidR="0023462A" w:rsidRDefault="00A550FA">
            <w:pPr>
              <w:pStyle w:val="P68B1DB1-Normal80"/>
              <w:spacing w:after="120" w:line="240" w:lineRule="auto"/>
              <w:ind w:left="52"/>
              <w:textAlignment w:val="baseline"/>
              <w:rPr>
                <w:noProof/>
              </w:rPr>
            </w:pPr>
            <w:r>
              <w:rPr>
                <w:noProof/>
              </w:rPr>
              <w:t>84</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37B9C0A8" w14:textId="77777777" w:rsidR="0023462A" w:rsidRDefault="00A550FA">
            <w:pPr>
              <w:pStyle w:val="P68B1DB1-Normal80"/>
              <w:spacing w:after="120" w:line="240" w:lineRule="auto"/>
              <w:ind w:left="52"/>
              <w:textAlignment w:val="baseline"/>
              <w:rPr>
                <w:noProof/>
              </w:rPr>
            </w:pPr>
            <w:r>
              <w:rPr>
                <w:noProof/>
              </w:rPr>
              <w:t>C8.R24 Audit et contrôle du plan pour la reprise et la résilience et de la protection des intérêts financiers de l’Union</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6C20CA51" w14:textId="77777777" w:rsidR="0023462A" w:rsidRDefault="00A550FA">
            <w:pPr>
              <w:pStyle w:val="P68B1DB1-Normal80"/>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40FE64BC" w14:textId="77777777" w:rsidR="0023462A" w:rsidRDefault="00A550FA">
            <w:pPr>
              <w:pStyle w:val="P68B1DB1-Normal80"/>
              <w:spacing w:after="120" w:line="240" w:lineRule="auto"/>
              <w:ind w:left="52"/>
              <w:textAlignment w:val="baseline"/>
              <w:rPr>
                <w:noProof/>
              </w:rPr>
            </w:pPr>
            <w:r>
              <w:rPr>
                <w:noProof/>
              </w:rPr>
              <w:t>Audit de la mise en œuvre du plan hongrois pour la reprise et la résilience</w:t>
            </w:r>
          </w:p>
        </w:tc>
      </w:tr>
      <w:tr w:rsidR="0023462A" w14:paraId="7FEEC14E"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03B2BF49" w14:textId="77777777" w:rsidR="0023462A" w:rsidRDefault="00A550FA">
            <w:pPr>
              <w:pStyle w:val="P68B1DB1-Normal85"/>
              <w:spacing w:after="120" w:line="240" w:lineRule="auto"/>
              <w:ind w:left="52"/>
              <w:textAlignment w:val="baseline"/>
              <w:rPr>
                <w:noProof/>
              </w:rPr>
            </w:pPr>
            <w:r>
              <w:rPr>
                <w:noProof/>
              </w:rPr>
              <w:t>85</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7B6116E0" w14:textId="77777777" w:rsidR="0023462A" w:rsidRDefault="00A550FA">
            <w:pPr>
              <w:pStyle w:val="P68B1DB1-Normal80"/>
              <w:spacing w:after="120" w:line="240" w:lineRule="auto"/>
              <w:ind w:left="52"/>
              <w:textAlignment w:val="baseline"/>
              <w:rPr>
                <w:noProof/>
              </w:rPr>
            </w:pPr>
            <w:r>
              <w:rPr>
                <w:noProof/>
              </w:rPr>
              <w:t>C8.R25 Renforcer la transparence et l'accès à l'information publique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56B79AE4" w14:textId="77777777" w:rsidR="0023462A" w:rsidRDefault="00A550FA">
            <w:pPr>
              <w:pStyle w:val="P68B1DB1-Normal85"/>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5CBDFF0F" w14:textId="77777777" w:rsidR="0023462A" w:rsidRDefault="00A550FA">
            <w:pPr>
              <w:pStyle w:val="P68B1DB1-Normal85"/>
              <w:spacing w:after="120" w:line="240" w:lineRule="auto"/>
              <w:ind w:left="52"/>
              <w:textAlignment w:val="baseline"/>
              <w:rPr>
                <w:noProof/>
              </w:rPr>
            </w:pPr>
            <w:r>
              <w:rPr>
                <w:noProof/>
              </w:rPr>
              <w:t>Entrée en vigueur d’un ou de plusieurs actes juridiques garantissant la prévisibilité juridique dans les affaires d’accès à l’information publique devant les tribunaux</w:t>
            </w:r>
          </w:p>
        </w:tc>
      </w:tr>
      <w:tr w:rsidR="0023462A" w14:paraId="5A027072"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057ACBE5" w14:textId="77777777" w:rsidR="0023462A" w:rsidRDefault="00A550FA">
            <w:pPr>
              <w:pStyle w:val="P68B1DB1-Normal85"/>
              <w:spacing w:after="120" w:line="240" w:lineRule="auto"/>
              <w:ind w:left="52"/>
              <w:textAlignment w:val="baseline"/>
              <w:rPr>
                <w:noProof/>
              </w:rPr>
            </w:pPr>
            <w:r>
              <w:rPr>
                <w:noProof/>
              </w:rPr>
              <w:t>86</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52ECBBB9" w14:textId="77777777" w:rsidR="0023462A" w:rsidRDefault="00A550FA">
            <w:pPr>
              <w:pStyle w:val="P68B1DB1-Normal80"/>
              <w:spacing w:after="120" w:line="240" w:lineRule="auto"/>
              <w:ind w:left="52"/>
              <w:textAlignment w:val="baseline"/>
              <w:rPr>
                <w:rFonts w:eastAsiaTheme="minorHAnsi"/>
                <w:noProof/>
              </w:rPr>
            </w:pPr>
            <w:r>
              <w:rPr>
                <w:noProof/>
              </w:rPr>
              <w:t>C8.R25 Renforcer la transparence et l'accès à l'information publique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5EEA9680" w14:textId="77777777" w:rsidR="0023462A" w:rsidRDefault="00A550FA">
            <w:pPr>
              <w:pStyle w:val="P68B1DB1-Normal85"/>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689C94B9" w14:textId="77777777" w:rsidR="0023462A" w:rsidRDefault="00A550FA">
            <w:pPr>
              <w:pStyle w:val="P68B1DB1-Normal85"/>
              <w:spacing w:after="120" w:line="240" w:lineRule="auto"/>
              <w:ind w:left="52"/>
              <w:textAlignment w:val="baseline"/>
              <w:rPr>
                <w:noProof/>
              </w:rPr>
            </w:pPr>
            <w:r>
              <w:rPr>
                <w:noProof/>
              </w:rPr>
              <w:t>Entrée en vigueur des modifications législatives garantissant une transparence accrue de l'information du public</w:t>
            </w:r>
          </w:p>
        </w:tc>
      </w:tr>
      <w:tr w:rsidR="0023462A" w14:paraId="7F08D444"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2AA0AD31" w14:textId="77777777" w:rsidR="0023462A" w:rsidRDefault="00A550FA">
            <w:pPr>
              <w:pStyle w:val="P68B1DB1-Normal85"/>
              <w:spacing w:after="120" w:line="240" w:lineRule="auto"/>
              <w:ind w:left="52"/>
              <w:textAlignment w:val="baseline"/>
              <w:rPr>
                <w:noProof/>
              </w:rPr>
            </w:pPr>
            <w:r>
              <w:rPr>
                <w:noProof/>
              </w:rPr>
              <w:t>87</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7120FA3A" w14:textId="77777777" w:rsidR="0023462A" w:rsidRDefault="00A550FA">
            <w:pPr>
              <w:pStyle w:val="P68B1DB1-Normal80"/>
              <w:spacing w:after="120" w:line="240" w:lineRule="auto"/>
              <w:ind w:left="52"/>
              <w:textAlignment w:val="baseline"/>
              <w:rPr>
                <w:rFonts w:eastAsiaTheme="minorHAnsi"/>
                <w:noProof/>
              </w:rPr>
            </w:pPr>
            <w:r>
              <w:rPr>
                <w:noProof/>
              </w:rPr>
              <w:t>C8.R25 Renforcer la transparence et l'accès à l'information publique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192C8393" w14:textId="77777777" w:rsidR="0023462A" w:rsidRDefault="00A550FA">
            <w:pPr>
              <w:pStyle w:val="P68B1DB1-Normal85"/>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5BC065A8" w14:textId="77777777" w:rsidR="0023462A" w:rsidRDefault="00A550FA">
            <w:pPr>
              <w:pStyle w:val="P68B1DB1-Normal85"/>
              <w:spacing w:after="120" w:line="240" w:lineRule="auto"/>
              <w:ind w:left="52"/>
              <w:textAlignment w:val="baseline"/>
              <w:rPr>
                <w:noProof/>
              </w:rPr>
            </w:pPr>
            <w:r>
              <w:rPr>
                <w:noProof/>
              </w:rPr>
              <w:t>Rapport(s) de l’autorité nationale chargée de la protection des données et de la liberté d’information sur l’accès à l’information publique </w:t>
            </w:r>
          </w:p>
        </w:tc>
      </w:tr>
      <w:tr w:rsidR="0023462A" w14:paraId="2AB95033"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10C426AC" w14:textId="77777777" w:rsidR="0023462A" w:rsidRDefault="00A550FA">
            <w:pPr>
              <w:pStyle w:val="P68B1DB1-Normal85"/>
              <w:spacing w:after="120" w:line="240" w:lineRule="auto"/>
              <w:ind w:left="52"/>
              <w:textAlignment w:val="baseline"/>
              <w:rPr>
                <w:noProof/>
              </w:rPr>
            </w:pPr>
            <w:r>
              <w:rPr>
                <w:noProof/>
              </w:rPr>
              <w:br w:type="page"/>
              <w:t>88</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500C5299" w14:textId="77777777" w:rsidR="0023462A" w:rsidRDefault="00A550FA">
            <w:pPr>
              <w:pStyle w:val="P68B1DB1-Normal80"/>
              <w:spacing w:after="120" w:line="240" w:lineRule="auto"/>
              <w:ind w:left="52"/>
              <w:textAlignment w:val="baseline"/>
              <w:rPr>
                <w:rFonts w:eastAsiaTheme="minorHAnsi"/>
                <w:noProof/>
              </w:rPr>
            </w:pPr>
            <w:r>
              <w:rPr>
                <w:noProof/>
              </w:rPr>
              <w:t>C8.R26 Améliorer la qualité du processus législatif et la participation effective des parties prenantes et des partenaires sociaux au processus décisionnel</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03C9A7AE" w14:textId="77777777" w:rsidR="0023462A" w:rsidRDefault="00A550FA">
            <w:pPr>
              <w:pStyle w:val="P68B1DB1-Normal85"/>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6A32677F" w14:textId="77777777" w:rsidR="0023462A" w:rsidRDefault="00A550FA">
            <w:pPr>
              <w:pStyle w:val="P68B1DB1-Normal85"/>
              <w:spacing w:after="120" w:line="240" w:lineRule="auto"/>
              <w:ind w:left="52"/>
              <w:textAlignment w:val="baseline"/>
              <w:rPr>
                <w:noProof/>
              </w:rPr>
            </w:pPr>
            <w:r>
              <w:rPr>
                <w:noProof/>
              </w:rPr>
              <w:t>Entrée en vigueur d’un ou de plusieurs actes juridiques comprenant des dispositions relatives à la participation des parties prenantes à la mise en œuvre et au suivi du plan pour la reprise et la résilience</w:t>
            </w:r>
          </w:p>
        </w:tc>
      </w:tr>
      <w:tr w:rsidR="0023462A" w14:paraId="74890D6D"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22467EEF" w14:textId="77777777" w:rsidR="0023462A" w:rsidRDefault="00A550FA">
            <w:pPr>
              <w:pStyle w:val="P68B1DB1-Normal85"/>
              <w:spacing w:after="120" w:line="240" w:lineRule="auto"/>
              <w:ind w:left="52"/>
              <w:textAlignment w:val="baseline"/>
              <w:rPr>
                <w:noProof/>
              </w:rPr>
            </w:pPr>
            <w:r>
              <w:rPr>
                <w:noProof/>
              </w:rPr>
              <w:t>89</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05805877" w14:textId="77777777" w:rsidR="0023462A" w:rsidRDefault="00A550FA">
            <w:pPr>
              <w:pStyle w:val="P68B1DB1-Normal80"/>
              <w:spacing w:after="120" w:line="240" w:lineRule="auto"/>
              <w:ind w:left="52"/>
              <w:textAlignment w:val="baseline"/>
              <w:rPr>
                <w:rFonts w:eastAsiaTheme="minorHAnsi"/>
                <w:noProof/>
              </w:rPr>
            </w:pPr>
            <w:r>
              <w:rPr>
                <w:noProof/>
              </w:rPr>
              <w:t>C8.R26 Améliorer la qualité du processus législatif et la participation effective des parties prenantes et des partenaires sociaux au processus décisionnel</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27CE8534" w14:textId="77777777" w:rsidR="0023462A" w:rsidRDefault="00A550FA">
            <w:pPr>
              <w:pStyle w:val="P68B1DB1-Normal85"/>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38D8E9AB" w14:textId="77777777" w:rsidR="0023462A" w:rsidRDefault="00A550FA">
            <w:pPr>
              <w:pStyle w:val="P68B1DB1-Normal85"/>
              <w:spacing w:after="120" w:line="240" w:lineRule="auto"/>
              <w:ind w:left="52"/>
              <w:textAlignment w:val="baseline"/>
              <w:rPr>
                <w:noProof/>
              </w:rPr>
            </w:pPr>
            <w:r>
              <w:rPr>
                <w:noProof/>
              </w:rPr>
              <w:t>Entrée en vigueur d’un ou de plusieurs actes juridiques visant à renforcer le recours aux consultations publiques et aux analyses d’impact dans le cadre du processus législatif</w:t>
            </w:r>
          </w:p>
        </w:tc>
      </w:tr>
      <w:tr w:rsidR="0023462A" w14:paraId="46C51EA4"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48D4F34D" w14:textId="77777777" w:rsidR="0023462A" w:rsidRDefault="00A550FA">
            <w:pPr>
              <w:pStyle w:val="P68B1DB1-Normal85"/>
              <w:spacing w:after="120" w:line="240" w:lineRule="auto"/>
              <w:ind w:left="52"/>
              <w:textAlignment w:val="baseline"/>
              <w:rPr>
                <w:noProof/>
              </w:rPr>
            </w:pPr>
            <w:r>
              <w:rPr>
                <w:noProof/>
              </w:rPr>
              <w:t>90</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2C86AF9C" w14:textId="77777777" w:rsidR="0023462A" w:rsidRDefault="00A550FA">
            <w:pPr>
              <w:pStyle w:val="P68B1DB1-Normal85"/>
              <w:spacing w:after="120" w:line="240" w:lineRule="auto"/>
              <w:ind w:left="52"/>
              <w:textAlignment w:val="baseline"/>
              <w:rPr>
                <w:noProof/>
              </w:rPr>
            </w:pPr>
            <w:r>
              <w:rPr>
                <w:noProof/>
              </w:rPr>
              <w:t>C8.R27 Examen des exigences minimales en matière de substance aux fins de l'impôt sur le revenu des sociétés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460BB6F5" w14:textId="77777777" w:rsidR="0023462A" w:rsidRDefault="00A550FA">
            <w:pPr>
              <w:pStyle w:val="P68B1DB1-Normal85"/>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4A76B330" w14:textId="77777777" w:rsidR="0023462A" w:rsidRDefault="00A550FA">
            <w:pPr>
              <w:pStyle w:val="P68B1DB1-Normal85"/>
              <w:spacing w:after="120" w:line="240" w:lineRule="auto"/>
              <w:ind w:left="52"/>
              <w:textAlignment w:val="baseline"/>
              <w:rPr>
                <w:noProof/>
              </w:rPr>
            </w:pPr>
            <w:r>
              <w:rPr>
                <w:noProof/>
              </w:rPr>
              <w:t>Examen indépendant par des experts internationaux des règles nationales de lutte contre l'évasion fiscale</w:t>
            </w:r>
          </w:p>
        </w:tc>
      </w:tr>
      <w:tr w:rsidR="0023462A" w14:paraId="3868042B"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13354A21" w14:textId="77777777" w:rsidR="0023462A" w:rsidRDefault="00A550FA">
            <w:pPr>
              <w:pStyle w:val="P68B1DB1-Normal85"/>
              <w:spacing w:after="120" w:line="240" w:lineRule="auto"/>
              <w:ind w:left="52"/>
              <w:textAlignment w:val="baseline"/>
              <w:rPr>
                <w:noProof/>
              </w:rPr>
            </w:pPr>
            <w:r>
              <w:rPr>
                <w:noProof/>
              </w:rPr>
              <w:t>91</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7E699193" w14:textId="77777777" w:rsidR="0023462A" w:rsidRDefault="00A550FA">
            <w:pPr>
              <w:pStyle w:val="P68B1DB1-Normal85"/>
              <w:spacing w:after="120" w:line="240" w:lineRule="auto"/>
              <w:ind w:left="52"/>
              <w:textAlignment w:val="baseline"/>
              <w:rPr>
                <w:noProof/>
              </w:rPr>
            </w:pPr>
            <w:r>
              <w:rPr>
                <w:noProof/>
              </w:rPr>
              <w:t>C8.R28 Renforcement de la réglementation en matière de prix de transfert</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3302C072" w14:textId="77777777" w:rsidR="0023462A" w:rsidRDefault="00A550FA">
            <w:pPr>
              <w:pStyle w:val="P68B1DB1-Normal85"/>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0B9D9BA0" w14:textId="77777777" w:rsidR="0023462A" w:rsidRDefault="00A550FA">
            <w:pPr>
              <w:pStyle w:val="P68B1DB1-Normal85"/>
              <w:spacing w:after="120" w:line="240" w:lineRule="auto"/>
              <w:ind w:left="52"/>
              <w:textAlignment w:val="baseline"/>
              <w:rPr>
                <w:noProof/>
              </w:rPr>
            </w:pPr>
            <w:r>
              <w:rPr>
                <w:noProof/>
              </w:rPr>
              <w:t>Entrée en vigueur d’un ou de plusieurs actes juridiques visant à renforcer les règles en matière de prix de transfert</w:t>
            </w:r>
          </w:p>
        </w:tc>
      </w:tr>
      <w:tr w:rsidR="0023462A" w14:paraId="4E264D20"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0974C48F" w14:textId="77777777" w:rsidR="0023462A" w:rsidRDefault="00A550FA">
            <w:pPr>
              <w:pStyle w:val="P68B1DB1-Normal85"/>
              <w:spacing w:after="120" w:line="240" w:lineRule="auto"/>
              <w:ind w:left="52"/>
              <w:textAlignment w:val="baseline"/>
              <w:rPr>
                <w:noProof/>
              </w:rPr>
            </w:pPr>
            <w:r>
              <w:rPr>
                <w:noProof/>
              </w:rPr>
              <w:t>92</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5FA55ABE" w14:textId="77777777" w:rsidR="0023462A" w:rsidRDefault="00A550FA">
            <w:pPr>
              <w:pStyle w:val="P68B1DB1-Normal85"/>
              <w:spacing w:after="120" w:line="240" w:lineRule="auto"/>
              <w:ind w:left="52"/>
              <w:textAlignment w:val="baseline"/>
              <w:rPr>
                <w:noProof/>
              </w:rPr>
            </w:pPr>
            <w:r>
              <w:rPr>
                <w:noProof/>
              </w:rPr>
              <w:t>C8.R29 Élargissement du champ d’application des règles de non-déductibilité pour les paiements sortants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65971F16" w14:textId="77777777" w:rsidR="0023462A" w:rsidRDefault="00A550FA">
            <w:pPr>
              <w:pStyle w:val="P68B1DB1-Normal85"/>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719076B1" w14:textId="77777777" w:rsidR="0023462A" w:rsidRDefault="00A550FA">
            <w:pPr>
              <w:pStyle w:val="P68B1DB1-Normal85"/>
              <w:spacing w:after="120" w:line="240" w:lineRule="auto"/>
              <w:ind w:left="52"/>
              <w:textAlignment w:val="baseline"/>
              <w:rPr>
                <w:noProof/>
              </w:rPr>
            </w:pPr>
            <w:r>
              <w:rPr>
                <w:noProof/>
              </w:rPr>
              <w:t>Entrée en vigueur d’un ou de plusieurs actes juridiques visant à élargir les règles de non-déductibilité pour les paiements sortants</w:t>
            </w:r>
          </w:p>
        </w:tc>
      </w:tr>
      <w:tr w:rsidR="0023462A" w14:paraId="436308FD"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2E69A2F6" w14:textId="77777777" w:rsidR="0023462A" w:rsidRDefault="00A550FA">
            <w:pPr>
              <w:pStyle w:val="P68B1DB1-Normal85"/>
              <w:spacing w:after="120" w:line="240" w:lineRule="auto"/>
              <w:ind w:left="52"/>
              <w:textAlignment w:val="baseline"/>
              <w:rPr>
                <w:noProof/>
              </w:rPr>
            </w:pPr>
            <w:r>
              <w:rPr>
                <w:noProof/>
              </w:rPr>
              <w:t>93</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259D8525" w14:textId="77777777" w:rsidR="0023462A" w:rsidRDefault="00A550FA">
            <w:pPr>
              <w:pStyle w:val="P68B1DB1-Normal85"/>
              <w:spacing w:after="120" w:line="240" w:lineRule="auto"/>
              <w:ind w:left="52"/>
              <w:textAlignment w:val="baseline"/>
              <w:rPr>
                <w:noProof/>
              </w:rPr>
            </w:pPr>
            <w:r>
              <w:rPr>
                <w:noProof/>
              </w:rPr>
              <w:t>C8.R29 Élargissement du champ d’application des règles de non-déductibilité pour les paiements sortants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2709A4C0" w14:textId="77777777" w:rsidR="0023462A" w:rsidRDefault="00A550FA">
            <w:pPr>
              <w:pStyle w:val="P68B1DB1-Normal85"/>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38021817" w14:textId="77777777" w:rsidR="0023462A" w:rsidRDefault="00A550FA">
            <w:pPr>
              <w:pStyle w:val="P68B1DB1-Normal85"/>
              <w:spacing w:after="120" w:line="240" w:lineRule="auto"/>
              <w:ind w:left="52"/>
              <w:textAlignment w:val="baseline"/>
              <w:rPr>
                <w:noProof/>
              </w:rPr>
            </w:pPr>
            <w:r>
              <w:rPr>
                <w:noProof/>
              </w:rPr>
              <w:t>Commande d’une évaluation indépendante de l’efficacité de l’ensemble des règles nationales relatives à la planification fiscale agressive</w:t>
            </w:r>
          </w:p>
        </w:tc>
      </w:tr>
      <w:tr w:rsidR="0023462A" w14:paraId="1CA8494F"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495CBB8F" w14:textId="77777777" w:rsidR="0023462A" w:rsidRDefault="00A550FA">
            <w:pPr>
              <w:pStyle w:val="P68B1DB1-Normal85"/>
              <w:spacing w:after="120" w:line="240" w:lineRule="auto"/>
              <w:ind w:left="52"/>
              <w:textAlignment w:val="baseline"/>
              <w:rPr>
                <w:noProof/>
              </w:rPr>
            </w:pPr>
            <w:r>
              <w:rPr>
                <w:noProof/>
              </w:rPr>
              <w:t>94</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05943B23" w14:textId="77777777" w:rsidR="0023462A" w:rsidRDefault="00A550FA">
            <w:pPr>
              <w:pStyle w:val="P68B1DB1-Normal85"/>
              <w:spacing w:after="120" w:line="240" w:lineRule="auto"/>
              <w:ind w:left="52"/>
              <w:textAlignment w:val="baseline"/>
              <w:rPr>
                <w:noProof/>
              </w:rPr>
            </w:pPr>
            <w:r>
              <w:rPr>
                <w:noProof/>
              </w:rPr>
              <w:t>C8.R30 Transformation numérique des procédures de conformité fiscale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22AD6D8E" w14:textId="77777777" w:rsidR="0023462A" w:rsidRDefault="00A550FA">
            <w:pPr>
              <w:pStyle w:val="P68B1DB1-Normal85"/>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7250B122" w14:textId="77777777" w:rsidR="0023462A" w:rsidRDefault="00A550FA">
            <w:pPr>
              <w:pStyle w:val="P68B1DB1-Normal85"/>
              <w:spacing w:after="120" w:line="240" w:lineRule="auto"/>
              <w:ind w:left="52"/>
              <w:textAlignment w:val="baseline"/>
              <w:rPr>
                <w:noProof/>
              </w:rPr>
            </w:pPr>
            <w:r>
              <w:rPr>
                <w:noProof/>
              </w:rPr>
              <w:t>Services numériques liés aux solutions ePayroll, eReceipt et eVAT</w:t>
            </w:r>
          </w:p>
        </w:tc>
      </w:tr>
      <w:tr w:rsidR="0023462A" w14:paraId="6F903C41"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7F111B29" w14:textId="77777777" w:rsidR="0023462A" w:rsidRDefault="00A550FA">
            <w:pPr>
              <w:pStyle w:val="P68B1DB1-Normal85"/>
              <w:spacing w:after="120" w:line="240" w:lineRule="auto"/>
              <w:ind w:left="52"/>
              <w:textAlignment w:val="baseline"/>
              <w:rPr>
                <w:noProof/>
              </w:rPr>
            </w:pPr>
            <w:r>
              <w:rPr>
                <w:noProof/>
              </w:rPr>
              <w:t>95</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4E4BEE54" w14:textId="77777777" w:rsidR="0023462A" w:rsidRDefault="00A550FA">
            <w:pPr>
              <w:pStyle w:val="P68B1DB1-Normal85"/>
              <w:spacing w:after="120" w:line="240" w:lineRule="auto"/>
              <w:ind w:left="52"/>
              <w:textAlignment w:val="baseline"/>
              <w:rPr>
                <w:noProof/>
              </w:rPr>
            </w:pPr>
            <w:r>
              <w:rPr>
                <w:noProof/>
              </w:rPr>
              <w:t>C8.R31 Simplifier le système fiscal en réduisant le nombre d'impôts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5202DEDC" w14:textId="77777777" w:rsidR="0023462A" w:rsidRDefault="00A550FA">
            <w:pPr>
              <w:pStyle w:val="P68B1DB1-Normal85"/>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532C8FAA" w14:textId="77777777" w:rsidR="0023462A" w:rsidRDefault="00A550FA">
            <w:pPr>
              <w:pStyle w:val="P68B1DB1-Normal85"/>
              <w:spacing w:after="120" w:line="240" w:lineRule="auto"/>
              <w:ind w:left="52"/>
              <w:textAlignment w:val="baseline"/>
              <w:rPr>
                <w:noProof/>
              </w:rPr>
            </w:pPr>
            <w:r>
              <w:rPr>
                <w:noProof/>
              </w:rPr>
              <w:t>Modification de la taxe de vente au détail</w:t>
            </w:r>
          </w:p>
        </w:tc>
      </w:tr>
      <w:tr w:rsidR="0023462A" w14:paraId="67A39B8F"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0B647F1B" w14:textId="77777777" w:rsidR="0023462A" w:rsidRDefault="00A550FA">
            <w:pPr>
              <w:pStyle w:val="P68B1DB1-Normal85"/>
              <w:spacing w:after="120" w:line="240" w:lineRule="auto"/>
              <w:ind w:left="52"/>
              <w:textAlignment w:val="baseline"/>
              <w:rPr>
                <w:noProof/>
              </w:rPr>
            </w:pPr>
            <w:r>
              <w:rPr>
                <w:noProof/>
              </w:rPr>
              <w:t>96</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296CDB18" w14:textId="77777777" w:rsidR="0023462A" w:rsidRDefault="00A550FA">
            <w:pPr>
              <w:pStyle w:val="P68B1DB1-Normal85"/>
              <w:spacing w:after="120" w:line="240" w:lineRule="auto"/>
              <w:ind w:left="52"/>
              <w:textAlignment w:val="baseline"/>
              <w:rPr>
                <w:noProof/>
              </w:rPr>
            </w:pPr>
            <w:r>
              <w:rPr>
                <w:noProof/>
              </w:rPr>
              <w:t>C8.R31 Simplifier le système fiscal en réduisant le nombre d'impôts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501DE89B" w14:textId="77777777" w:rsidR="0023462A" w:rsidRDefault="00A550FA">
            <w:pPr>
              <w:pStyle w:val="P68B1DB1-Normal85"/>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267167B0" w14:textId="77777777" w:rsidR="0023462A" w:rsidRDefault="00A550FA">
            <w:pPr>
              <w:pStyle w:val="P68B1DB1-Normal85"/>
              <w:spacing w:after="120" w:line="240" w:lineRule="auto"/>
              <w:ind w:left="52"/>
              <w:textAlignment w:val="baseline"/>
              <w:rPr>
                <w:noProof/>
              </w:rPr>
            </w:pPr>
            <w:r>
              <w:rPr>
                <w:noProof/>
              </w:rPr>
              <w:t>Suppression progressive des avantages fiscaux</w:t>
            </w:r>
          </w:p>
        </w:tc>
      </w:tr>
      <w:tr w:rsidR="0023462A" w14:paraId="39FD7FBE"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0A93A7E0" w14:textId="77777777" w:rsidR="0023462A" w:rsidRDefault="00A550FA">
            <w:pPr>
              <w:pStyle w:val="P68B1DB1-Normal85"/>
              <w:spacing w:after="120" w:line="240" w:lineRule="auto"/>
              <w:ind w:left="52"/>
              <w:textAlignment w:val="baseline"/>
              <w:rPr>
                <w:noProof/>
              </w:rPr>
            </w:pPr>
            <w:r>
              <w:rPr>
                <w:noProof/>
              </w:rPr>
              <w:t>97</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5D9BF791" w14:textId="77777777" w:rsidR="0023462A" w:rsidRDefault="00A550FA">
            <w:pPr>
              <w:pStyle w:val="P68B1DB1-Normal85"/>
              <w:spacing w:after="120" w:line="240" w:lineRule="auto"/>
              <w:ind w:left="52"/>
              <w:textAlignment w:val="baseline"/>
              <w:rPr>
                <w:noProof/>
              </w:rPr>
            </w:pPr>
            <w:r>
              <w:rPr>
                <w:noProof/>
              </w:rPr>
              <w:t>C8.R31 Simplifier le système fiscal en réduisant le nombre d'impôts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4375628C" w14:textId="77777777" w:rsidR="0023462A" w:rsidRDefault="00A550FA">
            <w:pPr>
              <w:pStyle w:val="P68B1DB1-Normal85"/>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09526BC8" w14:textId="77777777" w:rsidR="0023462A" w:rsidRDefault="00A550FA">
            <w:pPr>
              <w:pStyle w:val="P68B1DB1-Normal85"/>
              <w:spacing w:after="120" w:line="240" w:lineRule="auto"/>
              <w:ind w:left="52"/>
              <w:textAlignment w:val="baseline"/>
              <w:rPr>
                <w:noProof/>
              </w:rPr>
            </w:pPr>
            <w:r>
              <w:rPr>
                <w:noProof/>
              </w:rPr>
              <w:t>Adoption d’un ou de plusieurs actes juridiques réduisant le nombre d’impôts</w:t>
            </w:r>
          </w:p>
        </w:tc>
      </w:tr>
      <w:tr w:rsidR="0023462A" w14:paraId="75A701B3"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4D1A7CAE" w14:textId="77777777" w:rsidR="0023462A" w:rsidRDefault="00A550FA">
            <w:pPr>
              <w:pStyle w:val="P68B1DB1-Normal85"/>
              <w:spacing w:after="120" w:line="240" w:lineRule="auto"/>
              <w:ind w:left="52"/>
              <w:textAlignment w:val="baseline"/>
              <w:rPr>
                <w:noProof/>
              </w:rPr>
            </w:pPr>
            <w:r>
              <w:rPr>
                <w:noProof/>
              </w:rPr>
              <w:t>98</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0C2E0531" w14:textId="77777777" w:rsidR="0023462A" w:rsidRDefault="00A550FA">
            <w:pPr>
              <w:pStyle w:val="P68B1DB1-Normal85"/>
              <w:spacing w:after="120" w:line="240" w:lineRule="auto"/>
              <w:ind w:left="52"/>
              <w:textAlignment w:val="baseline"/>
              <w:rPr>
                <w:noProof/>
              </w:rPr>
            </w:pPr>
            <w:r>
              <w:rPr>
                <w:noProof/>
              </w:rPr>
              <w:t>C8.R31 Simplifier le système fiscal en réduisant le nombre d'impôts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5C89E471" w14:textId="77777777" w:rsidR="0023462A" w:rsidRDefault="00A550FA">
            <w:pPr>
              <w:pStyle w:val="P68B1DB1-Normal85"/>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310DB35F" w14:textId="67D0460E" w:rsidR="0023462A" w:rsidRDefault="00A550FA">
            <w:pPr>
              <w:pStyle w:val="P68B1DB1-Normal85"/>
              <w:spacing w:after="120" w:line="240" w:lineRule="auto"/>
              <w:ind w:left="52"/>
              <w:textAlignment w:val="baseline"/>
              <w:rPr>
                <w:noProof/>
              </w:rPr>
            </w:pPr>
            <w:r>
              <w:rPr>
                <w:noProof/>
              </w:rPr>
              <w:t>Rapport sur les possibilités de simplification et de consolidation d'un autre ensemble de règles relatives à l'impôt sur le revenu des personnes physiques</w:t>
            </w:r>
          </w:p>
        </w:tc>
      </w:tr>
      <w:tr w:rsidR="0023462A" w14:paraId="0677E46A"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22F92717" w14:textId="77777777" w:rsidR="0023462A" w:rsidRDefault="00A550FA">
            <w:pPr>
              <w:pStyle w:val="P68B1DB1-Normal85"/>
              <w:spacing w:after="120" w:line="240" w:lineRule="auto"/>
              <w:ind w:left="52"/>
              <w:textAlignment w:val="baseline"/>
              <w:rPr>
                <w:noProof/>
              </w:rPr>
            </w:pPr>
            <w:r>
              <w:rPr>
                <w:noProof/>
              </w:rPr>
              <w:t>99</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59906368" w14:textId="18471263" w:rsidR="0023462A" w:rsidRDefault="00A550FA">
            <w:pPr>
              <w:pStyle w:val="P68B1DB1-Normal85"/>
              <w:spacing w:after="120" w:line="240" w:lineRule="auto"/>
              <w:ind w:left="52"/>
              <w:rPr>
                <w:rFonts w:eastAsia="Times New Roman"/>
                <w:noProof/>
              </w:rPr>
            </w:pPr>
            <w:r>
              <w:rPr>
                <w:noProof/>
              </w:rPr>
              <w:t>C8.R32 Réforme de la taxe sur les gazoducs de service public</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134275E9" w14:textId="77777777" w:rsidR="0023462A" w:rsidRDefault="00A550FA">
            <w:pPr>
              <w:pStyle w:val="P68B1DB1-Normal85"/>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77B2190C" w14:textId="77777777" w:rsidR="0023462A" w:rsidRDefault="00A550FA">
            <w:pPr>
              <w:pStyle w:val="P68B1DB1-Normal85"/>
              <w:spacing w:after="120" w:line="240" w:lineRule="auto"/>
              <w:ind w:left="52"/>
              <w:textAlignment w:val="baseline"/>
              <w:rPr>
                <w:noProof/>
              </w:rPr>
            </w:pPr>
            <w:r>
              <w:rPr>
                <w:noProof/>
              </w:rPr>
              <w:t>Entrée en vigueur du ou des actes juridiques relatifs à la taxe sur les gazoducs </w:t>
            </w:r>
          </w:p>
        </w:tc>
      </w:tr>
      <w:tr w:rsidR="0023462A" w14:paraId="09AC4D22"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40825E25" w14:textId="77777777" w:rsidR="0023462A" w:rsidRDefault="00A550FA">
            <w:pPr>
              <w:pStyle w:val="P68B1DB1-Normal85"/>
              <w:spacing w:after="120" w:line="240" w:lineRule="auto"/>
              <w:ind w:left="52"/>
              <w:textAlignment w:val="baseline"/>
              <w:rPr>
                <w:noProof/>
              </w:rPr>
            </w:pPr>
            <w:r>
              <w:rPr>
                <w:noProof/>
              </w:rPr>
              <w:t>100</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64628EA6" w14:textId="77777777" w:rsidR="0023462A" w:rsidRDefault="00A550FA">
            <w:pPr>
              <w:pStyle w:val="P68B1DB1-Normal85"/>
              <w:spacing w:after="120" w:line="240" w:lineRule="auto"/>
              <w:ind w:left="52"/>
              <w:rPr>
                <w:noProof/>
              </w:rPr>
            </w:pPr>
            <w:r>
              <w:rPr>
                <w:noProof/>
              </w:rPr>
              <w:t>C8.R33 Renforcer l'efficacité des dépenses publiques en procédant à des réexamens des dépenses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34077502" w14:textId="77777777" w:rsidR="0023462A" w:rsidRDefault="00A550FA">
            <w:pPr>
              <w:pStyle w:val="P68B1DB1-Normal85"/>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1D20AD7D" w14:textId="77777777" w:rsidR="0023462A" w:rsidRDefault="00A550FA">
            <w:pPr>
              <w:pStyle w:val="P68B1DB1-Normal85"/>
              <w:spacing w:after="120" w:line="240" w:lineRule="auto"/>
              <w:ind w:left="52"/>
              <w:textAlignment w:val="baseline"/>
              <w:rPr>
                <w:noProof/>
              </w:rPr>
            </w:pPr>
            <w:r>
              <w:rPr>
                <w:noProof/>
              </w:rPr>
              <w:t>Mise en place du processus d'examen des dépenses et d'examen des dépenses</w:t>
            </w:r>
          </w:p>
        </w:tc>
      </w:tr>
      <w:tr w:rsidR="0023462A" w14:paraId="21E5819C"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3217D816" w14:textId="77777777" w:rsidR="0023462A" w:rsidRDefault="00A550FA">
            <w:pPr>
              <w:pStyle w:val="P68B1DB1-Normal85"/>
              <w:spacing w:after="120" w:line="240" w:lineRule="auto"/>
              <w:ind w:left="52"/>
              <w:textAlignment w:val="baseline"/>
              <w:rPr>
                <w:noProof/>
              </w:rPr>
            </w:pPr>
            <w:r>
              <w:rPr>
                <w:noProof/>
              </w:rPr>
              <w:t>101</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57C98973" w14:textId="77777777" w:rsidR="0023462A" w:rsidRDefault="00A550FA">
            <w:pPr>
              <w:pStyle w:val="P68B1DB1-Normal85"/>
              <w:spacing w:after="120" w:line="240" w:lineRule="auto"/>
              <w:ind w:left="52"/>
              <w:rPr>
                <w:noProof/>
              </w:rPr>
            </w:pPr>
            <w:r>
              <w:rPr>
                <w:noProof/>
              </w:rPr>
              <w:t>C8.R34 Amélioration du cadre budgétaire national</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69AAE93A" w14:textId="77777777" w:rsidR="0023462A" w:rsidRDefault="00A550FA">
            <w:pPr>
              <w:pStyle w:val="P68B1DB1-Normal85"/>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5CC237DA" w14:textId="77777777" w:rsidR="0023462A" w:rsidRDefault="00A550FA">
            <w:pPr>
              <w:pStyle w:val="P68B1DB1-Normal85"/>
              <w:spacing w:after="120" w:line="240" w:lineRule="auto"/>
              <w:ind w:left="52"/>
              <w:textAlignment w:val="baseline"/>
              <w:rPr>
                <w:noProof/>
              </w:rPr>
            </w:pPr>
            <w:r>
              <w:rPr>
                <w:noProof/>
              </w:rPr>
              <w:t xml:space="preserve">Renforcement du contrôle budgétaire </w:t>
            </w:r>
          </w:p>
        </w:tc>
      </w:tr>
      <w:tr w:rsidR="0023462A" w14:paraId="64E86A27"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7CAA0839" w14:textId="77777777" w:rsidR="0023462A" w:rsidRDefault="00A550FA">
            <w:pPr>
              <w:pStyle w:val="P68B1DB1-Normal85"/>
              <w:spacing w:after="120" w:line="240" w:lineRule="auto"/>
              <w:ind w:left="52"/>
              <w:textAlignment w:val="baseline"/>
              <w:rPr>
                <w:noProof/>
              </w:rPr>
            </w:pPr>
            <w:r>
              <w:rPr>
                <w:noProof/>
              </w:rPr>
              <w:t>102</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220A68A5" w14:textId="77777777" w:rsidR="0023462A" w:rsidRDefault="00A550FA">
            <w:pPr>
              <w:pStyle w:val="P68B1DB1-Normal85"/>
              <w:spacing w:after="120" w:line="240" w:lineRule="auto"/>
              <w:ind w:left="52"/>
              <w:rPr>
                <w:noProof/>
              </w:rPr>
            </w:pPr>
            <w:r>
              <w:rPr>
                <w:noProof/>
              </w:rPr>
              <w:t>C8.R34 Amélioration du cadre budgétaire national</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045D5830" w14:textId="77777777" w:rsidR="0023462A" w:rsidRDefault="00A550FA">
            <w:pPr>
              <w:pStyle w:val="P68B1DB1-Normal85"/>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0C0CDF8A" w14:textId="77777777" w:rsidR="0023462A" w:rsidRDefault="00A550FA">
            <w:pPr>
              <w:pStyle w:val="P68B1DB1-Normal85"/>
              <w:spacing w:after="120" w:line="240" w:lineRule="auto"/>
              <w:ind w:left="52"/>
              <w:textAlignment w:val="baseline"/>
              <w:rPr>
                <w:noProof/>
              </w:rPr>
            </w:pPr>
            <w:r>
              <w:rPr>
                <w:noProof/>
              </w:rPr>
              <w:t>Lancement d’un réexamen du cadre budgétaire soutenu par une consultation publique spécifique</w:t>
            </w:r>
          </w:p>
        </w:tc>
      </w:tr>
      <w:tr w:rsidR="0023462A" w14:paraId="5DFB0080"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433D3CC6" w14:textId="77777777" w:rsidR="0023462A" w:rsidRDefault="00A550FA">
            <w:pPr>
              <w:pStyle w:val="P68B1DB1-Normal85"/>
              <w:spacing w:after="120" w:line="240" w:lineRule="auto"/>
              <w:ind w:left="52"/>
              <w:textAlignment w:val="baseline"/>
              <w:rPr>
                <w:noProof/>
              </w:rPr>
            </w:pPr>
            <w:r>
              <w:rPr>
                <w:noProof/>
              </w:rPr>
              <w:t>103</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1F515345" w14:textId="2C31828F" w:rsidR="0023462A" w:rsidRDefault="00A550FA">
            <w:pPr>
              <w:pStyle w:val="P68B1DB1-Normal85"/>
              <w:spacing w:after="120" w:line="240" w:lineRule="auto"/>
              <w:ind w:left="52"/>
              <w:rPr>
                <w:noProof/>
              </w:rPr>
            </w:pPr>
            <w:r>
              <w:rPr>
                <w:noProof/>
              </w:rPr>
              <w:t>C8.R35 Réforme des prêts bonifiés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0DF441A8" w14:textId="77777777" w:rsidR="0023462A" w:rsidRDefault="00A550FA">
            <w:pPr>
              <w:pStyle w:val="P68B1DB1-Normal85"/>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6E87775C" w14:textId="77777777" w:rsidR="0023462A" w:rsidRDefault="00A550FA">
            <w:pPr>
              <w:pStyle w:val="P68B1DB1-Normal85"/>
              <w:spacing w:after="120" w:line="240" w:lineRule="auto"/>
              <w:ind w:left="52"/>
              <w:textAlignment w:val="baseline"/>
              <w:rPr>
                <w:noProof/>
              </w:rPr>
            </w:pPr>
            <w:r>
              <w:rPr>
                <w:noProof/>
              </w:rPr>
              <w:t>Réforme du régime de prêts bonifiés et réexamen des garanties publiques</w:t>
            </w:r>
          </w:p>
        </w:tc>
      </w:tr>
      <w:tr w:rsidR="0023462A" w14:paraId="6EA4297C"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014F26EA" w14:textId="77777777" w:rsidR="0023462A" w:rsidRDefault="00A550FA">
            <w:pPr>
              <w:pStyle w:val="P68B1DB1-Normal80"/>
              <w:spacing w:after="120" w:line="240" w:lineRule="auto"/>
              <w:ind w:left="52"/>
              <w:textAlignment w:val="baseline"/>
              <w:rPr>
                <w:rFonts w:eastAsiaTheme="minorHAnsi"/>
                <w:noProof/>
              </w:rPr>
            </w:pPr>
            <w:r>
              <w:rPr>
                <w:noProof/>
              </w:rPr>
              <w:t>104</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54948E83" w14:textId="77777777" w:rsidR="0023462A" w:rsidRDefault="00A550FA">
            <w:pPr>
              <w:pStyle w:val="P68B1DB1-Normal80"/>
              <w:spacing w:after="120" w:line="240" w:lineRule="auto"/>
              <w:ind w:left="52"/>
              <w:rPr>
                <w:rFonts w:eastAsiaTheme="minorHAnsi"/>
                <w:noProof/>
              </w:rPr>
            </w:pPr>
            <w:r>
              <w:rPr>
                <w:noProof/>
              </w:rPr>
              <w:t>C9.R1 : Fixation des tarifs de réseau</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622C1793" w14:textId="77777777" w:rsidR="0023462A" w:rsidRDefault="00A550FA">
            <w:pPr>
              <w:pStyle w:val="P68B1DB1-Normal80"/>
              <w:spacing w:after="120" w:line="240" w:lineRule="auto"/>
              <w:rPr>
                <w:rFonts w:eastAsiaTheme="minorHAnsi"/>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50913B7E" w14:textId="77777777" w:rsidR="0023462A" w:rsidRDefault="00A550FA">
            <w:pPr>
              <w:pStyle w:val="P68B1DB1-Normal80"/>
              <w:spacing w:after="120" w:line="240" w:lineRule="auto"/>
              <w:ind w:left="52"/>
              <w:textAlignment w:val="baseline"/>
              <w:rPr>
                <w:rFonts w:eastAsiaTheme="minorHAnsi"/>
                <w:noProof/>
              </w:rPr>
            </w:pPr>
            <w:r>
              <w:rPr>
                <w:noProof/>
              </w:rPr>
              <w:t>Nouvelle méthode de calcul des tarifs de réseau</w:t>
            </w:r>
          </w:p>
        </w:tc>
      </w:tr>
      <w:tr w:rsidR="0023462A" w14:paraId="6C7556A1"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2AD87CA6" w14:textId="77777777" w:rsidR="0023462A" w:rsidRDefault="00A550FA">
            <w:pPr>
              <w:pStyle w:val="P68B1DB1-Normal80"/>
              <w:spacing w:after="120" w:line="240" w:lineRule="auto"/>
              <w:ind w:left="52"/>
              <w:textAlignment w:val="baseline"/>
              <w:rPr>
                <w:rFonts w:eastAsiaTheme="minorHAnsi"/>
                <w:noProof/>
              </w:rPr>
            </w:pPr>
            <w:r>
              <w:rPr>
                <w:noProof/>
              </w:rPr>
              <w:t>105</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0A9DE580" w14:textId="799918E8" w:rsidR="0023462A" w:rsidRDefault="00A550FA">
            <w:pPr>
              <w:pStyle w:val="P68B1DB1-Normal80"/>
              <w:spacing w:after="120" w:line="240" w:lineRule="auto"/>
              <w:rPr>
                <w:rFonts w:eastAsiaTheme="minorHAnsi"/>
                <w:noProof/>
              </w:rPr>
            </w:pPr>
            <w:r>
              <w:rPr>
                <w:noProof/>
              </w:rPr>
              <w:t xml:space="preserve">C9.R2 : Adaptation du ou des actes juridiques relatifs aux compteurs intelligents </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667A0F3A" w14:textId="77777777" w:rsidR="0023462A" w:rsidRDefault="00A550FA">
            <w:pPr>
              <w:pStyle w:val="P68B1DB1-Normal80"/>
              <w:spacing w:after="120" w:line="240" w:lineRule="auto"/>
              <w:rPr>
                <w:rFonts w:eastAsiaTheme="minorHAnsi"/>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73A718F5" w14:textId="77777777" w:rsidR="0023462A" w:rsidRDefault="00A550FA">
            <w:pPr>
              <w:pStyle w:val="P68B1DB1-Normal80"/>
              <w:spacing w:after="120" w:line="240" w:lineRule="auto"/>
              <w:ind w:left="52"/>
              <w:textAlignment w:val="baseline"/>
              <w:rPr>
                <w:rFonts w:eastAsiaTheme="minorHAnsi"/>
                <w:noProof/>
              </w:rPr>
            </w:pPr>
            <w:r>
              <w:rPr>
                <w:noProof/>
              </w:rPr>
              <w:t>Entrée en vigueur du ou des actes juridiques</w:t>
            </w:r>
          </w:p>
        </w:tc>
      </w:tr>
      <w:tr w:rsidR="0023462A" w14:paraId="4FEC2C3D"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6C89406B" w14:textId="77777777" w:rsidR="0023462A" w:rsidRDefault="00A550FA">
            <w:pPr>
              <w:pStyle w:val="P68B1DB1-Normal80"/>
              <w:spacing w:after="120" w:line="240" w:lineRule="auto"/>
              <w:ind w:left="52"/>
              <w:textAlignment w:val="baseline"/>
              <w:rPr>
                <w:rFonts w:eastAsiaTheme="minorHAnsi"/>
                <w:noProof/>
              </w:rPr>
            </w:pPr>
            <w:r>
              <w:rPr>
                <w:noProof/>
              </w:rPr>
              <w:t>106</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6879324B" w14:textId="77777777" w:rsidR="0023462A" w:rsidRDefault="00A550FA">
            <w:pPr>
              <w:pStyle w:val="P68B1DB1-Normal80"/>
              <w:spacing w:after="120" w:line="240" w:lineRule="auto"/>
              <w:rPr>
                <w:rFonts w:eastAsia="Times New Roman"/>
                <w:noProof/>
              </w:rPr>
            </w:pPr>
            <w:r>
              <w:rPr>
                <w:noProof/>
              </w:rPr>
              <w:t>C9.R3 : Renforcement du rôle des agrégateurs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0C8B56F8" w14:textId="77777777" w:rsidR="0023462A" w:rsidRDefault="00A550FA">
            <w:pPr>
              <w:pStyle w:val="P68B1DB1-Normal80"/>
              <w:spacing w:after="120" w:line="240" w:lineRule="auto"/>
              <w:rPr>
                <w:rFonts w:eastAsiaTheme="minorHAnsi"/>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43F2AD39" w14:textId="015D7E49" w:rsidR="0023462A" w:rsidRDefault="00A550FA">
            <w:pPr>
              <w:pStyle w:val="P68B1DB1-Normal80"/>
              <w:spacing w:after="120" w:line="240" w:lineRule="auto"/>
              <w:rPr>
                <w:rFonts w:eastAsiaTheme="minorHAnsi"/>
                <w:noProof/>
              </w:rPr>
            </w:pPr>
            <w:r>
              <w:rPr>
                <w:noProof/>
              </w:rPr>
              <w:t>Adoption d’un ou de plusieurs actes juridiques</w:t>
            </w:r>
          </w:p>
        </w:tc>
      </w:tr>
      <w:tr w:rsidR="0023462A" w14:paraId="65E9673C"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3269F368" w14:textId="77777777" w:rsidR="0023462A" w:rsidRDefault="00A550FA">
            <w:pPr>
              <w:pStyle w:val="P68B1DB1-Normal80"/>
              <w:spacing w:after="120" w:line="240" w:lineRule="auto"/>
              <w:ind w:left="52"/>
              <w:textAlignment w:val="baseline"/>
              <w:rPr>
                <w:rFonts w:eastAsiaTheme="minorHAnsi"/>
                <w:noProof/>
              </w:rPr>
            </w:pPr>
            <w:r>
              <w:rPr>
                <w:noProof/>
              </w:rPr>
              <w:t>107</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4667707F" w14:textId="7AC26FB0" w:rsidR="0023462A" w:rsidRDefault="00A550FA">
            <w:pPr>
              <w:pStyle w:val="P68B1DB1-Normal80"/>
              <w:spacing w:after="120" w:line="240" w:lineRule="auto"/>
              <w:rPr>
                <w:rFonts w:eastAsiaTheme="minorHAnsi"/>
                <w:noProof/>
              </w:rPr>
            </w:pPr>
            <w:r>
              <w:rPr>
                <w:noProof/>
              </w:rPr>
              <w:t>C9.R4 : Utilisation plus large de la tarification dynamique dans les accords d'achat d'électricité</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09538BC3" w14:textId="77777777" w:rsidR="0023462A" w:rsidRDefault="00A550FA">
            <w:pPr>
              <w:pStyle w:val="P68B1DB1-Normal80"/>
              <w:spacing w:after="120" w:line="240" w:lineRule="auto"/>
              <w:rPr>
                <w:rFonts w:eastAsiaTheme="minorHAnsi"/>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65256039" w14:textId="77777777" w:rsidR="0023462A" w:rsidRDefault="00A550FA">
            <w:pPr>
              <w:pStyle w:val="P68B1DB1-Normal80"/>
              <w:spacing w:after="120" w:line="240" w:lineRule="auto"/>
              <w:ind w:left="52"/>
              <w:textAlignment w:val="baseline"/>
              <w:rPr>
                <w:rFonts w:eastAsiaTheme="minorHAnsi"/>
                <w:noProof/>
              </w:rPr>
            </w:pPr>
            <w:r>
              <w:rPr>
                <w:noProof/>
              </w:rPr>
              <w:t>Entrée en vigueur du ou des actes juridiques</w:t>
            </w:r>
          </w:p>
        </w:tc>
      </w:tr>
      <w:tr w:rsidR="0023462A" w14:paraId="18C23C4C"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462A64A7" w14:textId="77777777" w:rsidR="0023462A" w:rsidRDefault="00A550FA">
            <w:pPr>
              <w:pStyle w:val="P68B1DB1-Normal80"/>
              <w:spacing w:after="120" w:line="240" w:lineRule="auto"/>
              <w:ind w:left="52"/>
              <w:textAlignment w:val="baseline"/>
              <w:rPr>
                <w:rFonts w:eastAsiaTheme="minorHAnsi"/>
                <w:noProof/>
              </w:rPr>
            </w:pPr>
            <w:r>
              <w:rPr>
                <w:noProof/>
              </w:rPr>
              <w:t>108</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63643E2C" w14:textId="77777777" w:rsidR="0023462A" w:rsidRDefault="00A550FA">
            <w:pPr>
              <w:pStyle w:val="P68B1DB1-Normal80"/>
              <w:spacing w:after="120" w:line="240" w:lineRule="auto"/>
              <w:rPr>
                <w:rFonts w:eastAsia="MS Mincho"/>
                <w:noProof/>
              </w:rPr>
            </w:pPr>
            <w:r>
              <w:rPr>
                <w:noProof/>
              </w:rPr>
              <w:t>C9.R5 : Ouvrir les marchés des réserves réglementaires pour encourager la concurrence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17B20038" w14:textId="77777777" w:rsidR="0023462A" w:rsidRDefault="00A550FA">
            <w:pPr>
              <w:pStyle w:val="P68B1DB1-Normal80"/>
              <w:spacing w:after="120" w:line="240" w:lineRule="auto"/>
              <w:rPr>
                <w:rFonts w:eastAsiaTheme="minorHAnsi"/>
                <w:noProof/>
              </w:rPr>
            </w:pPr>
            <w:r>
              <w:rPr>
                <w:noProof/>
              </w:rPr>
              <w:t xml:space="preserve">Étape </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22BF1CD8" w14:textId="77777777" w:rsidR="0023462A" w:rsidRDefault="00A550FA">
            <w:pPr>
              <w:pStyle w:val="P68B1DB1-Normal80"/>
              <w:spacing w:after="120" w:line="240" w:lineRule="auto"/>
              <w:ind w:left="52"/>
              <w:textAlignment w:val="baseline"/>
              <w:rPr>
                <w:rFonts w:eastAsiaTheme="minorHAnsi"/>
                <w:noProof/>
              </w:rPr>
            </w:pPr>
            <w:r>
              <w:rPr>
                <w:noProof/>
              </w:rPr>
              <w:t>Entrée en vigueur de la décision du MEKH approuvant le code de réseau modifié</w:t>
            </w:r>
          </w:p>
        </w:tc>
      </w:tr>
      <w:tr w:rsidR="0023462A" w14:paraId="30A5AFFE"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6E90016E" w14:textId="77777777" w:rsidR="0023462A" w:rsidRDefault="00A550FA">
            <w:pPr>
              <w:pStyle w:val="P68B1DB1-Normal80"/>
              <w:spacing w:after="120" w:line="240" w:lineRule="auto"/>
              <w:ind w:left="52"/>
              <w:textAlignment w:val="baseline"/>
              <w:rPr>
                <w:rFonts w:eastAsiaTheme="minorHAnsi"/>
                <w:noProof/>
              </w:rPr>
            </w:pPr>
            <w:r>
              <w:rPr>
                <w:noProof/>
              </w:rPr>
              <w:t>109</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2593C04A" w14:textId="77777777" w:rsidR="0023462A" w:rsidRDefault="00A550FA">
            <w:pPr>
              <w:pStyle w:val="P68B1DB1-Normal80"/>
              <w:spacing w:after="120" w:line="240" w:lineRule="auto"/>
              <w:ind w:left="52"/>
              <w:rPr>
                <w:rFonts w:eastAsiaTheme="minorHAnsi"/>
                <w:noProof/>
              </w:rPr>
            </w:pPr>
            <w:r>
              <w:rPr>
                <w:noProof/>
              </w:rPr>
              <w:t>C9.R6: Élargir les communautés énergétiques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30449CF1" w14:textId="77777777" w:rsidR="0023462A" w:rsidRDefault="00A550FA">
            <w:pPr>
              <w:pStyle w:val="P68B1DB1-Normal80"/>
              <w:spacing w:after="120" w:line="240" w:lineRule="auto"/>
              <w:rPr>
                <w:rFonts w:eastAsiaTheme="minorHAnsi"/>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53459D05" w14:textId="77777777" w:rsidR="0023462A" w:rsidRDefault="00A550FA">
            <w:pPr>
              <w:pStyle w:val="P68B1DB1-Normal80"/>
              <w:spacing w:after="120" w:line="240" w:lineRule="auto"/>
              <w:ind w:left="52"/>
              <w:textAlignment w:val="baseline"/>
              <w:rPr>
                <w:rFonts w:eastAsiaTheme="minorHAnsi"/>
                <w:noProof/>
              </w:rPr>
            </w:pPr>
            <w:r>
              <w:rPr>
                <w:noProof/>
              </w:rPr>
              <w:t>Entrée en vigueur du ou des actes juridiques</w:t>
            </w:r>
          </w:p>
        </w:tc>
      </w:tr>
      <w:tr w:rsidR="0023462A" w14:paraId="17716FF6"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5F5D81AE" w14:textId="77777777" w:rsidR="0023462A" w:rsidRDefault="00A550FA">
            <w:pPr>
              <w:pStyle w:val="P68B1DB1-Normal80"/>
              <w:spacing w:after="120" w:line="240" w:lineRule="auto"/>
              <w:ind w:left="52"/>
              <w:textAlignment w:val="baseline"/>
              <w:rPr>
                <w:rFonts w:eastAsiaTheme="minorHAnsi"/>
                <w:noProof/>
              </w:rPr>
            </w:pPr>
            <w:r>
              <w:rPr>
                <w:noProof/>
              </w:rPr>
              <w:t>110</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2144EB52" w14:textId="77777777" w:rsidR="0023462A" w:rsidRDefault="00A550FA">
            <w:pPr>
              <w:pStyle w:val="P68B1DB1-Normal80"/>
              <w:spacing w:after="120" w:line="240" w:lineRule="auto"/>
              <w:ind w:left="52"/>
              <w:rPr>
                <w:rFonts w:eastAsiaTheme="minorHAnsi"/>
                <w:noProof/>
              </w:rPr>
            </w:pPr>
            <w:r>
              <w:rPr>
                <w:noProof/>
              </w:rPr>
              <w:t>C9.R7: Incitations juridiques à l’adoption du stockage de l’énergie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6C046CF9" w14:textId="77777777" w:rsidR="0023462A" w:rsidRDefault="00A550FA">
            <w:pPr>
              <w:pStyle w:val="P68B1DB1-Normal80"/>
              <w:spacing w:after="120" w:line="240" w:lineRule="auto"/>
              <w:rPr>
                <w:rFonts w:eastAsiaTheme="minorHAnsi"/>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00D5718A" w14:textId="77777777" w:rsidR="0023462A" w:rsidRDefault="00A550FA">
            <w:pPr>
              <w:pStyle w:val="P68B1DB1-Normal80"/>
              <w:spacing w:after="120" w:line="240" w:lineRule="auto"/>
              <w:ind w:left="52"/>
              <w:textAlignment w:val="baseline"/>
              <w:rPr>
                <w:rFonts w:eastAsiaTheme="minorHAnsi"/>
                <w:noProof/>
              </w:rPr>
            </w:pPr>
            <w:r>
              <w:rPr>
                <w:noProof/>
              </w:rPr>
              <w:t>Entrée en vigueur du ou des actes juridiques</w:t>
            </w:r>
          </w:p>
        </w:tc>
      </w:tr>
      <w:tr w:rsidR="0023462A" w14:paraId="1F7E55B5"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75E0E604" w14:textId="77777777" w:rsidR="0023462A" w:rsidRDefault="00A550FA">
            <w:pPr>
              <w:pStyle w:val="P68B1DB1-Normal80"/>
              <w:spacing w:after="120" w:line="240" w:lineRule="auto"/>
              <w:ind w:left="52"/>
              <w:textAlignment w:val="baseline"/>
              <w:rPr>
                <w:rFonts w:eastAsiaTheme="minorHAnsi"/>
                <w:noProof/>
              </w:rPr>
            </w:pPr>
            <w:r>
              <w:rPr>
                <w:noProof/>
              </w:rPr>
              <w:t>111</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4FE50EE4" w14:textId="77777777" w:rsidR="0023462A" w:rsidRDefault="00A550FA">
            <w:pPr>
              <w:pStyle w:val="P68B1DB1-Normal80"/>
              <w:spacing w:after="120" w:line="240" w:lineRule="auto"/>
              <w:ind w:left="52"/>
              <w:rPr>
                <w:rFonts w:eastAsiaTheme="minorHAnsi"/>
                <w:noProof/>
              </w:rPr>
            </w:pPr>
            <w:r>
              <w:rPr>
                <w:noProof/>
              </w:rPr>
              <w:t xml:space="preserve">C10.R8: Modifications d’actes juridiques intégrant l’énergie géothermique </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2179248F" w14:textId="77777777" w:rsidR="0023462A" w:rsidRDefault="00A550FA">
            <w:pPr>
              <w:pStyle w:val="P68B1DB1-Normal80"/>
              <w:spacing w:after="120" w:line="240" w:lineRule="auto"/>
              <w:rPr>
                <w:rFonts w:eastAsiaTheme="minorHAnsi"/>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3F7C52B9" w14:textId="77777777" w:rsidR="0023462A" w:rsidRDefault="00A550FA">
            <w:pPr>
              <w:pStyle w:val="P68B1DB1-Normal80"/>
              <w:spacing w:after="120" w:line="240" w:lineRule="auto"/>
              <w:ind w:left="52"/>
              <w:textAlignment w:val="baseline"/>
              <w:rPr>
                <w:rFonts w:eastAsiaTheme="minorHAnsi"/>
                <w:noProof/>
              </w:rPr>
            </w:pPr>
            <w:r>
              <w:rPr>
                <w:noProof/>
              </w:rPr>
              <w:t xml:space="preserve">Entrée en vigueur de la ou des modifications apportées à un ou plusieurs actes juridiques intégrant l’énergie géothermique </w:t>
            </w:r>
          </w:p>
        </w:tc>
      </w:tr>
      <w:tr w:rsidR="0023462A" w14:paraId="64AF4C48"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4CAAB3B4" w14:textId="77777777" w:rsidR="0023462A" w:rsidRDefault="00A550FA">
            <w:pPr>
              <w:pStyle w:val="P68B1DB1-Normal80"/>
              <w:spacing w:after="120" w:line="240" w:lineRule="auto"/>
              <w:ind w:left="52"/>
              <w:textAlignment w:val="baseline"/>
              <w:rPr>
                <w:rFonts w:eastAsiaTheme="minorHAnsi"/>
                <w:noProof/>
              </w:rPr>
            </w:pPr>
            <w:r>
              <w:rPr>
                <w:noProof/>
              </w:rPr>
              <w:t>112</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4BBCEE03" w14:textId="77777777" w:rsidR="0023462A" w:rsidRDefault="00A550FA">
            <w:pPr>
              <w:pStyle w:val="P68B1DB1-Normal80"/>
              <w:spacing w:after="120" w:line="240" w:lineRule="auto"/>
              <w:ind w:left="52"/>
              <w:rPr>
                <w:rFonts w:eastAsiaTheme="minorHAnsi"/>
                <w:noProof/>
              </w:rPr>
            </w:pPr>
            <w:r>
              <w:rPr>
                <w:noProof/>
              </w:rPr>
              <w:t>C9.I1. Mesure à plus grande échelle: Régime de subventions pour le développement du réseau électrique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2A03B8F7" w14:textId="77777777" w:rsidR="0023462A" w:rsidRDefault="00A550FA">
            <w:pPr>
              <w:pStyle w:val="P68B1DB1-Normal84"/>
              <w:spacing w:after="120" w:line="240" w:lineRule="auto"/>
              <w:rPr>
                <w:rFonts w:eastAsiaTheme="minorHAnsi"/>
                <w:noProof/>
              </w:rPr>
            </w:pPr>
            <w:r>
              <w:rPr>
                <w:noProof/>
              </w:rPr>
              <w:t>Objectif</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6BDBA755" w14:textId="77777777" w:rsidR="0023462A" w:rsidRDefault="00A550FA">
            <w:pPr>
              <w:pStyle w:val="P68B1DB1-Normal84"/>
              <w:spacing w:after="120" w:line="240" w:lineRule="auto"/>
              <w:ind w:left="52"/>
              <w:textAlignment w:val="baseline"/>
              <w:rPr>
                <w:rFonts w:eastAsiaTheme="minorHAnsi"/>
                <w:noProof/>
              </w:rPr>
            </w:pPr>
            <w:r>
              <w:rPr>
                <w:noProof/>
              </w:rPr>
              <w:t>Accords juridiques signés avec les bénéficiaires finaux</w:t>
            </w:r>
          </w:p>
        </w:tc>
      </w:tr>
      <w:tr w:rsidR="0023462A" w14:paraId="0B41C629"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340E4F48" w14:textId="77777777" w:rsidR="0023462A" w:rsidRDefault="00A550FA">
            <w:pPr>
              <w:pStyle w:val="P68B1DB1-Normal84"/>
              <w:spacing w:after="120" w:line="240" w:lineRule="auto"/>
              <w:ind w:left="52"/>
              <w:textAlignment w:val="baseline"/>
              <w:rPr>
                <w:rFonts w:eastAsiaTheme="minorHAnsi"/>
                <w:noProof/>
              </w:rPr>
            </w:pPr>
            <w:r>
              <w:rPr>
                <w:noProof/>
              </w:rPr>
              <w:t>113</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240450EE" w14:textId="77777777" w:rsidR="0023462A" w:rsidRDefault="00A550FA">
            <w:pPr>
              <w:pStyle w:val="P68B1DB1-Normal80"/>
              <w:spacing w:after="120" w:line="240" w:lineRule="auto"/>
              <w:ind w:left="52"/>
              <w:rPr>
                <w:rFonts w:eastAsiaTheme="minorHAnsi"/>
                <w:noProof/>
              </w:rPr>
            </w:pPr>
            <w:r>
              <w:rPr>
                <w:noProof/>
              </w:rPr>
              <w:t>C9.I1. Mesure à plus grande échelle: Régime de subventions pour le développement du réseau électrique</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54A170C8" w14:textId="77777777" w:rsidR="0023462A" w:rsidRDefault="00A550FA">
            <w:pPr>
              <w:pStyle w:val="P68B1DB1-Normal84"/>
              <w:spacing w:after="120" w:line="240" w:lineRule="auto"/>
              <w:rPr>
                <w:rFonts w:eastAsiaTheme="minorHAnsi"/>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50709CF2" w14:textId="77777777" w:rsidR="0023462A" w:rsidRDefault="00A550FA">
            <w:pPr>
              <w:pStyle w:val="P68B1DB1-Normal84"/>
              <w:spacing w:after="120" w:line="240" w:lineRule="auto"/>
              <w:ind w:left="52"/>
              <w:textAlignment w:val="baseline"/>
              <w:rPr>
                <w:rFonts w:eastAsiaTheme="minorHAnsi"/>
                <w:noProof/>
              </w:rPr>
            </w:pPr>
            <w:r>
              <w:rPr>
                <w:noProof/>
              </w:rPr>
              <w:t>Le ministère a terminé l'investissement</w:t>
            </w:r>
          </w:p>
        </w:tc>
      </w:tr>
      <w:tr w:rsidR="0023462A" w14:paraId="16B55711"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755BC8FD" w14:textId="77777777" w:rsidR="0023462A" w:rsidRDefault="00A550FA">
            <w:pPr>
              <w:pStyle w:val="P68B1DB1-Normal84"/>
              <w:spacing w:after="120" w:line="240" w:lineRule="auto"/>
              <w:ind w:left="52"/>
              <w:textAlignment w:val="baseline"/>
              <w:rPr>
                <w:rFonts w:eastAsiaTheme="minorHAnsi"/>
                <w:noProof/>
              </w:rPr>
            </w:pPr>
            <w:r>
              <w:rPr>
                <w:noProof/>
              </w:rPr>
              <w:t>114</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5D3A97A8" w14:textId="77777777" w:rsidR="0023462A" w:rsidRDefault="00A550FA">
            <w:pPr>
              <w:pStyle w:val="P68B1DB1-Normal80"/>
              <w:spacing w:after="120" w:line="240" w:lineRule="auto"/>
              <w:ind w:left="52"/>
              <w:rPr>
                <w:rFonts w:eastAsiaTheme="minorHAnsi"/>
                <w:noProof/>
              </w:rPr>
            </w:pPr>
            <w:r>
              <w:rPr>
                <w:noProof/>
              </w:rPr>
              <w:t>C9.I2 : Mise en place d'un instrument financier pour améliorer l'efficacité énergétique des bâtiments résidentiels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2BD8EAB7" w14:textId="77777777" w:rsidR="0023462A" w:rsidRDefault="00A550FA">
            <w:pPr>
              <w:pStyle w:val="P68B1DB1-Normal80"/>
              <w:spacing w:after="120" w:line="240" w:lineRule="auto"/>
              <w:rPr>
                <w:rFonts w:eastAsiaTheme="minorHAnsi"/>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3BB12A6C" w14:textId="77777777" w:rsidR="0023462A" w:rsidRDefault="00A550FA">
            <w:pPr>
              <w:pStyle w:val="P68B1DB1-Normal80"/>
              <w:spacing w:after="120" w:line="240" w:lineRule="auto"/>
              <w:ind w:left="52"/>
              <w:textAlignment w:val="baseline"/>
              <w:rPr>
                <w:rFonts w:eastAsiaTheme="minorHAnsi"/>
                <w:noProof/>
              </w:rPr>
            </w:pPr>
            <w:r>
              <w:rPr>
                <w:noProof/>
              </w:rPr>
              <w:t>Accord de mise en œuvre</w:t>
            </w:r>
          </w:p>
        </w:tc>
      </w:tr>
      <w:tr w:rsidR="0023462A" w14:paraId="20283AA1"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45D9D4E2" w14:textId="77777777" w:rsidR="0023462A" w:rsidRDefault="00A550FA">
            <w:pPr>
              <w:pStyle w:val="P68B1DB1-Normal80"/>
              <w:spacing w:after="120" w:line="240" w:lineRule="auto"/>
              <w:ind w:left="52"/>
              <w:textAlignment w:val="baseline"/>
              <w:rPr>
                <w:rFonts w:eastAsiaTheme="minorHAnsi"/>
                <w:noProof/>
              </w:rPr>
            </w:pPr>
            <w:r>
              <w:rPr>
                <w:noProof/>
              </w:rPr>
              <w:t>115</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50C8B44C" w14:textId="77777777" w:rsidR="0023462A" w:rsidRDefault="00A550FA">
            <w:pPr>
              <w:pStyle w:val="P68B1DB1-Normal80"/>
              <w:spacing w:after="120" w:line="240" w:lineRule="auto"/>
              <w:ind w:left="52"/>
              <w:rPr>
                <w:rFonts w:eastAsiaTheme="minorHAnsi"/>
                <w:noProof/>
              </w:rPr>
            </w:pPr>
            <w:r>
              <w:rPr>
                <w:noProof/>
              </w:rPr>
              <w:t>C9.I2 : Mise en place d'un instrument financier pour améliorer l'efficacité énergétique des bâtiments résidentiels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3EB9AB6A" w14:textId="77777777" w:rsidR="0023462A" w:rsidRDefault="00A550FA">
            <w:pPr>
              <w:pStyle w:val="P68B1DB1-Normal80"/>
              <w:spacing w:after="120" w:line="240" w:lineRule="auto"/>
              <w:rPr>
                <w:rFonts w:eastAsiaTheme="minorHAnsi"/>
                <w:noProof/>
              </w:rPr>
            </w:pPr>
            <w:r>
              <w:rPr>
                <w:noProof/>
              </w:rPr>
              <w:t>Objectif</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73F1D93F" w14:textId="77777777" w:rsidR="0023462A" w:rsidRDefault="00A550FA">
            <w:pPr>
              <w:pStyle w:val="P68B1DB1-Normal80"/>
              <w:spacing w:after="120" w:line="240" w:lineRule="auto"/>
              <w:ind w:left="52"/>
              <w:textAlignment w:val="baseline"/>
              <w:rPr>
                <w:rFonts w:eastAsiaTheme="minorHAnsi"/>
                <w:noProof/>
              </w:rPr>
            </w:pPr>
            <w:r>
              <w:rPr>
                <w:noProof/>
              </w:rPr>
              <w:t>Accords juridiques signés avec les bénéficiaires finaux</w:t>
            </w:r>
          </w:p>
        </w:tc>
      </w:tr>
      <w:tr w:rsidR="0023462A" w14:paraId="78E36E59"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vAlign w:val="center"/>
          </w:tcPr>
          <w:p w14:paraId="425DE5F7" w14:textId="77777777" w:rsidR="0023462A" w:rsidRDefault="00A550FA">
            <w:pPr>
              <w:pStyle w:val="P68B1DB1-Normal80"/>
              <w:spacing w:after="120" w:line="240" w:lineRule="auto"/>
              <w:ind w:left="52"/>
              <w:textAlignment w:val="baseline"/>
              <w:rPr>
                <w:rFonts w:eastAsiaTheme="minorHAnsi"/>
                <w:noProof/>
              </w:rPr>
            </w:pPr>
            <w:r>
              <w:rPr>
                <w:noProof/>
              </w:rPr>
              <w:t>116</w:t>
            </w:r>
          </w:p>
        </w:tc>
        <w:tc>
          <w:tcPr>
            <w:tcW w:w="3041" w:type="dxa"/>
            <w:tcBorders>
              <w:top w:val="single" w:sz="4" w:space="0" w:color="auto"/>
              <w:left w:val="nil"/>
              <w:bottom w:val="single" w:sz="4" w:space="0" w:color="auto"/>
              <w:right w:val="single" w:sz="4" w:space="0" w:color="auto"/>
            </w:tcBorders>
            <w:shd w:val="clear" w:color="auto" w:fill="C6EFCE"/>
            <w:vAlign w:val="center"/>
          </w:tcPr>
          <w:p w14:paraId="274C0667" w14:textId="77777777" w:rsidR="0023462A" w:rsidRDefault="00A550FA">
            <w:pPr>
              <w:pStyle w:val="P68B1DB1-Normal80"/>
              <w:spacing w:after="120" w:line="240" w:lineRule="auto"/>
              <w:ind w:left="52"/>
              <w:rPr>
                <w:rFonts w:eastAsiaTheme="minorHAnsi"/>
                <w:noProof/>
              </w:rPr>
            </w:pPr>
            <w:r>
              <w:rPr>
                <w:noProof/>
              </w:rPr>
              <w:t>C9.I2 : Mise en place d'un instrument financier pour améliorer l'efficacité énergétique des bâtiments résidentiels</w:t>
            </w:r>
          </w:p>
        </w:tc>
        <w:tc>
          <w:tcPr>
            <w:tcW w:w="1446" w:type="dxa"/>
            <w:tcBorders>
              <w:top w:val="single" w:sz="4" w:space="0" w:color="auto"/>
              <w:left w:val="nil"/>
              <w:bottom w:val="single" w:sz="4" w:space="0" w:color="auto"/>
              <w:right w:val="single" w:sz="4" w:space="0" w:color="auto"/>
            </w:tcBorders>
            <w:shd w:val="clear" w:color="auto" w:fill="C6EFCE"/>
            <w:vAlign w:val="center"/>
          </w:tcPr>
          <w:p w14:paraId="2A9E76CF" w14:textId="77777777" w:rsidR="0023462A" w:rsidRDefault="00A550FA">
            <w:pPr>
              <w:pStyle w:val="P68B1DB1-Normal80"/>
              <w:spacing w:after="120" w:line="240" w:lineRule="auto"/>
              <w:rPr>
                <w:rFonts w:eastAsiaTheme="minorHAnsi"/>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1C40B16D" w14:textId="77777777" w:rsidR="0023462A" w:rsidRDefault="00A550FA">
            <w:pPr>
              <w:pStyle w:val="P68B1DB1-Normal80"/>
              <w:spacing w:after="120" w:line="240" w:lineRule="auto"/>
              <w:ind w:left="52"/>
              <w:textAlignment w:val="baseline"/>
              <w:rPr>
                <w:rFonts w:eastAsiaTheme="minorHAnsi"/>
                <w:noProof/>
              </w:rPr>
            </w:pPr>
            <w:r>
              <w:rPr>
                <w:noProof/>
              </w:rPr>
              <w:t>La MFB a terminé l'investissement</w:t>
            </w:r>
          </w:p>
        </w:tc>
      </w:tr>
      <w:tr w:rsidR="0023462A" w14:paraId="36F7E6B0"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tcPr>
          <w:p w14:paraId="480D3EAC" w14:textId="77777777" w:rsidR="0023462A" w:rsidRDefault="00A550FA">
            <w:pPr>
              <w:pStyle w:val="P68B1DB1-Normal80"/>
              <w:spacing w:after="120" w:line="240" w:lineRule="auto"/>
              <w:ind w:left="52"/>
              <w:textAlignment w:val="baseline"/>
              <w:rPr>
                <w:rFonts w:eastAsiaTheme="minorHAnsi"/>
                <w:noProof/>
              </w:rPr>
            </w:pPr>
            <w:r>
              <w:rPr>
                <w:noProof/>
              </w:rPr>
              <w:t>117</w:t>
            </w:r>
          </w:p>
        </w:tc>
        <w:tc>
          <w:tcPr>
            <w:tcW w:w="3041" w:type="dxa"/>
            <w:tcBorders>
              <w:top w:val="single" w:sz="4" w:space="0" w:color="auto"/>
              <w:left w:val="nil"/>
              <w:bottom w:val="single" w:sz="4" w:space="0" w:color="auto"/>
              <w:right w:val="single" w:sz="4" w:space="0" w:color="auto"/>
            </w:tcBorders>
            <w:shd w:val="clear" w:color="auto" w:fill="C6EFCE"/>
          </w:tcPr>
          <w:p w14:paraId="3F2A2D84" w14:textId="77777777" w:rsidR="0023462A" w:rsidRDefault="00A550FA">
            <w:pPr>
              <w:pStyle w:val="P68B1DB1-Normal80"/>
              <w:spacing w:after="120" w:line="240" w:lineRule="auto"/>
              <w:ind w:left="52"/>
              <w:rPr>
                <w:rFonts w:eastAsiaTheme="minorHAnsi"/>
                <w:noProof/>
              </w:rPr>
            </w:pPr>
            <w:r>
              <w:rPr>
                <w:noProof/>
              </w:rPr>
              <w:t>C10.R1 Réforme de la gouvernance de la Magyar Fejlesztési Bank</w:t>
            </w:r>
          </w:p>
        </w:tc>
        <w:tc>
          <w:tcPr>
            <w:tcW w:w="1446" w:type="dxa"/>
            <w:tcBorders>
              <w:top w:val="single" w:sz="4" w:space="0" w:color="auto"/>
              <w:left w:val="nil"/>
              <w:bottom w:val="single" w:sz="4" w:space="0" w:color="auto"/>
              <w:right w:val="single" w:sz="4" w:space="0" w:color="auto"/>
            </w:tcBorders>
            <w:shd w:val="clear" w:color="auto" w:fill="C6EFCE"/>
          </w:tcPr>
          <w:p w14:paraId="50210369" w14:textId="77777777" w:rsidR="0023462A" w:rsidRDefault="00A550FA">
            <w:pPr>
              <w:pStyle w:val="P68B1DB1-Normal84"/>
              <w:spacing w:after="120" w:line="240" w:lineRule="auto"/>
              <w:rPr>
                <w:rFonts w:eastAsiaTheme="minorHAnsi"/>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tcPr>
          <w:p w14:paraId="1D8CA08C" w14:textId="77777777" w:rsidR="0023462A" w:rsidRDefault="00A550FA">
            <w:pPr>
              <w:pStyle w:val="P68B1DB1-Normal80"/>
              <w:spacing w:after="120" w:line="240" w:lineRule="auto"/>
              <w:ind w:left="52"/>
              <w:textAlignment w:val="baseline"/>
              <w:rPr>
                <w:rFonts w:eastAsiaTheme="minorHAnsi"/>
                <w:noProof/>
              </w:rPr>
            </w:pPr>
            <w:r>
              <w:rPr>
                <w:noProof/>
              </w:rPr>
              <w:t>Législation modifiant la gouvernance de la Magyar Fejlesztési Bank (MFB)</w:t>
            </w:r>
          </w:p>
        </w:tc>
      </w:tr>
      <w:tr w:rsidR="0023462A" w14:paraId="3A941337"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tcPr>
          <w:p w14:paraId="5F59C0E2" w14:textId="77777777" w:rsidR="0023462A" w:rsidRDefault="00A550FA">
            <w:pPr>
              <w:pStyle w:val="P68B1DB1-Normal80"/>
              <w:spacing w:after="120" w:line="240" w:lineRule="auto"/>
              <w:ind w:left="52"/>
              <w:textAlignment w:val="baseline"/>
              <w:rPr>
                <w:rFonts w:eastAsiaTheme="minorHAnsi"/>
                <w:noProof/>
              </w:rPr>
            </w:pPr>
            <w:r>
              <w:rPr>
                <w:noProof/>
              </w:rPr>
              <w:t>118</w:t>
            </w:r>
          </w:p>
        </w:tc>
        <w:tc>
          <w:tcPr>
            <w:tcW w:w="3041" w:type="dxa"/>
            <w:tcBorders>
              <w:top w:val="single" w:sz="4" w:space="0" w:color="auto"/>
              <w:left w:val="nil"/>
              <w:bottom w:val="single" w:sz="4" w:space="0" w:color="auto"/>
              <w:right w:val="single" w:sz="4" w:space="0" w:color="auto"/>
            </w:tcBorders>
            <w:shd w:val="clear" w:color="auto" w:fill="C6EFCE"/>
          </w:tcPr>
          <w:p w14:paraId="11497ADE" w14:textId="233CC0F1" w:rsidR="0023462A" w:rsidRDefault="00A550FA">
            <w:pPr>
              <w:pStyle w:val="P68B1DB1-Normal80"/>
              <w:spacing w:after="120" w:line="240" w:lineRule="auto"/>
              <w:ind w:left="52"/>
              <w:rPr>
                <w:rFonts w:eastAsiaTheme="minorHAnsi"/>
                <w:noProof/>
              </w:rPr>
            </w:pPr>
            <w:r>
              <w:rPr>
                <w:noProof/>
              </w:rPr>
              <w:t>C10.R1 Réforme de la gouvernance de la Magyar Fejlesztési Bank</w:t>
            </w:r>
          </w:p>
        </w:tc>
        <w:tc>
          <w:tcPr>
            <w:tcW w:w="1446" w:type="dxa"/>
            <w:tcBorders>
              <w:top w:val="single" w:sz="4" w:space="0" w:color="auto"/>
              <w:left w:val="nil"/>
              <w:bottom w:val="single" w:sz="4" w:space="0" w:color="auto"/>
              <w:right w:val="single" w:sz="4" w:space="0" w:color="auto"/>
            </w:tcBorders>
            <w:shd w:val="clear" w:color="auto" w:fill="C6EFCE"/>
          </w:tcPr>
          <w:p w14:paraId="4AFB452E" w14:textId="77777777" w:rsidR="0023462A" w:rsidRDefault="00A550FA">
            <w:pPr>
              <w:pStyle w:val="P68B1DB1-Normal84"/>
              <w:spacing w:after="120" w:line="240" w:lineRule="auto"/>
              <w:rPr>
                <w:rFonts w:eastAsiaTheme="minorHAnsi"/>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tcPr>
          <w:p w14:paraId="2499C7D6" w14:textId="77777777" w:rsidR="0023462A" w:rsidRDefault="00A550FA">
            <w:pPr>
              <w:pStyle w:val="P68B1DB1-Normal84"/>
              <w:spacing w:after="120" w:line="240" w:lineRule="auto"/>
              <w:ind w:left="52"/>
              <w:textAlignment w:val="baseline"/>
              <w:rPr>
                <w:rFonts w:eastAsiaTheme="minorHAnsi"/>
                <w:noProof/>
              </w:rPr>
            </w:pPr>
            <w:r>
              <w:rPr>
                <w:noProof/>
              </w:rPr>
              <w:t>Désignation des organes de gouvernance de la MFB</w:t>
            </w:r>
          </w:p>
        </w:tc>
      </w:tr>
      <w:tr w:rsidR="0023462A" w14:paraId="62628D1B"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tcPr>
          <w:p w14:paraId="5DB200D7" w14:textId="77777777" w:rsidR="0023462A" w:rsidRDefault="00A550FA">
            <w:pPr>
              <w:pStyle w:val="P68B1DB1-Normal84"/>
              <w:spacing w:after="120" w:line="240" w:lineRule="auto"/>
              <w:ind w:left="52"/>
              <w:textAlignment w:val="baseline"/>
              <w:rPr>
                <w:rFonts w:eastAsiaTheme="minorHAnsi"/>
                <w:noProof/>
              </w:rPr>
            </w:pPr>
            <w:r>
              <w:rPr>
                <w:noProof/>
              </w:rPr>
              <w:t>119</w:t>
            </w:r>
          </w:p>
        </w:tc>
        <w:tc>
          <w:tcPr>
            <w:tcW w:w="3041" w:type="dxa"/>
            <w:tcBorders>
              <w:top w:val="single" w:sz="4" w:space="0" w:color="auto"/>
              <w:left w:val="nil"/>
              <w:bottom w:val="single" w:sz="4" w:space="0" w:color="auto"/>
              <w:right w:val="single" w:sz="4" w:space="0" w:color="auto"/>
            </w:tcBorders>
            <w:shd w:val="clear" w:color="auto" w:fill="C6EFCE"/>
          </w:tcPr>
          <w:p w14:paraId="10D72C79" w14:textId="6715525E" w:rsidR="0023462A" w:rsidRDefault="00A550FA">
            <w:pPr>
              <w:pStyle w:val="P68B1DB1-Normal80"/>
              <w:spacing w:after="120" w:line="240" w:lineRule="auto"/>
              <w:ind w:left="52"/>
              <w:rPr>
                <w:rFonts w:eastAsiaTheme="minorHAnsi"/>
                <w:noProof/>
              </w:rPr>
            </w:pPr>
            <w:r>
              <w:rPr>
                <w:noProof/>
              </w:rPr>
              <w:t xml:space="preserve">C10.R1 Réforme de la gouvernance de la Magyar Fejlesztési Bank </w:t>
            </w:r>
          </w:p>
        </w:tc>
        <w:tc>
          <w:tcPr>
            <w:tcW w:w="1446" w:type="dxa"/>
            <w:tcBorders>
              <w:top w:val="single" w:sz="4" w:space="0" w:color="auto"/>
              <w:left w:val="nil"/>
              <w:bottom w:val="single" w:sz="4" w:space="0" w:color="auto"/>
              <w:right w:val="single" w:sz="4" w:space="0" w:color="auto"/>
            </w:tcBorders>
            <w:shd w:val="clear" w:color="auto" w:fill="C6EFCE"/>
          </w:tcPr>
          <w:p w14:paraId="29D1D4CE" w14:textId="77777777" w:rsidR="0023462A" w:rsidRDefault="00A550FA">
            <w:pPr>
              <w:pStyle w:val="P68B1DB1-Normal84"/>
              <w:spacing w:after="120" w:line="240" w:lineRule="auto"/>
              <w:rPr>
                <w:rFonts w:eastAsiaTheme="minorHAnsi"/>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tcPr>
          <w:p w14:paraId="71DDBB2C" w14:textId="77777777" w:rsidR="0023462A" w:rsidRDefault="00A550FA">
            <w:pPr>
              <w:pStyle w:val="P68B1DB1-Normal84"/>
              <w:spacing w:after="120" w:line="240" w:lineRule="auto"/>
              <w:ind w:left="52"/>
              <w:textAlignment w:val="baseline"/>
              <w:rPr>
                <w:rFonts w:eastAsiaTheme="minorHAnsi"/>
                <w:noProof/>
              </w:rPr>
            </w:pPr>
            <w:r>
              <w:rPr>
                <w:noProof/>
              </w:rPr>
              <w:t>Réexamen des régimes de prêts bonifiés de la MFB</w:t>
            </w:r>
          </w:p>
        </w:tc>
      </w:tr>
      <w:tr w:rsidR="0023462A" w14:paraId="21D78493"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tcPr>
          <w:p w14:paraId="79CC240A" w14:textId="77777777" w:rsidR="0023462A" w:rsidRDefault="00A550FA">
            <w:pPr>
              <w:pStyle w:val="P68B1DB1-Normal84"/>
              <w:spacing w:after="120" w:line="240" w:lineRule="auto"/>
              <w:ind w:left="52"/>
              <w:textAlignment w:val="baseline"/>
              <w:rPr>
                <w:rFonts w:eastAsiaTheme="minorHAnsi"/>
                <w:noProof/>
              </w:rPr>
            </w:pPr>
            <w:r>
              <w:rPr>
                <w:noProof/>
              </w:rPr>
              <w:t>120</w:t>
            </w:r>
          </w:p>
        </w:tc>
        <w:tc>
          <w:tcPr>
            <w:tcW w:w="3041" w:type="dxa"/>
            <w:tcBorders>
              <w:top w:val="single" w:sz="4" w:space="0" w:color="auto"/>
              <w:left w:val="nil"/>
              <w:bottom w:val="single" w:sz="4" w:space="0" w:color="auto"/>
              <w:right w:val="single" w:sz="4" w:space="0" w:color="auto"/>
            </w:tcBorders>
            <w:shd w:val="clear" w:color="auto" w:fill="C6EFCE"/>
          </w:tcPr>
          <w:p w14:paraId="278F8EAB" w14:textId="77777777" w:rsidR="0023462A" w:rsidRDefault="00A550FA">
            <w:pPr>
              <w:pStyle w:val="P68B1DB1-Normal80"/>
              <w:spacing w:after="120" w:line="240" w:lineRule="auto"/>
              <w:ind w:left="52"/>
              <w:rPr>
                <w:rFonts w:eastAsiaTheme="minorHAnsi"/>
                <w:noProof/>
              </w:rPr>
            </w:pPr>
            <w:r>
              <w:rPr>
                <w:noProof/>
              </w:rPr>
              <w:t>C10.R1 Réforme de la gouvernance de la Magyar Fejlesztési Bank</w:t>
            </w:r>
          </w:p>
        </w:tc>
        <w:tc>
          <w:tcPr>
            <w:tcW w:w="1446" w:type="dxa"/>
            <w:tcBorders>
              <w:top w:val="single" w:sz="4" w:space="0" w:color="auto"/>
              <w:left w:val="nil"/>
              <w:bottom w:val="single" w:sz="4" w:space="0" w:color="auto"/>
              <w:right w:val="single" w:sz="4" w:space="0" w:color="auto"/>
            </w:tcBorders>
            <w:shd w:val="clear" w:color="auto" w:fill="C6EFCE"/>
          </w:tcPr>
          <w:p w14:paraId="4960F37D" w14:textId="77777777" w:rsidR="0023462A" w:rsidRDefault="00A550FA">
            <w:pPr>
              <w:pStyle w:val="P68B1DB1-Normal84"/>
              <w:spacing w:after="120" w:line="240" w:lineRule="auto"/>
              <w:rPr>
                <w:rFonts w:eastAsiaTheme="minorHAnsi"/>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tcPr>
          <w:p w14:paraId="2769D32F" w14:textId="77777777" w:rsidR="0023462A" w:rsidRDefault="00A550FA">
            <w:pPr>
              <w:pStyle w:val="P68B1DB1-Normal84"/>
              <w:spacing w:after="120" w:line="240" w:lineRule="auto"/>
              <w:ind w:left="52"/>
              <w:textAlignment w:val="baseline"/>
              <w:rPr>
                <w:rFonts w:eastAsiaTheme="minorHAnsi"/>
                <w:noProof/>
              </w:rPr>
            </w:pPr>
            <w:r>
              <w:rPr>
                <w:noProof/>
              </w:rPr>
              <w:t>Réexamen des garanties d'État et autres mesures d'aide d'État couvrant les opérations de la MFB</w:t>
            </w:r>
          </w:p>
        </w:tc>
      </w:tr>
      <w:tr w:rsidR="0023462A" w14:paraId="488EB7E2"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tcPr>
          <w:p w14:paraId="6405AE5A" w14:textId="77777777" w:rsidR="0023462A" w:rsidRDefault="00A550FA">
            <w:pPr>
              <w:pStyle w:val="P68B1DB1-Normal84"/>
              <w:spacing w:after="120" w:line="240" w:lineRule="auto"/>
              <w:ind w:left="52"/>
              <w:textAlignment w:val="baseline"/>
              <w:rPr>
                <w:noProof/>
              </w:rPr>
            </w:pPr>
            <w:r>
              <w:rPr>
                <w:noProof/>
              </w:rPr>
              <w:t>121</w:t>
            </w:r>
          </w:p>
        </w:tc>
        <w:tc>
          <w:tcPr>
            <w:tcW w:w="3041" w:type="dxa"/>
            <w:tcBorders>
              <w:top w:val="single" w:sz="4" w:space="0" w:color="auto"/>
              <w:left w:val="nil"/>
              <w:bottom w:val="single" w:sz="4" w:space="0" w:color="auto"/>
              <w:right w:val="single" w:sz="4" w:space="0" w:color="auto"/>
            </w:tcBorders>
            <w:shd w:val="clear" w:color="auto" w:fill="C6EFCE"/>
          </w:tcPr>
          <w:p w14:paraId="48FEA051" w14:textId="77777777" w:rsidR="0023462A" w:rsidRDefault="00A550FA">
            <w:pPr>
              <w:pStyle w:val="P68B1DB1-Normal80"/>
              <w:spacing w:after="120" w:line="240" w:lineRule="auto"/>
              <w:ind w:left="52"/>
              <w:rPr>
                <w:noProof/>
              </w:rPr>
            </w:pPr>
            <w:r>
              <w:rPr>
                <w:noProof/>
              </w:rPr>
              <w:t>C10.I1 Injection de fonds propres dans Magyar Fejlesztési Bank (MFB)</w:t>
            </w:r>
          </w:p>
        </w:tc>
        <w:tc>
          <w:tcPr>
            <w:tcW w:w="1446" w:type="dxa"/>
            <w:tcBorders>
              <w:top w:val="single" w:sz="4" w:space="0" w:color="auto"/>
              <w:left w:val="nil"/>
              <w:bottom w:val="single" w:sz="4" w:space="0" w:color="auto"/>
              <w:right w:val="single" w:sz="4" w:space="0" w:color="auto"/>
            </w:tcBorders>
            <w:shd w:val="clear" w:color="auto" w:fill="C6EFCE"/>
          </w:tcPr>
          <w:p w14:paraId="6B59134C" w14:textId="77777777" w:rsidR="0023462A" w:rsidRDefault="00A550FA">
            <w:pPr>
              <w:pStyle w:val="P68B1DB1-Normal84"/>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tcPr>
          <w:p w14:paraId="53463C93" w14:textId="77777777" w:rsidR="0023462A" w:rsidRDefault="00A550FA">
            <w:pPr>
              <w:pStyle w:val="P68B1DB1-Normal84"/>
              <w:spacing w:after="120" w:line="240" w:lineRule="auto"/>
              <w:ind w:left="52"/>
              <w:textAlignment w:val="baseline"/>
              <w:rPr>
                <w:noProof/>
              </w:rPr>
            </w:pPr>
            <w:r>
              <w:rPr>
                <w:noProof/>
              </w:rPr>
              <w:t>Politique d'investissement</w:t>
            </w:r>
          </w:p>
        </w:tc>
      </w:tr>
      <w:tr w:rsidR="0023462A" w14:paraId="7788FC1D"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tcPr>
          <w:p w14:paraId="263122D5" w14:textId="77777777" w:rsidR="0023462A" w:rsidRDefault="00A550FA">
            <w:pPr>
              <w:pStyle w:val="P68B1DB1-Normal84"/>
              <w:spacing w:after="120" w:line="240" w:lineRule="auto"/>
              <w:ind w:left="52"/>
              <w:textAlignment w:val="baseline"/>
              <w:rPr>
                <w:noProof/>
              </w:rPr>
            </w:pPr>
            <w:r>
              <w:rPr>
                <w:noProof/>
              </w:rPr>
              <w:t>122</w:t>
            </w:r>
          </w:p>
        </w:tc>
        <w:tc>
          <w:tcPr>
            <w:tcW w:w="3041" w:type="dxa"/>
            <w:tcBorders>
              <w:top w:val="single" w:sz="4" w:space="0" w:color="auto"/>
              <w:left w:val="nil"/>
              <w:bottom w:val="single" w:sz="4" w:space="0" w:color="auto"/>
              <w:right w:val="single" w:sz="4" w:space="0" w:color="auto"/>
            </w:tcBorders>
            <w:shd w:val="clear" w:color="auto" w:fill="C6EFCE"/>
          </w:tcPr>
          <w:p w14:paraId="46121507" w14:textId="77777777" w:rsidR="0023462A" w:rsidRDefault="00A550FA">
            <w:pPr>
              <w:pStyle w:val="P68B1DB1-Normal80"/>
              <w:spacing w:after="120" w:line="240" w:lineRule="auto"/>
              <w:rPr>
                <w:noProof/>
              </w:rPr>
            </w:pPr>
            <w:r>
              <w:rPr>
                <w:noProof/>
              </w:rPr>
              <w:t>C10.I1 Injection de fonds propres dans Magyar Fejlesztési Bank (MFB)</w:t>
            </w:r>
          </w:p>
        </w:tc>
        <w:tc>
          <w:tcPr>
            <w:tcW w:w="1446" w:type="dxa"/>
            <w:tcBorders>
              <w:top w:val="single" w:sz="4" w:space="0" w:color="auto"/>
              <w:left w:val="nil"/>
              <w:bottom w:val="single" w:sz="4" w:space="0" w:color="auto"/>
              <w:right w:val="single" w:sz="4" w:space="0" w:color="auto"/>
            </w:tcBorders>
            <w:shd w:val="clear" w:color="auto" w:fill="C6EFCE"/>
          </w:tcPr>
          <w:p w14:paraId="3EBD8A9B" w14:textId="77777777" w:rsidR="0023462A" w:rsidRDefault="00A550FA">
            <w:pPr>
              <w:pStyle w:val="P68B1DB1-Normal84"/>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tcPr>
          <w:p w14:paraId="087B26B7" w14:textId="77777777" w:rsidR="0023462A" w:rsidRDefault="00A550FA">
            <w:pPr>
              <w:pStyle w:val="P68B1DB1-Normal84"/>
              <w:spacing w:after="120" w:line="240" w:lineRule="auto"/>
              <w:ind w:left="52"/>
              <w:textAlignment w:val="baseline"/>
              <w:rPr>
                <w:noProof/>
              </w:rPr>
            </w:pPr>
            <w:r>
              <w:rPr>
                <w:noProof/>
              </w:rPr>
              <w:t>Injection de fonds propres</w:t>
            </w:r>
          </w:p>
        </w:tc>
      </w:tr>
      <w:tr w:rsidR="0023462A" w14:paraId="7E31E256"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tcPr>
          <w:p w14:paraId="5D3CE93B" w14:textId="77777777" w:rsidR="0023462A" w:rsidRDefault="00A550FA">
            <w:pPr>
              <w:pStyle w:val="P68B1DB1-Normal84"/>
              <w:spacing w:after="120" w:line="240" w:lineRule="auto"/>
              <w:ind w:left="52"/>
              <w:textAlignment w:val="baseline"/>
              <w:rPr>
                <w:noProof/>
              </w:rPr>
            </w:pPr>
            <w:r>
              <w:rPr>
                <w:noProof/>
              </w:rPr>
              <w:t>123</w:t>
            </w:r>
          </w:p>
        </w:tc>
        <w:tc>
          <w:tcPr>
            <w:tcW w:w="3041" w:type="dxa"/>
            <w:tcBorders>
              <w:top w:val="single" w:sz="4" w:space="0" w:color="auto"/>
              <w:left w:val="nil"/>
              <w:bottom w:val="single" w:sz="4" w:space="0" w:color="auto"/>
              <w:right w:val="single" w:sz="4" w:space="0" w:color="auto"/>
            </w:tcBorders>
            <w:shd w:val="clear" w:color="auto" w:fill="C6EFCE"/>
          </w:tcPr>
          <w:p w14:paraId="04CC70A7" w14:textId="77777777" w:rsidR="0023462A" w:rsidRDefault="00A550FA">
            <w:pPr>
              <w:pStyle w:val="P68B1DB1-Normal80"/>
              <w:spacing w:after="120" w:line="240" w:lineRule="auto"/>
              <w:rPr>
                <w:noProof/>
              </w:rPr>
            </w:pPr>
            <w:r>
              <w:rPr>
                <w:noProof/>
              </w:rPr>
              <w:t>C10.I1 Injection de fonds propres dans Magyar Fejlesztési Bank (MFB)</w:t>
            </w:r>
          </w:p>
        </w:tc>
        <w:tc>
          <w:tcPr>
            <w:tcW w:w="1446" w:type="dxa"/>
            <w:tcBorders>
              <w:top w:val="single" w:sz="4" w:space="0" w:color="auto"/>
              <w:left w:val="nil"/>
              <w:bottom w:val="single" w:sz="4" w:space="0" w:color="auto"/>
              <w:right w:val="single" w:sz="4" w:space="0" w:color="auto"/>
            </w:tcBorders>
            <w:shd w:val="clear" w:color="auto" w:fill="C6EFCE"/>
          </w:tcPr>
          <w:p w14:paraId="320A5F94" w14:textId="77777777" w:rsidR="0023462A" w:rsidRDefault="00A550FA">
            <w:pPr>
              <w:pStyle w:val="P68B1DB1-Normal84"/>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tcPr>
          <w:p w14:paraId="53019159" w14:textId="77777777" w:rsidR="0023462A" w:rsidRDefault="00A550FA">
            <w:pPr>
              <w:pStyle w:val="P68B1DB1-Normal84"/>
              <w:spacing w:after="120" w:line="240" w:lineRule="auto"/>
              <w:rPr>
                <w:noProof/>
              </w:rPr>
            </w:pPr>
            <w:r>
              <w:rPr>
                <w:noProof/>
              </w:rPr>
              <w:t>Injection de fonds propres</w:t>
            </w:r>
          </w:p>
        </w:tc>
      </w:tr>
      <w:tr w:rsidR="0023462A" w14:paraId="56B65F7C" w14:textId="77777777">
        <w:tblPrEx>
          <w:tblCellMar>
            <w:top w:w="0" w:type="dxa"/>
          </w:tblCellMar>
        </w:tblPrEx>
        <w:trPr>
          <w:gridAfter w:val="1"/>
          <w:wAfter w:w="236" w:type="dxa"/>
          <w:trHeight w:val="796"/>
        </w:trPr>
        <w:tc>
          <w:tcPr>
            <w:tcW w:w="1207" w:type="dxa"/>
            <w:tcBorders>
              <w:top w:val="single" w:sz="4" w:space="0" w:color="auto"/>
              <w:left w:val="single" w:sz="4" w:space="0" w:color="auto"/>
              <w:bottom w:val="single" w:sz="4" w:space="0" w:color="auto"/>
              <w:right w:val="single" w:sz="4" w:space="0" w:color="auto"/>
            </w:tcBorders>
            <w:shd w:val="clear" w:color="auto" w:fill="C6EFCE"/>
          </w:tcPr>
          <w:p w14:paraId="5AC509BB" w14:textId="77777777" w:rsidR="0023462A" w:rsidRDefault="00A550FA">
            <w:pPr>
              <w:pStyle w:val="P68B1DB1-Normal84"/>
              <w:spacing w:after="120" w:line="240" w:lineRule="auto"/>
              <w:ind w:left="52"/>
              <w:textAlignment w:val="baseline"/>
              <w:rPr>
                <w:noProof/>
              </w:rPr>
            </w:pPr>
            <w:r>
              <w:rPr>
                <w:noProof/>
              </w:rPr>
              <w:t>125</w:t>
            </w:r>
          </w:p>
        </w:tc>
        <w:tc>
          <w:tcPr>
            <w:tcW w:w="3041" w:type="dxa"/>
            <w:tcBorders>
              <w:top w:val="single" w:sz="4" w:space="0" w:color="auto"/>
              <w:left w:val="nil"/>
              <w:bottom w:val="single" w:sz="4" w:space="0" w:color="auto"/>
              <w:right w:val="single" w:sz="4" w:space="0" w:color="auto"/>
            </w:tcBorders>
            <w:shd w:val="clear" w:color="auto" w:fill="C6EFCE"/>
          </w:tcPr>
          <w:p w14:paraId="54133AF3" w14:textId="77777777" w:rsidR="0023462A" w:rsidRDefault="00A550FA">
            <w:pPr>
              <w:pStyle w:val="P68B1DB1-Normal80"/>
              <w:spacing w:after="120" w:line="240" w:lineRule="auto"/>
              <w:rPr>
                <w:noProof/>
              </w:rPr>
            </w:pPr>
            <w:r>
              <w:rPr>
                <w:noProof/>
              </w:rPr>
              <w:t>C11.I1 Services d'administration en ligne</w:t>
            </w:r>
          </w:p>
        </w:tc>
        <w:tc>
          <w:tcPr>
            <w:tcW w:w="1446" w:type="dxa"/>
            <w:tcBorders>
              <w:top w:val="single" w:sz="4" w:space="0" w:color="auto"/>
              <w:left w:val="nil"/>
              <w:bottom w:val="single" w:sz="4" w:space="0" w:color="auto"/>
              <w:right w:val="single" w:sz="4" w:space="0" w:color="auto"/>
            </w:tcBorders>
            <w:shd w:val="clear" w:color="auto" w:fill="C6EFCE"/>
          </w:tcPr>
          <w:p w14:paraId="00C96B53" w14:textId="77777777" w:rsidR="0023462A" w:rsidRDefault="00A550FA">
            <w:pPr>
              <w:pStyle w:val="P68B1DB1-Normal84"/>
              <w:spacing w:after="120" w:line="240" w:lineRule="auto"/>
              <w:rPr>
                <w:noProof/>
              </w:rPr>
            </w:pPr>
            <w:r>
              <w:rPr>
                <w:noProof/>
              </w:rPr>
              <w:t>Étape</w:t>
            </w:r>
          </w:p>
        </w:tc>
        <w:tc>
          <w:tcPr>
            <w:tcW w:w="3373" w:type="dxa"/>
            <w:tcBorders>
              <w:top w:val="single" w:sz="4" w:space="0" w:color="auto"/>
              <w:left w:val="nil"/>
              <w:bottom w:val="single" w:sz="4" w:space="0" w:color="auto"/>
              <w:right w:val="single" w:sz="4" w:space="0" w:color="auto"/>
            </w:tcBorders>
            <w:shd w:val="clear" w:color="auto" w:fill="C6EFCE"/>
          </w:tcPr>
          <w:p w14:paraId="4A2709F9" w14:textId="77777777" w:rsidR="0023462A" w:rsidRDefault="00A550FA">
            <w:pPr>
              <w:pStyle w:val="P68B1DB1-Normal80"/>
              <w:spacing w:after="120" w:line="240" w:lineRule="auto"/>
              <w:rPr>
                <w:noProof/>
              </w:rPr>
            </w:pPr>
            <w:r>
              <w:rPr>
                <w:noProof/>
              </w:rPr>
              <w:t>Solution de portefeuille de données numériques</w:t>
            </w:r>
          </w:p>
        </w:tc>
      </w:tr>
      <w:tr w:rsidR="0023462A" w14:paraId="0A83F693" w14:textId="77777777">
        <w:tblPrEx>
          <w:tblCellMar>
            <w:top w:w="0" w:type="dxa"/>
          </w:tblCellMar>
        </w:tblPrEx>
        <w:trPr>
          <w:gridAfter w:val="1"/>
          <w:wAfter w:w="236" w:type="dxa"/>
          <w:trHeight w:val="796"/>
        </w:trPr>
        <w:tc>
          <w:tcPr>
            <w:tcW w:w="5694" w:type="dxa"/>
            <w:gridSpan w:val="3"/>
            <w:tcBorders>
              <w:top w:val="single" w:sz="4" w:space="0" w:color="auto"/>
              <w:left w:val="single" w:sz="4" w:space="0" w:color="auto"/>
              <w:bottom w:val="single" w:sz="4" w:space="0" w:color="auto"/>
              <w:right w:val="single" w:sz="4" w:space="0" w:color="auto"/>
            </w:tcBorders>
            <w:shd w:val="clear" w:color="auto" w:fill="C6EFCE"/>
            <w:vAlign w:val="center"/>
          </w:tcPr>
          <w:p w14:paraId="2D7A0F09" w14:textId="77777777" w:rsidR="0023462A" w:rsidRDefault="00A550FA">
            <w:pPr>
              <w:pStyle w:val="P68B1DB1-Normal84"/>
              <w:spacing w:after="120" w:line="240" w:lineRule="auto"/>
              <w:jc w:val="center"/>
              <w:rPr>
                <w:noProof/>
              </w:rPr>
            </w:pPr>
            <w:r>
              <w:rPr>
                <w:noProof/>
              </w:rPr>
              <w:t>Montant des acomptes provisionnels</w:t>
            </w:r>
          </w:p>
        </w:tc>
        <w:tc>
          <w:tcPr>
            <w:tcW w:w="3373" w:type="dxa"/>
            <w:tcBorders>
              <w:top w:val="single" w:sz="4" w:space="0" w:color="auto"/>
              <w:left w:val="nil"/>
              <w:bottom w:val="single" w:sz="4" w:space="0" w:color="auto"/>
              <w:right w:val="single" w:sz="4" w:space="0" w:color="auto"/>
            </w:tcBorders>
            <w:shd w:val="clear" w:color="auto" w:fill="C6EFCE"/>
            <w:vAlign w:val="center"/>
          </w:tcPr>
          <w:p w14:paraId="3E9F90D4" w14:textId="1765F404" w:rsidR="0023462A" w:rsidRDefault="00A550FA">
            <w:pPr>
              <w:pStyle w:val="P68B1DB1-Normal80"/>
              <w:jc w:val="center"/>
              <w:rPr>
                <w:noProof/>
                <w:highlight w:val="yellow"/>
              </w:rPr>
            </w:pPr>
            <w:r>
              <w:rPr>
                <w:noProof/>
              </w:rPr>
              <w:t>6 511 661 435 EUR</w:t>
            </w:r>
          </w:p>
        </w:tc>
      </w:tr>
    </w:tbl>
    <w:p w14:paraId="597C608F" w14:textId="77777777" w:rsidR="0023462A" w:rsidRDefault="0023462A">
      <w:pPr>
        <w:rPr>
          <w:noProof/>
        </w:rPr>
      </w:pPr>
    </w:p>
    <w:p w14:paraId="139142C4" w14:textId="77777777" w:rsidR="0023462A" w:rsidRDefault="00A550FA">
      <w:pPr>
        <w:pStyle w:val="P68B1DB1-Heading286"/>
        <w:numPr>
          <w:ilvl w:val="0"/>
          <w:numId w:val="16"/>
        </w:numPr>
        <w:spacing w:before="0" w:after="120"/>
        <w:ind w:left="1440"/>
        <w:rPr>
          <w:rFonts w:eastAsia="Calibri"/>
          <w:noProof/>
        </w:rPr>
      </w:pPr>
      <w:r>
        <w:rPr>
          <w:noProof/>
        </w:rPr>
        <w:t xml:space="preserve">Prêt </w:t>
      </w:r>
    </w:p>
    <w:p w14:paraId="46BB137F" w14:textId="77777777" w:rsidR="0023462A" w:rsidRDefault="00A550FA">
      <w:pPr>
        <w:pStyle w:val="P68B1DB1-Normal80"/>
        <w:spacing w:after="120" w:line="240" w:lineRule="auto"/>
        <w:jc w:val="both"/>
        <w:rPr>
          <w:rFonts w:eastAsia="Calibri"/>
          <w:noProof/>
        </w:rPr>
      </w:pPr>
      <w:r>
        <w:rPr>
          <w:noProof/>
        </w:rPr>
        <w:t>Les tranches visées à l'article 3, paragraphe 2, sont organisées de la manière suivante:</w:t>
      </w:r>
    </w:p>
    <w:p w14:paraId="11E7D51E" w14:textId="77777777" w:rsidR="0023462A" w:rsidRDefault="00A550FA">
      <w:pPr>
        <w:pStyle w:val="P68B1DB1-Heading387"/>
        <w:numPr>
          <w:ilvl w:val="1"/>
          <w:numId w:val="16"/>
        </w:numPr>
        <w:spacing w:before="0" w:after="120"/>
        <w:ind w:left="1440" w:hanging="360"/>
        <w:rPr>
          <w:noProof/>
        </w:rPr>
      </w:pPr>
      <w:r>
        <w:rPr>
          <w:noProof/>
        </w:rPr>
        <w:t xml:space="preserve">Première tranche (soutien sous forme de prêt): </w:t>
      </w:r>
    </w:p>
    <w:tbl>
      <w:tblPr>
        <w:tblW w:w="9303" w:type="dxa"/>
        <w:tblInd w:w="113" w:type="dxa"/>
        <w:tblLayout w:type="fixed"/>
        <w:tblCellMar>
          <w:top w:w="15" w:type="dxa"/>
        </w:tblCellMar>
        <w:tblLook w:val="04A0" w:firstRow="1" w:lastRow="0" w:firstColumn="1" w:lastColumn="0" w:noHBand="0" w:noVBand="1"/>
      </w:tblPr>
      <w:tblGrid>
        <w:gridCol w:w="1238"/>
        <w:gridCol w:w="3120"/>
        <w:gridCol w:w="1194"/>
        <w:gridCol w:w="3751"/>
      </w:tblGrid>
      <w:tr w:rsidR="0023462A" w14:paraId="0D2AF34C" w14:textId="77777777">
        <w:trPr>
          <w:trHeight w:val="458"/>
          <w:tblHeader/>
        </w:trPr>
        <w:tc>
          <w:tcPr>
            <w:tcW w:w="1238" w:type="dxa"/>
            <w:vMerge w:val="restart"/>
            <w:tcBorders>
              <w:top w:val="single" w:sz="4" w:space="0" w:color="auto"/>
              <w:left w:val="single" w:sz="4" w:space="0" w:color="000000"/>
              <w:bottom w:val="single" w:sz="4" w:space="0" w:color="000000"/>
              <w:right w:val="single" w:sz="4" w:space="0" w:color="000000"/>
            </w:tcBorders>
            <w:shd w:val="clear" w:color="000000" w:fill="BDD7EE"/>
            <w:vAlign w:val="center"/>
            <w:hideMark/>
          </w:tcPr>
          <w:p w14:paraId="05E79B8C" w14:textId="77777777" w:rsidR="0023462A" w:rsidRDefault="00A550FA">
            <w:pPr>
              <w:pStyle w:val="P68B1DB1-Normal79"/>
              <w:spacing w:after="120" w:line="240" w:lineRule="auto"/>
              <w:jc w:val="center"/>
              <w:rPr>
                <w:noProof/>
              </w:rPr>
            </w:pPr>
            <w:r>
              <w:rPr>
                <w:noProof/>
              </w:rPr>
              <w:t>Numéro séquentiel</w:t>
            </w:r>
          </w:p>
        </w:tc>
        <w:tc>
          <w:tcPr>
            <w:tcW w:w="3120" w:type="dxa"/>
            <w:vMerge w:val="restart"/>
            <w:tcBorders>
              <w:top w:val="single" w:sz="4" w:space="0" w:color="auto"/>
              <w:left w:val="single" w:sz="4" w:space="0" w:color="000000"/>
              <w:bottom w:val="single" w:sz="4" w:space="0" w:color="000000"/>
              <w:right w:val="single" w:sz="4" w:space="0" w:color="000000"/>
            </w:tcBorders>
            <w:shd w:val="clear" w:color="000000" w:fill="BDD7EE"/>
            <w:vAlign w:val="center"/>
            <w:hideMark/>
          </w:tcPr>
          <w:p w14:paraId="2146ED74" w14:textId="77777777" w:rsidR="0023462A" w:rsidRDefault="00A550FA">
            <w:pPr>
              <w:pStyle w:val="P68B1DB1-Normal79"/>
              <w:spacing w:after="120" w:line="240" w:lineRule="auto"/>
              <w:jc w:val="center"/>
              <w:rPr>
                <w:noProof/>
              </w:rPr>
            </w:pPr>
            <w:r>
              <w:rPr>
                <w:noProof/>
              </w:rPr>
              <w:t>Mesure connexe (réforme ou investissement)</w:t>
            </w:r>
          </w:p>
        </w:tc>
        <w:tc>
          <w:tcPr>
            <w:tcW w:w="1194" w:type="dxa"/>
            <w:vMerge w:val="restart"/>
            <w:tcBorders>
              <w:top w:val="single" w:sz="4" w:space="0" w:color="auto"/>
              <w:left w:val="single" w:sz="4" w:space="0" w:color="000000"/>
              <w:bottom w:val="single" w:sz="4" w:space="0" w:color="000000"/>
              <w:right w:val="single" w:sz="4" w:space="0" w:color="000000"/>
            </w:tcBorders>
            <w:shd w:val="clear" w:color="000000" w:fill="BDD7EE"/>
            <w:vAlign w:val="center"/>
            <w:hideMark/>
          </w:tcPr>
          <w:p w14:paraId="39103955" w14:textId="77777777" w:rsidR="0023462A" w:rsidRDefault="00A550FA">
            <w:pPr>
              <w:pStyle w:val="P68B1DB1-Normal79"/>
              <w:spacing w:after="120" w:line="240" w:lineRule="auto"/>
              <w:jc w:val="center"/>
              <w:rPr>
                <w:noProof/>
              </w:rPr>
            </w:pPr>
            <w:r>
              <w:rPr>
                <w:noProof/>
              </w:rPr>
              <w:t>Étape/cible</w:t>
            </w:r>
          </w:p>
        </w:tc>
        <w:tc>
          <w:tcPr>
            <w:tcW w:w="3751" w:type="dxa"/>
            <w:vMerge w:val="restart"/>
            <w:tcBorders>
              <w:top w:val="single" w:sz="4" w:space="0" w:color="auto"/>
              <w:left w:val="single" w:sz="4" w:space="0" w:color="000000"/>
              <w:bottom w:val="single" w:sz="4" w:space="0" w:color="000000"/>
              <w:right w:val="single" w:sz="4" w:space="0" w:color="000000"/>
            </w:tcBorders>
            <w:shd w:val="clear" w:color="000000" w:fill="BDD7EE"/>
            <w:vAlign w:val="center"/>
            <w:hideMark/>
          </w:tcPr>
          <w:p w14:paraId="3E744294" w14:textId="77777777" w:rsidR="0023462A" w:rsidRDefault="00A550FA">
            <w:pPr>
              <w:pStyle w:val="P68B1DB1-Normal79"/>
              <w:spacing w:after="120" w:line="240" w:lineRule="auto"/>
              <w:jc w:val="center"/>
              <w:rPr>
                <w:noProof/>
              </w:rPr>
            </w:pPr>
            <w:r>
              <w:rPr>
                <w:noProof/>
              </w:rPr>
              <w:t>Nom</w:t>
            </w:r>
          </w:p>
        </w:tc>
      </w:tr>
      <w:tr w:rsidR="0023462A" w14:paraId="11685A60" w14:textId="77777777">
        <w:trPr>
          <w:trHeight w:val="458"/>
          <w:tblHeader/>
        </w:trPr>
        <w:tc>
          <w:tcPr>
            <w:tcW w:w="1238" w:type="dxa"/>
            <w:vMerge/>
            <w:tcBorders>
              <w:top w:val="single" w:sz="4" w:space="0" w:color="auto"/>
              <w:left w:val="single" w:sz="4" w:space="0" w:color="000000"/>
              <w:bottom w:val="single" w:sz="4" w:space="0" w:color="000000"/>
              <w:right w:val="single" w:sz="4" w:space="0" w:color="000000"/>
            </w:tcBorders>
            <w:vAlign w:val="center"/>
            <w:hideMark/>
          </w:tcPr>
          <w:p w14:paraId="43C461AF" w14:textId="77777777" w:rsidR="0023462A" w:rsidRDefault="0023462A">
            <w:pPr>
              <w:spacing w:after="120" w:line="240" w:lineRule="auto"/>
              <w:rPr>
                <w:rFonts w:ascii="Times New Roman" w:eastAsia="Times New Roman" w:hAnsi="Times New Roman" w:cs="Times New Roman"/>
                <w:b/>
                <w:noProof/>
              </w:rPr>
            </w:pPr>
          </w:p>
        </w:tc>
        <w:tc>
          <w:tcPr>
            <w:tcW w:w="3120" w:type="dxa"/>
            <w:vMerge/>
            <w:tcBorders>
              <w:top w:val="single" w:sz="4" w:space="0" w:color="auto"/>
              <w:left w:val="single" w:sz="4" w:space="0" w:color="000000"/>
              <w:bottom w:val="single" w:sz="4" w:space="0" w:color="000000"/>
              <w:right w:val="single" w:sz="4" w:space="0" w:color="000000"/>
            </w:tcBorders>
            <w:vAlign w:val="center"/>
            <w:hideMark/>
          </w:tcPr>
          <w:p w14:paraId="5FE43D74" w14:textId="77777777" w:rsidR="0023462A" w:rsidRDefault="0023462A">
            <w:pPr>
              <w:spacing w:after="120" w:line="240" w:lineRule="auto"/>
              <w:rPr>
                <w:rFonts w:ascii="Times New Roman" w:eastAsia="Times New Roman" w:hAnsi="Times New Roman" w:cs="Times New Roman"/>
                <w:b/>
                <w:noProof/>
              </w:rPr>
            </w:pPr>
          </w:p>
        </w:tc>
        <w:tc>
          <w:tcPr>
            <w:tcW w:w="1194" w:type="dxa"/>
            <w:vMerge/>
            <w:tcBorders>
              <w:top w:val="single" w:sz="4" w:space="0" w:color="auto"/>
              <w:left w:val="single" w:sz="4" w:space="0" w:color="000000"/>
              <w:bottom w:val="single" w:sz="4" w:space="0" w:color="000000"/>
              <w:right w:val="single" w:sz="4" w:space="0" w:color="000000"/>
            </w:tcBorders>
            <w:vAlign w:val="center"/>
            <w:hideMark/>
          </w:tcPr>
          <w:p w14:paraId="521684E6" w14:textId="77777777" w:rsidR="0023462A" w:rsidRDefault="0023462A">
            <w:pPr>
              <w:spacing w:after="120" w:line="240" w:lineRule="auto"/>
              <w:rPr>
                <w:rFonts w:ascii="Times New Roman" w:eastAsia="Times New Roman" w:hAnsi="Times New Roman" w:cs="Times New Roman"/>
                <w:b/>
                <w:noProof/>
              </w:rPr>
            </w:pPr>
          </w:p>
        </w:tc>
        <w:tc>
          <w:tcPr>
            <w:tcW w:w="3751" w:type="dxa"/>
            <w:vMerge/>
            <w:tcBorders>
              <w:top w:val="single" w:sz="4" w:space="0" w:color="auto"/>
              <w:left w:val="single" w:sz="4" w:space="0" w:color="000000"/>
              <w:bottom w:val="single" w:sz="4" w:space="0" w:color="000000"/>
              <w:right w:val="single" w:sz="4" w:space="0" w:color="000000"/>
            </w:tcBorders>
            <w:vAlign w:val="center"/>
            <w:hideMark/>
          </w:tcPr>
          <w:p w14:paraId="44F54BC3" w14:textId="77777777" w:rsidR="0023462A" w:rsidRDefault="0023462A">
            <w:pPr>
              <w:spacing w:after="120" w:line="240" w:lineRule="auto"/>
              <w:rPr>
                <w:rFonts w:ascii="Times New Roman" w:eastAsia="Times New Roman" w:hAnsi="Times New Roman" w:cs="Times New Roman"/>
                <w:b/>
                <w:noProof/>
              </w:rPr>
            </w:pPr>
          </w:p>
        </w:tc>
      </w:tr>
      <w:tr w:rsidR="0023462A" w14:paraId="05CC1622" w14:textId="77777777">
        <w:trPr>
          <w:trHeight w:val="458"/>
          <w:tblHeader/>
        </w:trPr>
        <w:tc>
          <w:tcPr>
            <w:tcW w:w="1238" w:type="dxa"/>
            <w:vMerge/>
            <w:tcBorders>
              <w:top w:val="single" w:sz="4" w:space="0" w:color="auto"/>
              <w:left w:val="single" w:sz="4" w:space="0" w:color="000000"/>
              <w:bottom w:val="single" w:sz="4" w:space="0" w:color="000000"/>
              <w:right w:val="single" w:sz="4" w:space="0" w:color="000000"/>
            </w:tcBorders>
            <w:vAlign w:val="center"/>
            <w:hideMark/>
          </w:tcPr>
          <w:p w14:paraId="6B5FC2E1" w14:textId="77777777" w:rsidR="0023462A" w:rsidRDefault="0023462A">
            <w:pPr>
              <w:spacing w:after="120" w:line="240" w:lineRule="auto"/>
              <w:rPr>
                <w:rFonts w:ascii="Times New Roman" w:eastAsia="Times New Roman" w:hAnsi="Times New Roman" w:cs="Times New Roman"/>
                <w:b/>
                <w:noProof/>
              </w:rPr>
            </w:pPr>
          </w:p>
        </w:tc>
        <w:tc>
          <w:tcPr>
            <w:tcW w:w="3120" w:type="dxa"/>
            <w:vMerge/>
            <w:tcBorders>
              <w:top w:val="single" w:sz="4" w:space="0" w:color="auto"/>
              <w:left w:val="single" w:sz="4" w:space="0" w:color="000000"/>
              <w:bottom w:val="single" w:sz="4" w:space="0" w:color="000000"/>
              <w:right w:val="single" w:sz="4" w:space="0" w:color="000000"/>
            </w:tcBorders>
            <w:vAlign w:val="center"/>
            <w:hideMark/>
          </w:tcPr>
          <w:p w14:paraId="53C41FCF" w14:textId="77777777" w:rsidR="0023462A" w:rsidRDefault="0023462A">
            <w:pPr>
              <w:spacing w:after="120" w:line="240" w:lineRule="auto"/>
              <w:rPr>
                <w:rFonts w:ascii="Times New Roman" w:eastAsia="Times New Roman" w:hAnsi="Times New Roman" w:cs="Times New Roman"/>
                <w:b/>
                <w:noProof/>
              </w:rPr>
            </w:pPr>
          </w:p>
        </w:tc>
        <w:tc>
          <w:tcPr>
            <w:tcW w:w="1194" w:type="dxa"/>
            <w:vMerge/>
            <w:tcBorders>
              <w:top w:val="single" w:sz="4" w:space="0" w:color="auto"/>
              <w:left w:val="single" w:sz="4" w:space="0" w:color="000000"/>
              <w:bottom w:val="single" w:sz="4" w:space="0" w:color="000000"/>
              <w:right w:val="single" w:sz="4" w:space="0" w:color="000000"/>
            </w:tcBorders>
            <w:vAlign w:val="center"/>
            <w:hideMark/>
          </w:tcPr>
          <w:p w14:paraId="26051B99" w14:textId="77777777" w:rsidR="0023462A" w:rsidRDefault="0023462A">
            <w:pPr>
              <w:spacing w:after="120" w:line="240" w:lineRule="auto"/>
              <w:rPr>
                <w:rFonts w:ascii="Times New Roman" w:eastAsia="Times New Roman" w:hAnsi="Times New Roman" w:cs="Times New Roman"/>
                <w:b/>
                <w:noProof/>
              </w:rPr>
            </w:pPr>
          </w:p>
        </w:tc>
        <w:tc>
          <w:tcPr>
            <w:tcW w:w="3751" w:type="dxa"/>
            <w:vMerge/>
            <w:tcBorders>
              <w:top w:val="single" w:sz="4" w:space="0" w:color="auto"/>
              <w:left w:val="single" w:sz="4" w:space="0" w:color="000000"/>
              <w:bottom w:val="single" w:sz="4" w:space="0" w:color="000000"/>
              <w:right w:val="single" w:sz="4" w:space="0" w:color="000000"/>
            </w:tcBorders>
            <w:vAlign w:val="center"/>
            <w:hideMark/>
          </w:tcPr>
          <w:p w14:paraId="2D00766E" w14:textId="77777777" w:rsidR="0023462A" w:rsidRDefault="0023462A">
            <w:pPr>
              <w:spacing w:after="120" w:line="240" w:lineRule="auto"/>
              <w:rPr>
                <w:rFonts w:ascii="Times New Roman" w:eastAsia="Times New Roman" w:hAnsi="Times New Roman" w:cs="Times New Roman"/>
                <w:b/>
                <w:noProof/>
              </w:rPr>
            </w:pPr>
          </w:p>
        </w:tc>
      </w:tr>
      <w:tr w:rsidR="0023462A" w14:paraId="7750C30D" w14:textId="77777777">
        <w:tblPrEx>
          <w:tblCellMar>
            <w:top w:w="0" w:type="dxa"/>
          </w:tblCellMar>
        </w:tblPrEx>
        <w:trPr>
          <w:trHeight w:val="460"/>
        </w:trPr>
        <w:tc>
          <w:tcPr>
            <w:tcW w:w="1238" w:type="dxa"/>
            <w:tcBorders>
              <w:top w:val="nil"/>
              <w:left w:val="single" w:sz="4" w:space="0" w:color="auto"/>
              <w:bottom w:val="single" w:sz="4" w:space="0" w:color="auto"/>
              <w:right w:val="single" w:sz="4" w:space="0" w:color="auto"/>
            </w:tcBorders>
            <w:shd w:val="clear" w:color="000000" w:fill="C6EFCE"/>
            <w:vAlign w:val="center"/>
          </w:tcPr>
          <w:p w14:paraId="0179C45D" w14:textId="77777777" w:rsidR="0023462A" w:rsidRDefault="00A550FA">
            <w:pPr>
              <w:pStyle w:val="P68B1DB1-Normal80"/>
              <w:spacing w:after="120" w:line="240" w:lineRule="auto"/>
              <w:rPr>
                <w:rFonts w:eastAsia="Times New Roman"/>
                <w:noProof/>
              </w:rPr>
            </w:pPr>
            <w:r>
              <w:rPr>
                <w:noProof/>
              </w:rPr>
              <w:t>32</w:t>
            </w:r>
          </w:p>
        </w:tc>
        <w:tc>
          <w:tcPr>
            <w:tcW w:w="3120" w:type="dxa"/>
            <w:tcBorders>
              <w:top w:val="nil"/>
              <w:left w:val="nil"/>
              <w:bottom w:val="single" w:sz="4" w:space="0" w:color="auto"/>
              <w:right w:val="single" w:sz="4" w:space="0" w:color="auto"/>
            </w:tcBorders>
            <w:shd w:val="clear" w:color="000000" w:fill="C6EFCE"/>
            <w:vAlign w:val="center"/>
          </w:tcPr>
          <w:p w14:paraId="376EC521" w14:textId="77777777" w:rsidR="0023462A" w:rsidRDefault="00A550FA">
            <w:pPr>
              <w:pStyle w:val="P68B1DB1-Normal80"/>
              <w:spacing w:after="120" w:line="240" w:lineRule="auto"/>
              <w:rPr>
                <w:rFonts w:eastAsia="Times New Roman"/>
                <w:noProof/>
              </w:rPr>
            </w:pPr>
            <w:r>
              <w:rPr>
                <w:noProof/>
              </w:rPr>
              <w:t>C5.I8 : Injection de fonds propres dans une société Rolling Stock nouvellement créée «ROSCO»</w:t>
            </w:r>
          </w:p>
        </w:tc>
        <w:tc>
          <w:tcPr>
            <w:tcW w:w="1194" w:type="dxa"/>
            <w:tcBorders>
              <w:top w:val="nil"/>
              <w:left w:val="nil"/>
              <w:bottom w:val="single" w:sz="4" w:space="0" w:color="auto"/>
              <w:right w:val="single" w:sz="4" w:space="0" w:color="auto"/>
            </w:tcBorders>
            <w:shd w:val="clear" w:color="000000" w:fill="C6EFCE"/>
          </w:tcPr>
          <w:p w14:paraId="2F8D5650" w14:textId="77777777" w:rsidR="0023462A" w:rsidRDefault="00A550FA">
            <w:pPr>
              <w:pStyle w:val="P68B1DB1-Normal80"/>
              <w:spacing w:after="120" w:line="240" w:lineRule="auto"/>
              <w:rPr>
                <w:rFonts w:eastAsia="Times New Roman"/>
                <w:noProof/>
              </w:rPr>
            </w:pPr>
            <w:r>
              <w:rPr>
                <w:noProof/>
              </w:rPr>
              <w:t xml:space="preserve">Étape </w:t>
            </w:r>
          </w:p>
        </w:tc>
        <w:tc>
          <w:tcPr>
            <w:tcW w:w="3751" w:type="dxa"/>
            <w:tcBorders>
              <w:top w:val="nil"/>
              <w:left w:val="nil"/>
              <w:bottom w:val="single" w:sz="4" w:space="0" w:color="auto"/>
              <w:right w:val="single" w:sz="4" w:space="0" w:color="auto"/>
            </w:tcBorders>
            <w:shd w:val="clear" w:color="000000" w:fill="C6EFCE"/>
          </w:tcPr>
          <w:p w14:paraId="5C34F967" w14:textId="77777777" w:rsidR="0023462A" w:rsidRDefault="00A550FA">
            <w:pPr>
              <w:pStyle w:val="P68B1DB1-Normal80"/>
              <w:spacing w:after="120" w:line="240" w:lineRule="auto"/>
              <w:rPr>
                <w:rFonts w:eastAsia="Times New Roman"/>
                <w:noProof/>
              </w:rPr>
            </w:pPr>
            <w:r>
              <w:rPr>
                <w:noProof/>
              </w:rPr>
              <w:t>Injection de fonds propres dans la ROSCO</w:t>
            </w:r>
          </w:p>
        </w:tc>
      </w:tr>
      <w:tr w:rsidR="0023462A" w14:paraId="4023345C" w14:textId="77777777">
        <w:tblPrEx>
          <w:tblCellMar>
            <w:top w:w="0" w:type="dxa"/>
          </w:tblCellMar>
        </w:tblPrEx>
        <w:trPr>
          <w:trHeight w:val="460"/>
        </w:trPr>
        <w:tc>
          <w:tcPr>
            <w:tcW w:w="1238" w:type="dxa"/>
            <w:tcBorders>
              <w:top w:val="nil"/>
              <w:left w:val="single" w:sz="4" w:space="0" w:color="auto"/>
              <w:bottom w:val="single" w:sz="4" w:space="0" w:color="auto"/>
              <w:right w:val="single" w:sz="4" w:space="0" w:color="auto"/>
            </w:tcBorders>
            <w:shd w:val="clear" w:color="000000" w:fill="C6EFCE"/>
            <w:vAlign w:val="center"/>
          </w:tcPr>
          <w:p w14:paraId="7057B35E" w14:textId="77777777" w:rsidR="0023462A" w:rsidRDefault="00A550FA">
            <w:pPr>
              <w:pStyle w:val="P68B1DB1-Normal80"/>
              <w:spacing w:after="120" w:line="240" w:lineRule="auto"/>
              <w:rPr>
                <w:rFonts w:eastAsia="Times New Roman"/>
                <w:noProof/>
              </w:rPr>
            </w:pPr>
            <w:r>
              <w:rPr>
                <w:noProof/>
              </w:rPr>
              <w:t>33</w:t>
            </w:r>
          </w:p>
        </w:tc>
        <w:tc>
          <w:tcPr>
            <w:tcW w:w="3120" w:type="dxa"/>
            <w:tcBorders>
              <w:top w:val="nil"/>
              <w:left w:val="nil"/>
              <w:bottom w:val="single" w:sz="4" w:space="0" w:color="auto"/>
              <w:right w:val="single" w:sz="4" w:space="0" w:color="auto"/>
            </w:tcBorders>
            <w:shd w:val="clear" w:color="000000" w:fill="C6EFCE"/>
            <w:vAlign w:val="center"/>
          </w:tcPr>
          <w:p w14:paraId="6F8921D8" w14:textId="77777777" w:rsidR="0023462A" w:rsidRDefault="00A550FA">
            <w:pPr>
              <w:pStyle w:val="P68B1DB1-Normal80"/>
              <w:spacing w:after="120" w:line="240" w:lineRule="auto"/>
              <w:rPr>
                <w:rFonts w:eastAsia="Times New Roman"/>
                <w:noProof/>
              </w:rPr>
            </w:pPr>
            <w:r>
              <w:rPr>
                <w:noProof/>
              </w:rPr>
              <w:t>C5.R2 Réforme des services ferroviaires en Hongrie</w:t>
            </w:r>
          </w:p>
        </w:tc>
        <w:tc>
          <w:tcPr>
            <w:tcW w:w="1194" w:type="dxa"/>
            <w:tcBorders>
              <w:top w:val="nil"/>
              <w:left w:val="nil"/>
              <w:bottom w:val="single" w:sz="4" w:space="0" w:color="auto"/>
              <w:right w:val="single" w:sz="4" w:space="0" w:color="auto"/>
            </w:tcBorders>
            <w:shd w:val="clear" w:color="000000" w:fill="C6EFCE"/>
            <w:vAlign w:val="center"/>
          </w:tcPr>
          <w:p w14:paraId="7AE44FAE" w14:textId="77777777" w:rsidR="0023462A" w:rsidRDefault="00A550FA">
            <w:pPr>
              <w:pStyle w:val="P68B1DB1-Normal80"/>
              <w:spacing w:after="120" w:line="240" w:lineRule="auto"/>
              <w:rPr>
                <w:rFonts w:eastAsia="Times New Roman"/>
                <w:noProof/>
              </w:rPr>
            </w:pPr>
            <w:r>
              <w:rPr>
                <w:noProof/>
              </w:rPr>
              <w:t>Étape</w:t>
            </w:r>
          </w:p>
        </w:tc>
        <w:tc>
          <w:tcPr>
            <w:tcW w:w="3751" w:type="dxa"/>
            <w:tcBorders>
              <w:top w:val="nil"/>
              <w:left w:val="nil"/>
              <w:bottom w:val="single" w:sz="4" w:space="0" w:color="auto"/>
              <w:right w:val="single" w:sz="4" w:space="0" w:color="auto"/>
            </w:tcBorders>
            <w:shd w:val="clear" w:color="000000" w:fill="C6EFCE"/>
            <w:vAlign w:val="center"/>
          </w:tcPr>
          <w:p w14:paraId="23D1BBED" w14:textId="77777777" w:rsidR="0023462A" w:rsidRDefault="00A550FA">
            <w:pPr>
              <w:pStyle w:val="P68B1DB1-Normal88"/>
              <w:spacing w:after="120" w:line="240" w:lineRule="auto"/>
              <w:rPr>
                <w:rFonts w:eastAsia="Times New Roman"/>
                <w:noProof/>
              </w:rPr>
            </w:pPr>
            <w:r>
              <w:rPr>
                <w:noProof/>
              </w:rPr>
              <w:t>Mise en place de l’autorité nationale des transports publics</w:t>
            </w:r>
          </w:p>
        </w:tc>
      </w:tr>
      <w:tr w:rsidR="0023462A" w14:paraId="22A4B5E2" w14:textId="77777777">
        <w:tblPrEx>
          <w:tblCellMar>
            <w:top w:w="0" w:type="dxa"/>
          </w:tblCellMar>
        </w:tblPrEx>
        <w:trPr>
          <w:trHeight w:val="460"/>
        </w:trPr>
        <w:tc>
          <w:tcPr>
            <w:tcW w:w="1238" w:type="dxa"/>
            <w:tcBorders>
              <w:top w:val="nil"/>
              <w:left w:val="single" w:sz="4" w:space="0" w:color="auto"/>
              <w:bottom w:val="single" w:sz="4" w:space="0" w:color="auto"/>
              <w:right w:val="single" w:sz="4" w:space="0" w:color="auto"/>
            </w:tcBorders>
            <w:shd w:val="clear" w:color="000000" w:fill="C6EFCE"/>
            <w:vAlign w:val="center"/>
          </w:tcPr>
          <w:p w14:paraId="219C8F48" w14:textId="77777777" w:rsidR="0023462A" w:rsidRDefault="00A550FA">
            <w:pPr>
              <w:pStyle w:val="P68B1DB1-Normal80"/>
              <w:spacing w:after="120" w:line="240" w:lineRule="auto"/>
              <w:rPr>
                <w:rFonts w:eastAsia="Times New Roman"/>
                <w:noProof/>
              </w:rPr>
            </w:pPr>
            <w:r>
              <w:rPr>
                <w:noProof/>
              </w:rPr>
              <w:t>34</w:t>
            </w:r>
          </w:p>
        </w:tc>
        <w:tc>
          <w:tcPr>
            <w:tcW w:w="3120" w:type="dxa"/>
            <w:tcBorders>
              <w:top w:val="nil"/>
              <w:left w:val="nil"/>
              <w:bottom w:val="single" w:sz="4" w:space="0" w:color="auto"/>
              <w:right w:val="single" w:sz="4" w:space="0" w:color="auto"/>
            </w:tcBorders>
            <w:shd w:val="clear" w:color="000000" w:fill="C6EFCE"/>
            <w:vAlign w:val="center"/>
          </w:tcPr>
          <w:p w14:paraId="0E31792D" w14:textId="77777777" w:rsidR="0023462A" w:rsidRDefault="00A550FA">
            <w:pPr>
              <w:pStyle w:val="P68B1DB1-Normal80"/>
              <w:spacing w:after="120" w:line="240" w:lineRule="auto"/>
              <w:rPr>
                <w:rFonts w:eastAsia="Times New Roman"/>
                <w:noProof/>
              </w:rPr>
            </w:pPr>
            <w:r>
              <w:rPr>
                <w:noProof/>
              </w:rPr>
              <w:t>C5.R2 Réforme des services ferroviaires en Hongrie</w:t>
            </w:r>
          </w:p>
        </w:tc>
        <w:tc>
          <w:tcPr>
            <w:tcW w:w="1194" w:type="dxa"/>
            <w:tcBorders>
              <w:top w:val="nil"/>
              <w:left w:val="nil"/>
              <w:bottom w:val="single" w:sz="4" w:space="0" w:color="auto"/>
              <w:right w:val="single" w:sz="4" w:space="0" w:color="auto"/>
            </w:tcBorders>
            <w:shd w:val="clear" w:color="000000" w:fill="C6EFCE"/>
            <w:vAlign w:val="center"/>
          </w:tcPr>
          <w:p w14:paraId="1B0279C8" w14:textId="77777777" w:rsidR="0023462A" w:rsidRDefault="00A550FA">
            <w:pPr>
              <w:pStyle w:val="P68B1DB1-Normal80"/>
              <w:spacing w:after="120" w:line="240" w:lineRule="auto"/>
              <w:rPr>
                <w:rFonts w:eastAsia="Times New Roman"/>
                <w:noProof/>
              </w:rPr>
            </w:pPr>
            <w:r>
              <w:rPr>
                <w:noProof/>
              </w:rPr>
              <w:t>Étape</w:t>
            </w:r>
          </w:p>
        </w:tc>
        <w:tc>
          <w:tcPr>
            <w:tcW w:w="3751" w:type="dxa"/>
            <w:tcBorders>
              <w:top w:val="nil"/>
              <w:left w:val="nil"/>
              <w:bottom w:val="single" w:sz="4" w:space="0" w:color="auto"/>
              <w:right w:val="single" w:sz="4" w:space="0" w:color="auto"/>
            </w:tcBorders>
            <w:shd w:val="clear" w:color="000000" w:fill="C6EFCE"/>
            <w:vAlign w:val="center"/>
          </w:tcPr>
          <w:p w14:paraId="4906BD9B" w14:textId="77777777" w:rsidR="0023462A" w:rsidRDefault="00A550FA">
            <w:pPr>
              <w:pStyle w:val="P68B1DB1-Normal88"/>
              <w:spacing w:after="120" w:line="240" w:lineRule="auto"/>
              <w:rPr>
                <w:rFonts w:eastAsia="Times New Roman"/>
                <w:noProof/>
              </w:rPr>
            </w:pPr>
            <w:r>
              <w:rPr>
                <w:noProof/>
              </w:rPr>
              <w:t>Mise en place du ROSCO</w:t>
            </w:r>
          </w:p>
        </w:tc>
      </w:tr>
      <w:tr w:rsidR="0023462A" w14:paraId="31DB9F43" w14:textId="77777777">
        <w:tblPrEx>
          <w:tblCellMar>
            <w:top w:w="0" w:type="dxa"/>
          </w:tblCellMar>
        </w:tblPrEx>
        <w:trPr>
          <w:trHeight w:val="460"/>
        </w:trPr>
        <w:tc>
          <w:tcPr>
            <w:tcW w:w="1238" w:type="dxa"/>
            <w:tcBorders>
              <w:top w:val="nil"/>
              <w:left w:val="single" w:sz="4" w:space="0" w:color="auto"/>
              <w:bottom w:val="single" w:sz="4" w:space="0" w:color="auto"/>
              <w:right w:val="single" w:sz="4" w:space="0" w:color="auto"/>
            </w:tcBorders>
            <w:shd w:val="clear" w:color="000000" w:fill="C6EFCE"/>
          </w:tcPr>
          <w:p w14:paraId="23E25906" w14:textId="77777777" w:rsidR="0023462A" w:rsidRDefault="00A550FA">
            <w:pPr>
              <w:pStyle w:val="P68B1DB1-Normal84"/>
              <w:spacing w:after="120" w:line="240" w:lineRule="auto"/>
              <w:rPr>
                <w:noProof/>
              </w:rPr>
            </w:pPr>
            <w:r>
              <w:rPr>
                <w:noProof/>
              </w:rPr>
              <w:t>123</w:t>
            </w:r>
          </w:p>
        </w:tc>
        <w:tc>
          <w:tcPr>
            <w:tcW w:w="3120" w:type="dxa"/>
            <w:tcBorders>
              <w:top w:val="nil"/>
              <w:left w:val="nil"/>
              <w:bottom w:val="single" w:sz="4" w:space="0" w:color="auto"/>
              <w:right w:val="single" w:sz="4" w:space="0" w:color="auto"/>
            </w:tcBorders>
            <w:shd w:val="clear" w:color="000000" w:fill="C6EFCE"/>
          </w:tcPr>
          <w:p w14:paraId="3D7DFE51" w14:textId="77777777" w:rsidR="0023462A" w:rsidRDefault="00A550FA">
            <w:pPr>
              <w:pStyle w:val="P68B1DB1-Normal80"/>
              <w:spacing w:after="120" w:line="240" w:lineRule="auto"/>
              <w:rPr>
                <w:rFonts w:eastAsia="Times New Roman"/>
                <w:noProof/>
              </w:rPr>
            </w:pPr>
            <w:r>
              <w:rPr>
                <w:noProof/>
              </w:rPr>
              <w:t>C10.I2 Injection de fonds propres dans Magyar Fejlesztési Bank (MFB)</w:t>
            </w:r>
          </w:p>
        </w:tc>
        <w:tc>
          <w:tcPr>
            <w:tcW w:w="1194" w:type="dxa"/>
            <w:tcBorders>
              <w:top w:val="nil"/>
              <w:left w:val="nil"/>
              <w:bottom w:val="single" w:sz="4" w:space="0" w:color="auto"/>
              <w:right w:val="single" w:sz="4" w:space="0" w:color="auto"/>
            </w:tcBorders>
            <w:shd w:val="clear" w:color="000000" w:fill="C6EFCE"/>
          </w:tcPr>
          <w:p w14:paraId="259239AD" w14:textId="3D4EFEDE" w:rsidR="0023462A" w:rsidRDefault="00A550FA">
            <w:pPr>
              <w:pStyle w:val="P68B1DB1-Normal80"/>
              <w:spacing w:after="120" w:line="240" w:lineRule="auto"/>
              <w:rPr>
                <w:rFonts w:eastAsia="Times New Roman"/>
                <w:noProof/>
              </w:rPr>
            </w:pPr>
            <w:r>
              <w:rPr>
                <w:noProof/>
              </w:rPr>
              <w:t>Étape</w:t>
            </w:r>
          </w:p>
        </w:tc>
        <w:tc>
          <w:tcPr>
            <w:tcW w:w="3751" w:type="dxa"/>
            <w:tcBorders>
              <w:top w:val="nil"/>
              <w:left w:val="nil"/>
              <w:bottom w:val="single" w:sz="4" w:space="0" w:color="auto"/>
              <w:right w:val="single" w:sz="4" w:space="0" w:color="auto"/>
            </w:tcBorders>
            <w:shd w:val="clear" w:color="000000" w:fill="C6EFCE"/>
          </w:tcPr>
          <w:p w14:paraId="75BB69ED" w14:textId="77777777" w:rsidR="0023462A" w:rsidRDefault="00A550FA">
            <w:pPr>
              <w:pStyle w:val="P68B1DB1-Normal80"/>
              <w:spacing w:after="120" w:line="240" w:lineRule="auto"/>
              <w:rPr>
                <w:rFonts w:eastAsia="Times New Roman"/>
                <w:noProof/>
              </w:rPr>
            </w:pPr>
            <w:r>
              <w:rPr>
                <w:noProof/>
              </w:rPr>
              <w:t>C10.I2 Injection de fonds propres dans Magyar Fejlesztési Bank (MFB)</w:t>
            </w:r>
          </w:p>
        </w:tc>
      </w:tr>
      <w:tr w:rsidR="0023462A" w14:paraId="167C0F33" w14:textId="77777777">
        <w:tblPrEx>
          <w:tblCellMar>
            <w:top w:w="0" w:type="dxa"/>
          </w:tblCellMar>
        </w:tblPrEx>
        <w:trPr>
          <w:trHeight w:val="460"/>
        </w:trPr>
        <w:tc>
          <w:tcPr>
            <w:tcW w:w="1238" w:type="dxa"/>
            <w:tcBorders>
              <w:top w:val="nil"/>
              <w:left w:val="single" w:sz="4" w:space="0" w:color="auto"/>
              <w:bottom w:val="single" w:sz="4" w:space="0" w:color="auto"/>
              <w:right w:val="single" w:sz="4" w:space="0" w:color="auto"/>
            </w:tcBorders>
            <w:shd w:val="clear" w:color="000000" w:fill="C6EFCE"/>
          </w:tcPr>
          <w:p w14:paraId="5179920C" w14:textId="77777777" w:rsidR="0023462A" w:rsidRDefault="00A550FA">
            <w:pPr>
              <w:pStyle w:val="P68B1DB1-Normal84"/>
              <w:spacing w:after="120" w:line="240" w:lineRule="auto"/>
              <w:rPr>
                <w:noProof/>
              </w:rPr>
            </w:pPr>
            <w:r>
              <w:rPr>
                <w:noProof/>
              </w:rPr>
              <w:t>124</w:t>
            </w:r>
          </w:p>
        </w:tc>
        <w:tc>
          <w:tcPr>
            <w:tcW w:w="3120" w:type="dxa"/>
            <w:tcBorders>
              <w:top w:val="nil"/>
              <w:left w:val="nil"/>
              <w:bottom w:val="single" w:sz="4" w:space="0" w:color="auto"/>
              <w:right w:val="single" w:sz="4" w:space="0" w:color="auto"/>
            </w:tcBorders>
            <w:shd w:val="clear" w:color="000000" w:fill="C6EFCE"/>
          </w:tcPr>
          <w:p w14:paraId="3FE4C5DA" w14:textId="77777777" w:rsidR="0023462A" w:rsidRDefault="00A550FA">
            <w:pPr>
              <w:pStyle w:val="P68B1DB1-Normal80"/>
              <w:spacing w:after="120" w:line="240" w:lineRule="auto"/>
              <w:rPr>
                <w:rFonts w:eastAsia="Times New Roman"/>
                <w:noProof/>
              </w:rPr>
            </w:pPr>
            <w:r>
              <w:rPr>
                <w:noProof/>
              </w:rPr>
              <w:t>C10.I2 Injection de fonds propres dans Magyar Fejlesztési Bank (MFB)</w:t>
            </w:r>
          </w:p>
        </w:tc>
        <w:tc>
          <w:tcPr>
            <w:tcW w:w="1194" w:type="dxa"/>
            <w:tcBorders>
              <w:top w:val="nil"/>
              <w:left w:val="nil"/>
              <w:bottom w:val="single" w:sz="4" w:space="0" w:color="auto"/>
              <w:right w:val="single" w:sz="4" w:space="0" w:color="auto"/>
            </w:tcBorders>
            <w:shd w:val="clear" w:color="000000" w:fill="C6EFCE"/>
          </w:tcPr>
          <w:p w14:paraId="468720D3" w14:textId="1A945415" w:rsidR="0023462A" w:rsidRDefault="00A550FA">
            <w:pPr>
              <w:pStyle w:val="P68B1DB1-Normal80"/>
              <w:spacing w:after="120" w:line="240" w:lineRule="auto"/>
              <w:rPr>
                <w:rFonts w:eastAsia="Times New Roman"/>
                <w:noProof/>
              </w:rPr>
            </w:pPr>
            <w:r>
              <w:rPr>
                <w:noProof/>
              </w:rPr>
              <w:t>Étape</w:t>
            </w:r>
          </w:p>
        </w:tc>
        <w:tc>
          <w:tcPr>
            <w:tcW w:w="3751" w:type="dxa"/>
            <w:tcBorders>
              <w:top w:val="nil"/>
              <w:left w:val="nil"/>
              <w:bottom w:val="single" w:sz="4" w:space="0" w:color="auto"/>
              <w:right w:val="single" w:sz="4" w:space="0" w:color="auto"/>
            </w:tcBorders>
            <w:shd w:val="clear" w:color="000000" w:fill="C6EFCE"/>
          </w:tcPr>
          <w:p w14:paraId="49031651" w14:textId="77777777" w:rsidR="0023462A" w:rsidRDefault="00A550FA">
            <w:pPr>
              <w:pStyle w:val="P68B1DB1-Normal80"/>
              <w:spacing w:after="120" w:line="240" w:lineRule="auto"/>
              <w:rPr>
                <w:rFonts w:eastAsia="Times New Roman"/>
                <w:noProof/>
              </w:rPr>
            </w:pPr>
            <w:r>
              <w:rPr>
                <w:noProof/>
              </w:rPr>
              <w:t>C10.I2 Injection de fonds propres dans Magyar Fejlesztési Bank (MFB)</w:t>
            </w:r>
          </w:p>
        </w:tc>
      </w:tr>
      <w:tr w:rsidR="0023462A" w14:paraId="01230813" w14:textId="77777777">
        <w:tblPrEx>
          <w:tblCellMar>
            <w:top w:w="0" w:type="dxa"/>
          </w:tblCellMar>
        </w:tblPrEx>
        <w:trPr>
          <w:trHeight w:val="460"/>
        </w:trPr>
        <w:tc>
          <w:tcPr>
            <w:tcW w:w="1238" w:type="dxa"/>
            <w:tcBorders>
              <w:top w:val="nil"/>
              <w:left w:val="single" w:sz="4" w:space="0" w:color="auto"/>
              <w:bottom w:val="single" w:sz="4" w:space="0" w:color="auto"/>
              <w:right w:val="single" w:sz="4" w:space="0" w:color="auto"/>
            </w:tcBorders>
            <w:shd w:val="clear" w:color="000000" w:fill="C6EFCE"/>
          </w:tcPr>
          <w:p w14:paraId="305FCEFA" w14:textId="77777777" w:rsidR="0023462A" w:rsidRDefault="00A550FA">
            <w:pPr>
              <w:pStyle w:val="P68B1DB1-Normal84"/>
              <w:spacing w:after="120" w:line="240" w:lineRule="auto"/>
              <w:rPr>
                <w:noProof/>
              </w:rPr>
            </w:pPr>
            <w:r>
              <w:rPr>
                <w:noProof/>
              </w:rPr>
              <w:t>123</w:t>
            </w:r>
          </w:p>
        </w:tc>
        <w:tc>
          <w:tcPr>
            <w:tcW w:w="3120" w:type="dxa"/>
            <w:tcBorders>
              <w:top w:val="nil"/>
              <w:left w:val="nil"/>
              <w:bottom w:val="single" w:sz="4" w:space="0" w:color="auto"/>
              <w:right w:val="single" w:sz="4" w:space="0" w:color="auto"/>
            </w:tcBorders>
            <w:shd w:val="clear" w:color="000000" w:fill="C6EFCE"/>
          </w:tcPr>
          <w:p w14:paraId="6694102E" w14:textId="77777777" w:rsidR="0023462A" w:rsidRDefault="00A550FA">
            <w:pPr>
              <w:pStyle w:val="P68B1DB1-Normal80"/>
              <w:spacing w:after="120" w:line="240" w:lineRule="auto"/>
              <w:rPr>
                <w:rFonts w:eastAsia="Times New Roman"/>
                <w:noProof/>
              </w:rPr>
            </w:pPr>
            <w:r>
              <w:rPr>
                <w:noProof/>
              </w:rPr>
              <w:t>C11.I1 Services d'administration en ligne</w:t>
            </w:r>
          </w:p>
        </w:tc>
        <w:tc>
          <w:tcPr>
            <w:tcW w:w="1194" w:type="dxa"/>
            <w:tcBorders>
              <w:top w:val="nil"/>
              <w:left w:val="nil"/>
              <w:bottom w:val="single" w:sz="4" w:space="0" w:color="auto"/>
              <w:right w:val="single" w:sz="4" w:space="0" w:color="auto"/>
            </w:tcBorders>
            <w:shd w:val="clear" w:color="000000" w:fill="C6EFCE"/>
          </w:tcPr>
          <w:p w14:paraId="593D99DD" w14:textId="77777777" w:rsidR="0023462A" w:rsidRDefault="00A550FA">
            <w:pPr>
              <w:pStyle w:val="P68B1DB1-Normal84"/>
              <w:spacing w:after="120" w:line="240" w:lineRule="auto"/>
              <w:rPr>
                <w:noProof/>
              </w:rPr>
            </w:pPr>
            <w:r>
              <w:rPr>
                <w:noProof/>
              </w:rPr>
              <w:t>Étape</w:t>
            </w:r>
          </w:p>
        </w:tc>
        <w:tc>
          <w:tcPr>
            <w:tcW w:w="3751" w:type="dxa"/>
            <w:tcBorders>
              <w:top w:val="nil"/>
              <w:left w:val="nil"/>
              <w:bottom w:val="single" w:sz="4" w:space="0" w:color="auto"/>
              <w:right w:val="single" w:sz="4" w:space="0" w:color="auto"/>
            </w:tcBorders>
            <w:shd w:val="clear" w:color="000000" w:fill="C6EFCE"/>
          </w:tcPr>
          <w:p w14:paraId="2B44955E" w14:textId="77777777" w:rsidR="0023462A" w:rsidRDefault="00A550FA">
            <w:pPr>
              <w:pStyle w:val="P68B1DB1-Normal80"/>
              <w:spacing w:after="120" w:line="240" w:lineRule="auto"/>
              <w:rPr>
                <w:rFonts w:eastAsia="Times New Roman"/>
                <w:noProof/>
              </w:rPr>
            </w:pPr>
            <w:r>
              <w:rPr>
                <w:noProof/>
              </w:rPr>
              <w:t>Solution de portefeuille de données numériques</w:t>
            </w:r>
          </w:p>
        </w:tc>
      </w:tr>
      <w:tr w:rsidR="0023462A" w14:paraId="5401B187" w14:textId="77777777">
        <w:tblPrEx>
          <w:tblCellMar>
            <w:top w:w="0" w:type="dxa"/>
          </w:tblCellMar>
        </w:tblPrEx>
        <w:trPr>
          <w:trHeight w:val="460"/>
        </w:trPr>
        <w:tc>
          <w:tcPr>
            <w:tcW w:w="1238" w:type="dxa"/>
            <w:tcBorders>
              <w:top w:val="single" w:sz="4" w:space="0" w:color="auto"/>
              <w:left w:val="single" w:sz="4" w:space="0" w:color="auto"/>
              <w:bottom w:val="single" w:sz="4" w:space="0" w:color="auto"/>
              <w:right w:val="single" w:sz="4" w:space="0" w:color="auto"/>
            </w:tcBorders>
            <w:shd w:val="clear" w:color="000000" w:fill="C6EFCE"/>
          </w:tcPr>
          <w:p w14:paraId="37F97AF9" w14:textId="77777777" w:rsidR="0023462A" w:rsidRDefault="00A550FA">
            <w:pPr>
              <w:pStyle w:val="P68B1DB1-Normal84"/>
              <w:spacing w:after="120" w:line="240" w:lineRule="auto"/>
              <w:rPr>
                <w:noProof/>
              </w:rPr>
            </w:pPr>
            <w:r>
              <w:rPr>
                <w:noProof/>
              </w:rPr>
              <w:t>126</w:t>
            </w:r>
          </w:p>
        </w:tc>
        <w:tc>
          <w:tcPr>
            <w:tcW w:w="3120" w:type="dxa"/>
            <w:tcBorders>
              <w:top w:val="single" w:sz="4" w:space="0" w:color="auto"/>
              <w:left w:val="nil"/>
              <w:bottom w:val="single" w:sz="4" w:space="0" w:color="auto"/>
              <w:right w:val="single" w:sz="4" w:space="0" w:color="auto"/>
            </w:tcBorders>
            <w:shd w:val="clear" w:color="000000" w:fill="C6EFCE"/>
          </w:tcPr>
          <w:p w14:paraId="78EF7387" w14:textId="77777777" w:rsidR="0023462A" w:rsidRDefault="00A550FA">
            <w:pPr>
              <w:pStyle w:val="P68B1DB1-Normal80"/>
              <w:spacing w:after="120" w:line="240" w:lineRule="auto"/>
              <w:rPr>
                <w:noProof/>
              </w:rPr>
            </w:pPr>
            <w:r>
              <w:rPr>
                <w:noProof/>
              </w:rPr>
              <w:t>C11.I2 AI Gigafactory et autres infrastructures de calcul EuroHPC</w:t>
            </w:r>
          </w:p>
        </w:tc>
        <w:tc>
          <w:tcPr>
            <w:tcW w:w="1194" w:type="dxa"/>
            <w:tcBorders>
              <w:top w:val="single" w:sz="4" w:space="0" w:color="auto"/>
              <w:left w:val="nil"/>
              <w:bottom w:val="single" w:sz="4" w:space="0" w:color="auto"/>
              <w:right w:val="single" w:sz="4" w:space="0" w:color="auto"/>
            </w:tcBorders>
            <w:shd w:val="clear" w:color="000000" w:fill="C6EFCE"/>
          </w:tcPr>
          <w:p w14:paraId="152FFBE1" w14:textId="77777777" w:rsidR="0023462A" w:rsidRDefault="00A550FA">
            <w:pPr>
              <w:pStyle w:val="P68B1DB1-Normal84"/>
              <w:spacing w:after="120" w:line="240" w:lineRule="auto"/>
              <w:rPr>
                <w:noProof/>
              </w:rPr>
            </w:pPr>
            <w:r>
              <w:rPr>
                <w:noProof/>
              </w:rPr>
              <w:t>Étape</w:t>
            </w:r>
          </w:p>
        </w:tc>
        <w:tc>
          <w:tcPr>
            <w:tcW w:w="3751" w:type="dxa"/>
            <w:tcBorders>
              <w:top w:val="single" w:sz="4" w:space="0" w:color="auto"/>
              <w:left w:val="nil"/>
              <w:bottom w:val="single" w:sz="4" w:space="0" w:color="auto"/>
              <w:right w:val="single" w:sz="4" w:space="0" w:color="auto"/>
            </w:tcBorders>
            <w:shd w:val="clear" w:color="000000" w:fill="C6EFCE"/>
          </w:tcPr>
          <w:p w14:paraId="34D46A60" w14:textId="1043A37C" w:rsidR="0023462A" w:rsidRDefault="00A550FA">
            <w:pPr>
              <w:pStyle w:val="P68B1DB1-Default89"/>
              <w:spacing w:after="120"/>
              <w:rPr>
                <w:noProof/>
              </w:rPr>
            </w:pPr>
            <w:r>
              <w:rPr>
                <w:noProof/>
              </w:rPr>
              <w:t xml:space="preserve">Signature de la convention de contribution entre la Hongrie et l’entreprise commune EuroHPC et versement de la contribution volontaire à l’entreprise commune EuroHPC </w:t>
            </w:r>
          </w:p>
        </w:tc>
      </w:tr>
      <w:tr w:rsidR="0023462A" w14:paraId="3C1BE8E4" w14:textId="77777777">
        <w:tblPrEx>
          <w:tblCellMar>
            <w:top w:w="0" w:type="dxa"/>
          </w:tblCellMar>
        </w:tblPrEx>
        <w:trPr>
          <w:trHeight w:val="460"/>
        </w:trPr>
        <w:tc>
          <w:tcPr>
            <w:tcW w:w="1238" w:type="dxa"/>
            <w:tcBorders>
              <w:top w:val="single" w:sz="4" w:space="0" w:color="auto"/>
              <w:left w:val="single" w:sz="4" w:space="0" w:color="auto"/>
              <w:bottom w:val="single" w:sz="4" w:space="0" w:color="auto"/>
              <w:right w:val="single" w:sz="4" w:space="0" w:color="auto"/>
            </w:tcBorders>
            <w:shd w:val="clear" w:color="000000" w:fill="C6EFCE"/>
          </w:tcPr>
          <w:p w14:paraId="60045AE9" w14:textId="77777777" w:rsidR="0023462A" w:rsidRDefault="00A550FA">
            <w:pPr>
              <w:pStyle w:val="P68B1DB1-Normal84"/>
              <w:spacing w:after="120" w:line="240" w:lineRule="auto"/>
              <w:rPr>
                <w:noProof/>
              </w:rPr>
            </w:pPr>
            <w:r>
              <w:rPr>
                <w:noProof/>
              </w:rPr>
              <w:t>127</w:t>
            </w:r>
          </w:p>
        </w:tc>
        <w:tc>
          <w:tcPr>
            <w:tcW w:w="3120" w:type="dxa"/>
            <w:tcBorders>
              <w:top w:val="single" w:sz="4" w:space="0" w:color="auto"/>
              <w:left w:val="nil"/>
              <w:bottom w:val="single" w:sz="4" w:space="0" w:color="auto"/>
              <w:right w:val="single" w:sz="4" w:space="0" w:color="auto"/>
            </w:tcBorders>
            <w:shd w:val="clear" w:color="000000" w:fill="C6EFCE"/>
          </w:tcPr>
          <w:p w14:paraId="222098CE" w14:textId="0ABCF6B8" w:rsidR="0023462A" w:rsidRDefault="00A550FA">
            <w:pPr>
              <w:pStyle w:val="P68B1DB1-Normal80"/>
              <w:spacing w:after="120" w:line="240" w:lineRule="auto"/>
              <w:rPr>
                <w:noProof/>
              </w:rPr>
            </w:pPr>
            <w:r>
              <w:rPr>
                <w:noProof/>
              </w:rPr>
              <w:t>C11.I3 Contribution volontaire à IRIS²</w:t>
            </w:r>
          </w:p>
        </w:tc>
        <w:tc>
          <w:tcPr>
            <w:tcW w:w="1194" w:type="dxa"/>
            <w:tcBorders>
              <w:top w:val="single" w:sz="4" w:space="0" w:color="auto"/>
              <w:left w:val="nil"/>
              <w:bottom w:val="single" w:sz="4" w:space="0" w:color="auto"/>
              <w:right w:val="single" w:sz="4" w:space="0" w:color="auto"/>
            </w:tcBorders>
            <w:shd w:val="clear" w:color="000000" w:fill="C6EFCE"/>
          </w:tcPr>
          <w:p w14:paraId="5792C97D" w14:textId="77777777" w:rsidR="0023462A" w:rsidRDefault="00A550FA">
            <w:pPr>
              <w:pStyle w:val="P68B1DB1-Normal84"/>
              <w:spacing w:after="120" w:line="240" w:lineRule="auto"/>
              <w:rPr>
                <w:noProof/>
              </w:rPr>
            </w:pPr>
            <w:r>
              <w:rPr>
                <w:noProof/>
              </w:rPr>
              <w:t>Étape</w:t>
            </w:r>
          </w:p>
        </w:tc>
        <w:tc>
          <w:tcPr>
            <w:tcW w:w="3751" w:type="dxa"/>
            <w:tcBorders>
              <w:top w:val="single" w:sz="4" w:space="0" w:color="auto"/>
              <w:left w:val="nil"/>
              <w:bottom w:val="single" w:sz="4" w:space="0" w:color="auto"/>
              <w:right w:val="single" w:sz="4" w:space="0" w:color="auto"/>
            </w:tcBorders>
            <w:shd w:val="clear" w:color="000000" w:fill="C6EFCE"/>
          </w:tcPr>
          <w:p w14:paraId="35489228" w14:textId="6D6A2BD6" w:rsidR="0023462A" w:rsidRDefault="00A550FA">
            <w:pPr>
              <w:pStyle w:val="P68B1DB1-Header82"/>
              <w:spacing w:after="120" w:line="240" w:lineRule="auto"/>
              <w:rPr>
                <w:noProof/>
              </w:rPr>
            </w:pPr>
            <w:r>
              <w:rPr>
                <w:noProof/>
              </w:rPr>
              <w:t>Signature de la convention de contribution entre la Hongrie et la Commission européenne et affectation d'une contribution volontaire au programme de l'UE pour une connectivité sécurisée (IRIS²)</w:t>
            </w:r>
          </w:p>
        </w:tc>
      </w:tr>
      <w:tr w:rsidR="0023462A" w14:paraId="72CF2118" w14:textId="77777777">
        <w:tblPrEx>
          <w:tblCellMar>
            <w:top w:w="0" w:type="dxa"/>
          </w:tblCellMar>
        </w:tblPrEx>
        <w:trPr>
          <w:trHeight w:val="460"/>
        </w:trPr>
        <w:tc>
          <w:tcPr>
            <w:tcW w:w="5552" w:type="dxa"/>
            <w:gridSpan w:val="3"/>
            <w:tcBorders>
              <w:top w:val="single" w:sz="4" w:space="0" w:color="auto"/>
              <w:left w:val="single" w:sz="4" w:space="0" w:color="auto"/>
              <w:bottom w:val="single" w:sz="4" w:space="0" w:color="auto"/>
              <w:right w:val="single" w:sz="4" w:space="0" w:color="auto"/>
            </w:tcBorders>
            <w:shd w:val="clear" w:color="000000" w:fill="C6EFCE"/>
            <w:vAlign w:val="center"/>
          </w:tcPr>
          <w:p w14:paraId="15C23CEF" w14:textId="77777777" w:rsidR="0023462A" w:rsidRDefault="00A550FA">
            <w:pPr>
              <w:pStyle w:val="P68B1DB1-Normal84"/>
              <w:spacing w:after="120" w:line="240" w:lineRule="auto"/>
              <w:jc w:val="center"/>
              <w:rPr>
                <w:noProof/>
              </w:rPr>
            </w:pPr>
            <w:bookmarkStart w:id="7" w:name="_Hlk231995929"/>
            <w:r>
              <w:rPr>
                <w:noProof/>
              </w:rPr>
              <w:t>Montant des acomptes provisionnels</w:t>
            </w:r>
          </w:p>
        </w:tc>
        <w:tc>
          <w:tcPr>
            <w:tcW w:w="3751" w:type="dxa"/>
            <w:tcBorders>
              <w:top w:val="single" w:sz="4" w:space="0" w:color="auto"/>
              <w:left w:val="nil"/>
              <w:bottom w:val="single" w:sz="4" w:space="0" w:color="auto"/>
              <w:right w:val="single" w:sz="4" w:space="0" w:color="auto"/>
            </w:tcBorders>
            <w:shd w:val="clear" w:color="000000" w:fill="C6EFCE"/>
            <w:vAlign w:val="center"/>
          </w:tcPr>
          <w:p w14:paraId="57A868F3" w14:textId="568E25F6" w:rsidR="0023462A" w:rsidRDefault="00A550FA">
            <w:pPr>
              <w:pStyle w:val="P68B1DB1-Normal80"/>
              <w:jc w:val="center"/>
              <w:rPr>
                <w:noProof/>
                <w:highlight w:val="yellow"/>
              </w:rPr>
            </w:pPr>
            <w:r>
              <w:rPr>
                <w:noProof/>
              </w:rPr>
              <w:t>3 488 338 565 EUR</w:t>
            </w:r>
          </w:p>
        </w:tc>
      </w:tr>
      <w:bookmarkEnd w:id="7"/>
    </w:tbl>
    <w:p w14:paraId="0F35885D" w14:textId="77777777" w:rsidR="0023462A" w:rsidRDefault="0023462A">
      <w:pPr>
        <w:spacing w:after="120" w:line="240" w:lineRule="auto"/>
        <w:rPr>
          <w:rFonts w:ascii="Times New Roman" w:hAnsi="Times New Roman" w:cs="Times New Roman"/>
          <w:noProof/>
          <w:sz w:val="24"/>
          <w:szCs w:val="24"/>
          <w:vertAlign w:val="superscript"/>
        </w:rPr>
      </w:pPr>
    </w:p>
    <w:p w14:paraId="1DB31E1B" w14:textId="77777777" w:rsidR="0023462A" w:rsidRDefault="00A550FA">
      <w:pPr>
        <w:pStyle w:val="P68B1DB1-Normal34"/>
        <w:spacing w:after="120" w:line="240" w:lineRule="auto"/>
        <w:rPr>
          <w:rFonts w:eastAsiaTheme="majorEastAsia"/>
          <w:noProof/>
          <w:color w:val="1F3864" w:themeColor="accent1" w:themeShade="80"/>
        </w:rPr>
      </w:pPr>
      <w:r>
        <w:rPr>
          <w:noProof/>
        </w:rPr>
        <w:br w:type="page"/>
      </w:r>
    </w:p>
    <w:p w14:paraId="3A18520B" w14:textId="32BE3A6F" w:rsidR="0023462A" w:rsidRDefault="00A550FA">
      <w:pPr>
        <w:pStyle w:val="P68B1DB1-Heading190"/>
        <w:spacing w:before="0" w:after="120"/>
        <w:rPr>
          <w:noProof/>
        </w:rPr>
      </w:pPr>
      <w:r>
        <w:rPr>
          <w:noProof/>
        </w:rPr>
        <w:t>SECTION 3: DISPOSITIONS SUPPLÉMENTAIRES</w:t>
      </w:r>
    </w:p>
    <w:p w14:paraId="6389B248" w14:textId="4C5AA46C" w:rsidR="0023462A" w:rsidRDefault="00A550FA">
      <w:pPr>
        <w:pStyle w:val="P68B1DB1-Heading291"/>
        <w:spacing w:before="0" w:after="120"/>
        <w:rPr>
          <w:noProof/>
        </w:rPr>
      </w:pPr>
      <w:r>
        <w:rPr>
          <w:noProof/>
        </w:rPr>
        <w:t>1. Modalités de suivi et de mise en œuvre du plan pour la reprise et la résilience</w:t>
      </w:r>
    </w:p>
    <w:p w14:paraId="509BE130" w14:textId="603CB703" w:rsidR="0023462A" w:rsidRDefault="00A550FA">
      <w:pPr>
        <w:spacing w:after="12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Les dispositions définies ci-dessous, ainsi que les mesures pertinentes spécifiées dans le volet 8 (gouvernance et administration publique),</w:t>
      </w:r>
      <w:r>
        <w:rPr>
          <w:rStyle w:val="FootnoteReference"/>
          <w:rFonts w:ascii="Times New Roman" w:eastAsia="Times New Roman" w:hAnsi="Times New Roman" w:cs="Times New Roman"/>
          <w:b w:val="0"/>
          <w:noProof/>
          <w:sz w:val="24"/>
          <w:szCs w:val="24"/>
        </w:rPr>
        <w:footnoteReference w:id="27"/>
      </w:r>
      <w:r>
        <w:rPr>
          <w:rFonts w:ascii="Times New Roman" w:eastAsia="Times New Roman" w:hAnsi="Times New Roman" w:cs="Times New Roman"/>
          <w:noProof/>
          <w:sz w:val="24"/>
          <w:szCs w:val="24"/>
        </w:rPr>
        <w:t xml:space="preserve"> constituent le système hongrois de contrôle et d’audit dans le cadre du plan pour la reprise et la résilience. Chacun de ces éléments fait partie intégrante du système de contrôle et d’audit hongrois, dont la mise en œuvre et le respect continu sont nécessaires pour garantir le respect de l’article 22 du règlement (UE) 2021/241. Ensemble, la mise en œuvre et le respect continu de ces éléments garantissent que les modalités de suivi et de mise en œuvre du plan pour la reprise et la résilience comprennent les mesures nécessaires pour assurer la protection des intérêts financiers de l’Union.</w:t>
      </w:r>
    </w:p>
    <w:p w14:paraId="06FA0A3B" w14:textId="05E7CCB7" w:rsidR="0023462A" w:rsidRDefault="00A550FA">
      <w:pPr>
        <w:pStyle w:val="P68B1DB1-Normal61"/>
        <w:spacing w:after="120" w:line="240" w:lineRule="auto"/>
        <w:jc w:val="both"/>
        <w:rPr>
          <w:noProof/>
        </w:rPr>
      </w:pPr>
      <w:r>
        <w:rPr>
          <w:noProof/>
        </w:rPr>
        <w:t>Le suivi et la mise en œuvre du plan pour la reprise et la résilience de la Hongrie s’effectuent conformément aux dispositions suivantes:</w:t>
      </w:r>
    </w:p>
    <w:p w14:paraId="09D6F600" w14:textId="6BA37EFD" w:rsidR="0023462A" w:rsidRDefault="00A550FA">
      <w:pPr>
        <w:pStyle w:val="P68B1DB1-Normal61"/>
        <w:spacing w:after="120" w:line="240" w:lineRule="auto"/>
        <w:jc w:val="both"/>
        <w:rPr>
          <w:noProof/>
        </w:rPr>
      </w:pPr>
      <w:r>
        <w:rPr>
          <w:noProof/>
        </w:rPr>
        <w:t>Décret gouvernemental 373/2022 (IX. 30.) définit les rôles et responsabilités des organismes participant à la mise en œuvre, à l’audit et au contrôle du plan hongrois pour la reprise et la résilience. L’entrée en vigueur du présent décret gouvernemental, décrite dans la réforme C8.R18, se traduit par un jalon spécifique, qui doit être atteint avant la présentation d’une demande de paiement au titre du plan pour la reprise et la résilience. Le décret gouvernemental définit le cadre institutionnel pour la mise en œuvre, le suivi, le contrôle et l'audit du plan, y compris à la suite de la création du Centre national de développement (NFK) et des modifications ultérieures dans la répartition des responsabilités gouvernementales.</w:t>
      </w:r>
    </w:p>
    <w:p w14:paraId="28A83AC0" w14:textId="4CC5AD39" w:rsidR="0023462A" w:rsidRDefault="00A550FA">
      <w:pPr>
        <w:pStyle w:val="P68B1DB1-Normal61"/>
        <w:spacing w:after="120" w:line="240" w:lineRule="auto"/>
        <w:jc w:val="both"/>
        <w:rPr>
          <w:noProof/>
        </w:rPr>
      </w:pPr>
      <w:r>
        <w:rPr>
          <w:noProof/>
        </w:rPr>
        <w:t>Le processus de mise en œuvre, de suivi et d’établissement de rapports du plan hongrois pour la reprise et la résilience est assuré par l’autorité nationale. Le rôle d'autorité nationale est assumé par le Centre national de développement (NFK), une unité organisationnelle dotée d'une personnalité juridique indépendante opérant au sein du ministère du développement rural et régional. Cela comprend le fonctionnement du système de suivi (y compris avec le soutien d’un système informatique de suivi), le suivi de l’état d’avancement de la mise en œuvre des différentes mesures et la garantie de la fiabilité et de la véracité des données dans le système informatique de suivi. L’autorité nationale est également l’organisme responsable pour vérifier que les jalons et cibles fixés dans le plan pour la reprise et la résilience ont été atteints. L’autorité nationale est chargée de rédiger et de soumettre les demandes de paiement au titre du plan pour la reprise et la résilience, ainsi que de veiller à leur véracité et à la signature de la déclaration de gestion. Il assure également la liaison unique entre les autorités hongroises et la Commission.</w:t>
      </w:r>
    </w:p>
    <w:p w14:paraId="777E6702" w14:textId="1ED493F9" w:rsidR="0023462A" w:rsidRDefault="00A550FA">
      <w:pPr>
        <w:pStyle w:val="P68B1DB1-Normal61"/>
        <w:spacing w:after="120" w:line="240" w:lineRule="auto"/>
        <w:jc w:val="both"/>
        <w:rPr>
          <w:noProof/>
        </w:rPr>
      </w:pPr>
      <w:r>
        <w:rPr>
          <w:noProof/>
        </w:rPr>
        <w:t>L’autorité nationale est chargée de mettre en place et d’exploiter un système interne de gestion et de contrôle afin de prévenir et de détecter efficacement les irrégularités et de prendre les mesures correctives appropriées tout en respectant les principes de bonne gestion financière et en protégeant les intérêts financiers de l’Union, de mettre en place des mesures efficaces de lutte contre la fraude et la corruption, en tenant compte des risques recensés, et de superviser les activités de mise en œuvre et de contrôle déléguées aux organismes d’exécution, aux organismes sous-traitants et aux intermédiaires financiers.</w:t>
      </w:r>
    </w:p>
    <w:p w14:paraId="32D04F38" w14:textId="320EA4B0" w:rsidR="0023462A" w:rsidRDefault="00A550FA">
      <w:pPr>
        <w:pStyle w:val="P68B1DB1-Normal61"/>
        <w:spacing w:after="120" w:line="240" w:lineRule="auto"/>
        <w:jc w:val="both"/>
        <w:rPr>
          <w:noProof/>
        </w:rPr>
      </w:pPr>
      <w:r>
        <w:rPr>
          <w:noProof/>
        </w:rPr>
        <w:t>La mise en œuvre sectorielle des mesures spécifiques du plan est supervisée par les ministères compétents, dont les services soutiennent le suivi de l’avancement des mesures et maintiennent une coopération étroite avec l’autorité nationale.</w:t>
      </w:r>
    </w:p>
    <w:p w14:paraId="488E8B74" w14:textId="0E0787C8" w:rsidR="0023462A" w:rsidRDefault="00A550FA">
      <w:pPr>
        <w:pStyle w:val="P68B1DB1-Normal61"/>
        <w:spacing w:after="120" w:line="240" w:lineRule="auto"/>
        <w:jc w:val="both"/>
        <w:rPr>
          <w:noProof/>
        </w:rPr>
      </w:pPr>
      <w:r>
        <w:rPr>
          <w:noProof/>
        </w:rPr>
        <w:t>L’autorité nationale est soutenue dans le processus de mise en œuvre et de suivi du plan par des organismes d’exécution qui opèrent au moyen de contrats écrits sous la supervision et la responsabilité de l’autorité nationale. Lorsque les tâches de mise en œuvre de l’autorité nationale sont déléguées à des organismes de mise en œuvre, les travaux des organismes de mise en œuvre sont étroitement contrôlés par l’autorité nationale, qui fournit un soutien méthodologique et des orientations aux organismes de mise en œuvre. En particulier, il convient de veiller à ce que les organismes chargés de la mise en œuvre disposent de ressources suffisantes et d'une expérience professionnelle adéquate pour s'acquitter efficacement des tâches qui leur sont confiées.</w:t>
      </w:r>
    </w:p>
    <w:p w14:paraId="23AAA4DF" w14:textId="19455B7F" w:rsidR="0023462A" w:rsidRDefault="00A550FA">
      <w:pPr>
        <w:pStyle w:val="P68B1DB1-Normal61"/>
        <w:spacing w:after="120" w:line="240" w:lineRule="auto"/>
        <w:jc w:val="both"/>
        <w:rPr>
          <w:noProof/>
        </w:rPr>
      </w:pPr>
      <w:r>
        <w:rPr>
          <w:noProof/>
        </w:rPr>
        <w:t>Les organismes de mise en œuvre et les organismes octroyant des sous-subventions effectuent des vérifications de gestion de premier niveau, y compris des contrôles sur pièces et sur place, sur la base de conventions de délégation conclues avec l’autorité nationale. Depuis août 2024, les vérifications sur place effectuées dans le cadre de l’autorité nationale peuvent être effectuées par la direction des services conjoints agissant en tant que prestataire de services interne. Les organismes d'exécution restent responsables de l'exécution des tâches déléguées et des contrôles effectués en leur nom.</w:t>
      </w:r>
    </w:p>
    <w:p w14:paraId="63E3F600" w14:textId="5055F194" w:rsidR="0023462A" w:rsidRDefault="00A550FA">
      <w:pPr>
        <w:pStyle w:val="P68B1DB1-Normal61"/>
        <w:spacing w:after="120" w:line="240" w:lineRule="auto"/>
        <w:jc w:val="both"/>
        <w:rPr>
          <w:noProof/>
        </w:rPr>
      </w:pPr>
      <w:r>
        <w:rPr>
          <w:noProof/>
        </w:rPr>
        <w:t>Les organismes de mise en œuvre mettent en place des dispositifs de contrôle interne efficaces. Les organismes d'exécution exercent les fonctions de contrôle de l'autorité nationale pour les composantes et les mesures relevant de leur responsabilité qu'ils mettent en œuvre.</w:t>
      </w:r>
    </w:p>
    <w:p w14:paraId="0D54B813" w14:textId="74AD37F1" w:rsidR="0023462A" w:rsidRDefault="00A550FA">
      <w:pPr>
        <w:pStyle w:val="P68B1DB1-Normal61"/>
        <w:spacing w:after="120" w:line="240" w:lineRule="auto"/>
        <w:jc w:val="both"/>
        <w:rPr>
          <w:noProof/>
        </w:rPr>
      </w:pPr>
      <w:r>
        <w:rPr>
          <w:noProof/>
        </w:rPr>
        <w:t>Une unité spécifique au sein de l’autorité nationale est chargée de la gestion des plaintes et des irrégularités liées à la mise en œuvre du plan pour la reprise et la résilience. L’unité est habilitée à effectuer des contrôles sur pièces et sur place, à demander des informations aux organismes participant à la mise en œuvre et à déterminer les mesures de suivi et de correction appropriées en ce qui concerne les irrégularités détectées. L’unité exerce ses fonctions en toute indépendance et ne sollicite ni ne reçoit d’instructions en ce qui concerne ses décisions relatives aux plaintes et aux irrégularités.</w:t>
      </w:r>
    </w:p>
    <w:p w14:paraId="0C5E5927" w14:textId="7F4A36B8" w:rsidR="0023462A" w:rsidRDefault="00A550FA">
      <w:pPr>
        <w:pStyle w:val="P68B1DB1-Normal61"/>
        <w:spacing w:after="120" w:line="240" w:lineRule="auto"/>
        <w:jc w:val="both"/>
        <w:rPr>
          <w:noProof/>
        </w:rPr>
      </w:pPr>
      <w:r>
        <w:rPr>
          <w:noProof/>
        </w:rPr>
        <w:t>Afin de garantir la prévention et la détection efficaces des irrégularités graves, telles que la fraude, la corruption, les conflits d’intérêts et le double financement, l’autorité nationale et les organismes chargés de la mise en œuvre utilisent systématiquement toutes les fonctions de l’outil de notation des risques Arachne lors de la mise en œuvre et du contrôle de la mise en œuvre du plan pour la reprise et la résilience. Les organismes compétents évaluent, documentent et suivent les risques identifiés par Arachne conformément à des exigences procédurales contraignantes.</w:t>
      </w:r>
    </w:p>
    <w:p w14:paraId="74F3050D" w14:textId="03AAA491" w:rsidR="0023462A" w:rsidRDefault="00A550FA">
      <w:pPr>
        <w:pStyle w:val="P68B1DB1-Normal61"/>
        <w:spacing w:after="120" w:line="240" w:lineRule="auto"/>
        <w:jc w:val="both"/>
        <w:rPr>
          <w:noProof/>
        </w:rPr>
      </w:pPr>
      <w:r>
        <w:rPr>
          <w:noProof/>
        </w:rPr>
        <w:t>Une direction de l’audit interne et de l’intégrité (DIAI) opérant dans le cadre organisationnel du Centre national de développement (NFK) est chargée de renforcer la prévention et la détection efficaces des conflits d’intérêts. Le DIAI est chargé d’effectuer des contrôles réguliers de la véracité des déclarations de conflit d’intérêts par le personnel à tous les niveaux participant à la mise en œuvre et au contrôle du plan. La DIAI reste distincte sur le plan organisationnel de l’autorité nationale et des organismes chargés de la mise en œuvre et exerce ses fonctions en toute indépendance. Les travaux de la DIAI sont supervisés par l’autorité chargée de l’intégrité.</w:t>
      </w:r>
    </w:p>
    <w:p w14:paraId="7ADF0B8F" w14:textId="63CB0B72" w:rsidR="0023462A" w:rsidRDefault="00A550FA">
      <w:pPr>
        <w:pStyle w:val="P68B1DB1-Normal61"/>
        <w:spacing w:after="120" w:line="240" w:lineRule="auto"/>
        <w:jc w:val="both"/>
        <w:rPr>
          <w:noProof/>
        </w:rPr>
      </w:pPr>
      <w:r>
        <w:rPr>
          <w:noProof/>
        </w:rPr>
        <w:t>La DIAI vérifie le respect des exigences en matière de conflits d’intérêts applicables à l’ensemble du personnel participant à la mise en œuvre du plan pour la reprise et la résilience, y compris le personnel effectuant des contrôles sur place. Des procédures détaillées régissent la prévention, la détection et la gestion des conflits d’intérêts, y compris la vérification régulière des déclarations et le suivi systématique des risques identifiés.</w:t>
      </w:r>
    </w:p>
    <w:p w14:paraId="44644F05" w14:textId="38600976" w:rsidR="0023462A" w:rsidRDefault="00A550FA">
      <w:pPr>
        <w:pStyle w:val="P68B1DB1-Normal61"/>
        <w:spacing w:after="120" w:line="240" w:lineRule="auto"/>
        <w:jc w:val="both"/>
        <w:rPr>
          <w:noProof/>
        </w:rPr>
      </w:pPr>
      <w:r>
        <w:rPr>
          <w:noProof/>
        </w:rPr>
        <w:t>La direction générale de l’audit des fonds européens (EUTAF), en sa qualité d’autorité d’audit, exécute les tâches d’audit liées à la mise en œuvre du plan. La Hongrie met à la disposition de l'EUTAF les ressources financières et humaines nécessaires pour préserver son indépendance et lui permettre d'accomplir ses tâches. Le cadre juridique garantit l’indépendance financière, opérationnelle et professionnelle de l’EUTAF et prévoit les dispositions budgétaires et en matière de personnel nécessaires pour lui permettre d’exercer ses responsabilités liées à la facilité pour la reprise et la résilience et aux autres tâches qui lui sont confiées en vertu des cadres de contrôle liés à l’Union.</w:t>
      </w:r>
    </w:p>
    <w:p w14:paraId="6C5583BA" w14:textId="505DBDD4" w:rsidR="0023462A" w:rsidRDefault="00A550FA">
      <w:pPr>
        <w:pStyle w:val="P68B1DB1-Normal61"/>
        <w:spacing w:after="120" w:line="240" w:lineRule="auto"/>
        <w:jc w:val="both"/>
        <w:rPr>
          <w:noProof/>
        </w:rPr>
      </w:pPr>
      <w:r>
        <w:rPr>
          <w:noProof/>
        </w:rPr>
        <w:t>L'EUTAF élabore une stratégie d'audit conforme aux normes d'audit internationalement reconnues. Cette stratégie détermine la méthode et la fréquence des audits. Elle est mise en place suffisamment tôt pour permettre la réalisation des audits qui sont inclus dans le résumé de l’audit présenté en même temps que la demande de paiement.</w:t>
      </w:r>
    </w:p>
    <w:p w14:paraId="313BF1DB" w14:textId="620A4120" w:rsidR="0023462A" w:rsidRDefault="00A550FA">
      <w:pPr>
        <w:pStyle w:val="P68B1DB1-Normal61"/>
        <w:spacing w:after="120" w:line="240" w:lineRule="auto"/>
        <w:jc w:val="both"/>
        <w:rPr>
          <w:noProof/>
        </w:rPr>
      </w:pPr>
      <w:r>
        <w:rPr>
          <w:noProof/>
        </w:rPr>
        <w:t>La stratégie d’audit est mise à jour pour couvrir la période de mise en œuvre du plan jusqu’à la fin de 2028 au moins et comprend des dispositions détaillées pour les activités de vérification ex post et le traitement par l’audit des mécanismes de contrôle et des garanties supplémentaires introduits dans le cadre du plan.</w:t>
      </w:r>
    </w:p>
    <w:p w14:paraId="0F87E2E0" w14:textId="4584C2BA" w:rsidR="0023462A" w:rsidRDefault="00A550FA">
      <w:pPr>
        <w:pStyle w:val="P68B1DB1-Normal61"/>
        <w:spacing w:after="120" w:line="240" w:lineRule="auto"/>
        <w:jc w:val="both"/>
        <w:rPr>
          <w:noProof/>
        </w:rPr>
      </w:pPr>
      <w:r>
        <w:rPr>
          <w:noProof/>
        </w:rPr>
        <w:t>L’EUTAF effectue des audits des systèmes et des tests de validation. Les audits des systèmes sont mis en œuvre sur la base d’une évaluation des risques, à une fréquence appropriée, et examinent le fonctionnement du système mis en place pour la mise en œuvre du plan pour la reprise et la résilience. Les tests de fond sont axés sur les progrès accomplis dans la réalisation des jalons et cibles et portent sur le contrôle du respect des conditions de bonne gestion financière. L’EUTAF fournit un avis d’audit pour chaque demande de paiement soumise à la Commission sur la base des résultats de ses travaux d’audit, tant des audits de ses systèmes que des tests de validation.</w:t>
      </w:r>
    </w:p>
    <w:p w14:paraId="4D728522" w14:textId="1D15EF56" w:rsidR="0023462A" w:rsidRDefault="00A550FA">
      <w:pPr>
        <w:pStyle w:val="P68B1DB1-Normal61"/>
        <w:spacing w:after="120" w:line="240" w:lineRule="auto"/>
        <w:jc w:val="both"/>
        <w:rPr>
          <w:noProof/>
        </w:rPr>
      </w:pPr>
      <w:r>
        <w:rPr>
          <w:noProof/>
        </w:rPr>
        <w:t>En outre, des jalons spécifiques en matière d’audit et de contrôle nécessitent des activités d’audit et de vérification renforcées, y compris des contrôles ex post couvrant une proportion importante des conventions de financement, des marchés publics et des paiements connexes au titre du plan, en mettant particulièrement l’accent sur la fraude, la corruption, les conflits d’intérêts et les risques de double financement.</w:t>
      </w:r>
    </w:p>
    <w:p w14:paraId="5B03C112" w14:textId="42295775" w:rsidR="0023462A" w:rsidRDefault="00A550FA">
      <w:pPr>
        <w:pStyle w:val="P68B1DB1-Normal61"/>
        <w:spacing w:after="120" w:line="240" w:lineRule="auto"/>
        <w:jc w:val="both"/>
        <w:rPr>
          <w:noProof/>
        </w:rPr>
      </w:pPr>
      <w:r>
        <w:rPr>
          <w:noProof/>
        </w:rPr>
        <w:t>En outre, un comité de suivi composé des parties prenantes et des partenaires sociaux concernés participant à la mise en œuvre du plan pour la reprise et la résilience est établi au moyen d’un acte législatif. Le comité de suivi supervise la mise en œuvre effective du plan pour la reprise et la résilience. L’acte législatif comporte une disposition prévoyant l’obligation légale de consulter le comité de suivi pendant la mise en œuvre du plan pour la reprise et la résilience.</w:t>
      </w:r>
    </w:p>
    <w:sectPr w:rsidR="0023462A">
      <w:headerReference w:type="default" r:id="rId130"/>
      <w:footerReference w:type="default" r:id="rId131"/>
      <w:pgSz w:w="11907" w:h="16839"/>
      <w:pgMar w:top="1134" w:right="1134" w:bottom="1134" w:left="1134" w:header="567" w:footer="56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73F9E3" w14:textId="77777777" w:rsidR="0023462A" w:rsidRDefault="00A550FA">
      <w:pPr>
        <w:spacing w:after="0" w:line="240" w:lineRule="auto"/>
      </w:pPr>
      <w:r>
        <w:separator/>
      </w:r>
    </w:p>
  </w:endnote>
  <w:endnote w:type="continuationSeparator" w:id="0">
    <w:p w14:paraId="3A656BB0" w14:textId="77777777" w:rsidR="0023462A" w:rsidRDefault="00A550FA">
      <w:pPr>
        <w:spacing w:after="0" w:line="240" w:lineRule="auto"/>
      </w:pPr>
      <w:r>
        <w:continuationSeparator/>
      </w:r>
    </w:p>
  </w:endnote>
  <w:endnote w:type="continuationNotice" w:id="1">
    <w:p w14:paraId="56EB39B5" w14:textId="77777777" w:rsidR="0023462A" w:rsidRDefault="0023462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Yu Mincho">
    <w:altName w:val="Yu Gothic UI"/>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Arial New Roman">
    <w:altName w:val="Arial"/>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EC Square Sans Pro">
    <w:charset w:val="00"/>
    <w:family w:val="swiss"/>
    <w:pitch w:val="variable"/>
    <w:sig w:usb0="20000287" w:usb1="00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448B25" w14:textId="2BEF44D6" w:rsidR="00B1483A" w:rsidRPr="00B1483A" w:rsidRDefault="00B1483A" w:rsidP="00B1483A">
    <w:pPr>
      <w:pStyle w:val="FooterCoverPage"/>
      <w:rPr>
        <w:rFonts w:ascii="Arial" w:hAnsi="Arial" w:cs="Arial"/>
        <w:b/>
        <w:sz w:val="48"/>
      </w:rPr>
    </w:pPr>
    <w:r w:rsidRPr="00B1483A">
      <w:rPr>
        <w:rFonts w:ascii="Arial" w:hAnsi="Arial" w:cs="Arial"/>
        <w:b/>
        <w:sz w:val="48"/>
      </w:rPr>
      <w:t>FR</w:t>
    </w:r>
    <w:r w:rsidRPr="00B1483A">
      <w:rPr>
        <w:rFonts w:ascii="Arial" w:hAnsi="Arial" w:cs="Arial"/>
        <w:b/>
        <w:sz w:val="48"/>
      </w:rPr>
      <w:tab/>
    </w:r>
    <w:r w:rsidRPr="00B1483A">
      <w:rPr>
        <w:rFonts w:ascii="Arial" w:hAnsi="Arial" w:cs="Arial"/>
        <w:b/>
        <w:sz w:val="48"/>
      </w:rPr>
      <w:tab/>
    </w:r>
    <w:r w:rsidRPr="00B1483A">
      <w:tab/>
    </w:r>
    <w:r w:rsidRPr="00B1483A">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A3B150" w14:textId="1DAE188A" w:rsidR="00B1483A" w:rsidRPr="00B1483A" w:rsidRDefault="00B1483A" w:rsidP="00B1483A">
    <w:pPr>
      <w:pStyle w:val="FooterCoverPage"/>
      <w:rPr>
        <w:rFonts w:ascii="Arial" w:hAnsi="Arial" w:cs="Arial"/>
        <w:b/>
        <w:sz w:val="48"/>
      </w:rPr>
    </w:pPr>
    <w:r w:rsidRPr="00B1483A">
      <w:rPr>
        <w:rFonts w:ascii="Arial" w:hAnsi="Arial" w:cs="Arial"/>
        <w:b/>
        <w:sz w:val="48"/>
      </w:rPr>
      <w:t>FR</w:t>
    </w:r>
    <w:r w:rsidRPr="00B1483A">
      <w:rPr>
        <w:rFonts w:ascii="Arial" w:hAnsi="Arial" w:cs="Arial"/>
        <w:b/>
        <w:sz w:val="48"/>
      </w:rPr>
      <w:tab/>
    </w:r>
    <w:r w:rsidRPr="00B1483A">
      <w:rPr>
        <w:rFonts w:ascii="Arial" w:hAnsi="Arial" w:cs="Arial"/>
        <w:b/>
        <w:sz w:val="48"/>
      </w:rPr>
      <w:tab/>
    </w:r>
    <w:r w:rsidRPr="00B1483A">
      <w:tab/>
    </w:r>
    <w:r w:rsidRPr="00B1483A">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4D81C0" w14:textId="77777777" w:rsidR="00B1483A" w:rsidRPr="00B1483A" w:rsidRDefault="00B1483A" w:rsidP="00B1483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E6EBA4" w14:textId="77777777" w:rsidR="0023462A" w:rsidRDefault="0023462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6335149"/>
      <w:docPartObj>
        <w:docPartGallery w:val="Page Numbers (Bottom of Page)"/>
        <w:docPartUnique/>
      </w:docPartObj>
    </w:sdtPr>
    <w:sdtEndPr/>
    <w:sdtContent>
      <w:p w14:paraId="402633C0" w14:textId="4AABEAC9" w:rsidR="0023462A" w:rsidRDefault="00A550FA">
        <w:pPr>
          <w:pStyle w:val="P68B1DB1-Footer92"/>
          <w:jc w:val="center"/>
        </w:pPr>
        <w:r>
          <w:fldChar w:fldCharType="begin"/>
        </w:r>
        <w:r>
          <w:instrText xml:space="preserve"> PAGE   \* MERGEFORMAT </w:instrText>
        </w:r>
        <w:r>
          <w:fldChar w:fldCharType="separate"/>
        </w:r>
        <w:r w:rsidR="00B1483A">
          <w:rPr>
            <w:noProof/>
          </w:rPr>
          <w:t>2</w:t>
        </w:r>
        <w:r>
          <w:fldChar w:fldCharType="end"/>
        </w:r>
      </w:p>
    </w:sdtContent>
  </w:sdt>
  <w:p w14:paraId="1220CBF8" w14:textId="77777777" w:rsidR="0023462A" w:rsidRDefault="0023462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DB657F" w14:textId="77777777" w:rsidR="0023462A" w:rsidRDefault="0023462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BD4D1F" w14:textId="77777777" w:rsidR="0023462A" w:rsidRDefault="0023462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8314373"/>
      <w:docPartObj>
        <w:docPartGallery w:val="Page Numbers (Bottom of Page)"/>
        <w:docPartUnique/>
      </w:docPartObj>
    </w:sdtPr>
    <w:sdtEndPr/>
    <w:sdtContent>
      <w:p w14:paraId="065EFB26" w14:textId="1DAECFCC" w:rsidR="0023462A" w:rsidRDefault="00A550FA">
        <w:pPr>
          <w:pStyle w:val="P68B1DB1-Footer92"/>
          <w:jc w:val="center"/>
        </w:pPr>
        <w:r>
          <w:fldChar w:fldCharType="begin"/>
        </w:r>
        <w:r>
          <w:instrText xml:space="preserve"> PAGE   \* MERGEFORMAT </w:instrText>
        </w:r>
        <w:r>
          <w:fldChar w:fldCharType="separate"/>
        </w:r>
        <w:r w:rsidR="00B1483A">
          <w:rPr>
            <w:noProof/>
          </w:rPr>
          <w:t>3</w:t>
        </w:r>
        <w:r>
          <w:fldChar w:fldCharType="end"/>
        </w:r>
      </w:p>
    </w:sdtContent>
  </w:sdt>
  <w:p w14:paraId="42655D72" w14:textId="77777777" w:rsidR="0023462A" w:rsidRDefault="0023462A">
    <w:pPr>
      <w:pStyle w:val="FooterCouncil"/>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B4A18B" w14:textId="77777777" w:rsidR="0023462A" w:rsidRDefault="0023462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1E6426" w14:textId="77777777" w:rsidR="0023462A" w:rsidRDefault="0023462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3232859"/>
      <w:docPartObj>
        <w:docPartGallery w:val="Page Numbers (Bottom of Page)"/>
        <w:docPartUnique/>
      </w:docPartObj>
    </w:sdtPr>
    <w:sdtEndPr/>
    <w:sdtContent>
      <w:p w14:paraId="32B403BF" w14:textId="01E94749" w:rsidR="0023462A" w:rsidRDefault="00A550FA">
        <w:pPr>
          <w:pStyle w:val="P68B1DB1-Footer92"/>
          <w:jc w:val="center"/>
        </w:pPr>
        <w:r>
          <w:fldChar w:fldCharType="begin"/>
        </w:r>
        <w:r>
          <w:instrText xml:space="preserve"> PAGE   \* MERGEFORMAT </w:instrText>
        </w:r>
        <w:r>
          <w:fldChar w:fldCharType="separate"/>
        </w:r>
        <w:r w:rsidR="00FC76F4">
          <w:rPr>
            <w:noProof/>
          </w:rPr>
          <w:t>7</w:t>
        </w:r>
        <w:r>
          <w:fldChar w:fldCharType="end"/>
        </w:r>
      </w:p>
    </w:sdtContent>
  </w:sdt>
  <w:p w14:paraId="33327476" w14:textId="77777777" w:rsidR="0023462A" w:rsidRDefault="0023462A">
    <w:pPr>
      <w:pStyle w:val="FooterCouncil"/>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2356EC" w14:textId="77777777" w:rsidR="0023462A" w:rsidRDefault="0023462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D721FE" w14:textId="77777777" w:rsidR="0023462A" w:rsidRDefault="0023462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7616613"/>
      <w:docPartObj>
        <w:docPartGallery w:val="Page Numbers (Bottom of Page)"/>
        <w:docPartUnique/>
      </w:docPartObj>
    </w:sdtPr>
    <w:sdtEndPr/>
    <w:sdtContent>
      <w:p w14:paraId="1652D8B4" w14:textId="6A84DA10" w:rsidR="0023462A" w:rsidRDefault="00A550FA">
        <w:pPr>
          <w:pStyle w:val="P68B1DB1-Footer92"/>
          <w:jc w:val="center"/>
        </w:pPr>
        <w:r>
          <w:fldChar w:fldCharType="begin"/>
        </w:r>
        <w:r>
          <w:instrText xml:space="preserve"> PAGE   \* MERGEFORMAT </w:instrText>
        </w:r>
        <w:r>
          <w:fldChar w:fldCharType="separate"/>
        </w:r>
        <w:r w:rsidR="00FC76F4">
          <w:rPr>
            <w:noProof/>
          </w:rPr>
          <w:t>9</w:t>
        </w:r>
        <w:r>
          <w:fldChar w:fldCharType="end"/>
        </w:r>
      </w:p>
    </w:sdtContent>
  </w:sdt>
  <w:p w14:paraId="4ACA5447" w14:textId="77777777" w:rsidR="0023462A" w:rsidRDefault="0023462A">
    <w:pPr>
      <w:pStyle w:val="FooterCouncil"/>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B8E4A7" w14:textId="77777777" w:rsidR="0023462A" w:rsidRDefault="0023462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DB1F65" w14:textId="77777777" w:rsidR="0023462A" w:rsidRDefault="0023462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4947216"/>
      <w:docPartObj>
        <w:docPartGallery w:val="Page Numbers (Bottom of Page)"/>
        <w:docPartUnique/>
      </w:docPartObj>
    </w:sdtPr>
    <w:sdtEndPr/>
    <w:sdtContent>
      <w:p w14:paraId="6BE7F020" w14:textId="15B47279" w:rsidR="0023462A" w:rsidRDefault="00A550FA">
        <w:pPr>
          <w:pStyle w:val="P68B1DB1-Footer92"/>
          <w:jc w:val="center"/>
        </w:pPr>
        <w:r>
          <w:fldChar w:fldCharType="begin"/>
        </w:r>
        <w:r>
          <w:instrText xml:space="preserve"> PAGE   \* MERGEFORMAT </w:instrText>
        </w:r>
        <w:r>
          <w:fldChar w:fldCharType="separate"/>
        </w:r>
        <w:r w:rsidR="00FC76F4">
          <w:rPr>
            <w:noProof/>
          </w:rPr>
          <w:t>10</w:t>
        </w:r>
        <w:r>
          <w:fldChar w:fldCharType="end"/>
        </w:r>
      </w:p>
    </w:sdtContent>
  </w:sdt>
  <w:p w14:paraId="7182507C" w14:textId="77777777" w:rsidR="0023462A" w:rsidRDefault="0023462A">
    <w:pPr>
      <w:pStyle w:val="FooterCouncil"/>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A8693" w14:textId="77777777" w:rsidR="0023462A" w:rsidRDefault="0023462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864B2" w14:textId="77777777" w:rsidR="0023462A" w:rsidRDefault="0023462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6451371"/>
      <w:docPartObj>
        <w:docPartGallery w:val="Page Numbers (Bottom of Page)"/>
        <w:docPartUnique/>
      </w:docPartObj>
    </w:sdtPr>
    <w:sdtEndPr/>
    <w:sdtContent>
      <w:p w14:paraId="7DD128F5" w14:textId="59C936DE" w:rsidR="0023462A" w:rsidRDefault="00A550FA">
        <w:pPr>
          <w:pStyle w:val="P68B1DB1-Footer92"/>
          <w:jc w:val="center"/>
        </w:pPr>
        <w:r>
          <w:fldChar w:fldCharType="begin"/>
        </w:r>
        <w:r>
          <w:instrText xml:space="preserve"> PAGE   \* MERGEFORMAT </w:instrText>
        </w:r>
        <w:r>
          <w:fldChar w:fldCharType="separate"/>
        </w:r>
        <w:r w:rsidR="00FC76F4">
          <w:rPr>
            <w:noProof/>
          </w:rPr>
          <w:t>11</w:t>
        </w:r>
        <w:r>
          <w:fldChar w:fldCharType="end"/>
        </w:r>
      </w:p>
    </w:sdtContent>
  </w:sdt>
  <w:p w14:paraId="61AC6BD0" w14:textId="77777777" w:rsidR="0023462A" w:rsidRDefault="0023462A">
    <w:pPr>
      <w:pStyle w:val="FooterCouncil"/>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5796BB" w14:textId="77777777" w:rsidR="0023462A" w:rsidRDefault="0023462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0B64B" w14:textId="77777777" w:rsidR="0023462A" w:rsidRDefault="0023462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6028012"/>
      <w:docPartObj>
        <w:docPartGallery w:val="Page Numbers (Bottom of Page)"/>
        <w:docPartUnique/>
      </w:docPartObj>
    </w:sdtPr>
    <w:sdtEndPr/>
    <w:sdtContent>
      <w:p w14:paraId="0D8E595F" w14:textId="1BBC75AD" w:rsidR="0023462A" w:rsidRDefault="00A550FA">
        <w:pPr>
          <w:pStyle w:val="P68B1DB1-Footer92"/>
          <w:jc w:val="center"/>
        </w:pPr>
        <w:r>
          <w:fldChar w:fldCharType="begin"/>
        </w:r>
        <w:r>
          <w:instrText xml:space="preserve"> PAGE   \* MERGEFORMAT </w:instrText>
        </w:r>
        <w:r>
          <w:fldChar w:fldCharType="separate"/>
        </w:r>
        <w:r w:rsidR="00FC76F4">
          <w:rPr>
            <w:noProof/>
          </w:rPr>
          <w:t>13</w:t>
        </w:r>
        <w:r>
          <w:fldChar w:fldCharType="end"/>
        </w:r>
      </w:p>
    </w:sdtContent>
  </w:sdt>
  <w:p w14:paraId="2999E8AC" w14:textId="77777777" w:rsidR="0023462A" w:rsidRDefault="0023462A">
    <w:pPr>
      <w:pStyle w:val="FooterCouncil"/>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A2AA24" w14:textId="77777777" w:rsidR="0023462A" w:rsidRDefault="0023462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CD067D" w14:textId="77777777" w:rsidR="0023462A" w:rsidRDefault="0023462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4487020"/>
      <w:docPartObj>
        <w:docPartGallery w:val="Page Numbers (Bottom of Page)"/>
        <w:docPartUnique/>
      </w:docPartObj>
    </w:sdtPr>
    <w:sdtEndPr/>
    <w:sdtContent>
      <w:p w14:paraId="01B1ABB9" w14:textId="69904F6F" w:rsidR="0023462A" w:rsidRDefault="00A550FA">
        <w:pPr>
          <w:pStyle w:val="P68B1DB1-Footer92"/>
          <w:jc w:val="center"/>
        </w:pPr>
        <w:r>
          <w:fldChar w:fldCharType="begin"/>
        </w:r>
        <w:r>
          <w:instrText xml:space="preserve"> PAGE   \* MERGEFORMAT </w:instrText>
        </w:r>
        <w:r>
          <w:fldChar w:fldCharType="separate"/>
        </w:r>
        <w:r w:rsidR="00FC76F4">
          <w:rPr>
            <w:noProof/>
          </w:rPr>
          <w:t>14</w:t>
        </w:r>
        <w:r>
          <w:fldChar w:fldCharType="end"/>
        </w:r>
      </w:p>
    </w:sdtContent>
  </w:sdt>
  <w:p w14:paraId="0A8B4569" w14:textId="77777777" w:rsidR="0023462A" w:rsidRDefault="0023462A">
    <w:pPr>
      <w:pStyle w:val="FooterCouncil"/>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23803F" w14:textId="77777777" w:rsidR="0023462A" w:rsidRDefault="0023462A">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C8223F" w14:textId="77777777" w:rsidR="0023462A" w:rsidRDefault="0023462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9103720"/>
      <w:docPartObj>
        <w:docPartGallery w:val="Page Numbers (Bottom of Page)"/>
        <w:docPartUnique/>
      </w:docPartObj>
    </w:sdtPr>
    <w:sdtEndPr/>
    <w:sdtContent>
      <w:p w14:paraId="6222668A" w14:textId="665B2A2D" w:rsidR="0023462A" w:rsidRDefault="00A550FA">
        <w:pPr>
          <w:pStyle w:val="P68B1DB1-Footer92"/>
          <w:jc w:val="center"/>
        </w:pPr>
        <w:r>
          <w:fldChar w:fldCharType="begin"/>
        </w:r>
        <w:r>
          <w:instrText xml:space="preserve"> PAGE   \* MERGEFORMAT </w:instrText>
        </w:r>
        <w:r>
          <w:fldChar w:fldCharType="separate"/>
        </w:r>
        <w:r>
          <w:t>2</w:t>
        </w:r>
        <w:r>
          <w:fldChar w:fldCharType="end"/>
        </w:r>
      </w:p>
    </w:sdtContent>
  </w:sdt>
  <w:p w14:paraId="2CEAD93E" w14:textId="77777777" w:rsidR="0023462A" w:rsidRDefault="0023462A">
    <w:pPr>
      <w:pStyle w:val="FooterCouncil"/>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FDCB65" w14:textId="77777777" w:rsidR="0023462A" w:rsidRDefault="0023462A">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86473A" w14:textId="77777777" w:rsidR="0023462A" w:rsidRDefault="0023462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8617492"/>
      <w:docPartObj>
        <w:docPartGallery w:val="Page Numbers (Bottom of Page)"/>
        <w:docPartUnique/>
      </w:docPartObj>
    </w:sdtPr>
    <w:sdtEndPr/>
    <w:sdtContent>
      <w:p w14:paraId="09335846" w14:textId="20272290" w:rsidR="0023462A" w:rsidRDefault="00A550FA">
        <w:pPr>
          <w:pStyle w:val="P68B1DB1-Footer92"/>
          <w:jc w:val="center"/>
        </w:pPr>
        <w:r>
          <w:fldChar w:fldCharType="begin"/>
        </w:r>
        <w:r>
          <w:instrText xml:space="preserve"> PAGE   \* MERGEFORMAT </w:instrText>
        </w:r>
        <w:r>
          <w:fldChar w:fldCharType="separate"/>
        </w:r>
        <w:r>
          <w:t>2</w:t>
        </w:r>
        <w:r>
          <w:fldChar w:fldCharType="end"/>
        </w:r>
      </w:p>
    </w:sdtContent>
  </w:sdt>
  <w:p w14:paraId="708AB98C" w14:textId="77777777" w:rsidR="0023462A" w:rsidRDefault="0023462A">
    <w:pPr>
      <w:pStyle w:val="FooterCouncil"/>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BC376" w14:textId="77777777" w:rsidR="0023462A" w:rsidRDefault="0023462A">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277709"/>
      <w:docPartObj>
        <w:docPartGallery w:val="Page Numbers (Bottom of Page)"/>
        <w:docPartUnique/>
      </w:docPartObj>
    </w:sdtPr>
    <w:sdtEndPr/>
    <w:sdtContent>
      <w:p w14:paraId="20F0593F" w14:textId="7948D88E" w:rsidR="0023462A" w:rsidRDefault="00A550FA">
        <w:pPr>
          <w:pStyle w:val="P68B1DB1-Footer92"/>
          <w:jc w:val="center"/>
        </w:pPr>
        <w:r>
          <w:fldChar w:fldCharType="begin"/>
        </w:r>
        <w:r>
          <w:instrText xml:space="preserve"> PAGE   \* MERGEFORMAT </w:instrText>
        </w:r>
        <w:r>
          <w:fldChar w:fldCharType="separate"/>
        </w:r>
        <w:r>
          <w:t>2</w:t>
        </w:r>
        <w:r>
          <w:fldChar w:fldCharType="end"/>
        </w:r>
      </w:p>
    </w:sdtContent>
  </w:sdt>
  <w:p w14:paraId="165D2B01" w14:textId="77777777" w:rsidR="0023462A" w:rsidRDefault="0023462A">
    <w:pPr>
      <w:pStyle w:val="FooterCouncil"/>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3057110"/>
      <w:docPartObj>
        <w:docPartGallery w:val="Page Numbers (Bottom of Page)"/>
        <w:docPartUnique/>
      </w:docPartObj>
    </w:sdtPr>
    <w:sdtEndPr/>
    <w:sdtContent>
      <w:p w14:paraId="62A51DDE" w14:textId="7EE7D258" w:rsidR="0023462A" w:rsidRDefault="00A550FA">
        <w:pPr>
          <w:pStyle w:val="P68B1DB1-Footer92"/>
          <w:jc w:val="center"/>
        </w:pPr>
        <w:r>
          <w:fldChar w:fldCharType="begin"/>
        </w:r>
        <w:r>
          <w:instrText xml:space="preserve"> PAGE   \* MERGEFORMAT </w:instrText>
        </w:r>
        <w:r>
          <w:fldChar w:fldCharType="separate"/>
        </w:r>
        <w:r>
          <w:t>2</w:t>
        </w:r>
        <w:r>
          <w:fldChar w:fldCharType="end"/>
        </w:r>
      </w:p>
    </w:sdtContent>
  </w:sdt>
  <w:p w14:paraId="5216AB6E" w14:textId="77777777" w:rsidR="0023462A" w:rsidRDefault="0023462A">
    <w:pPr>
      <w:pStyle w:val="FooterCouncil"/>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0BA09F" w14:textId="77777777" w:rsidR="0023462A" w:rsidRDefault="0023462A">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6793951"/>
      <w:docPartObj>
        <w:docPartGallery w:val="Page Numbers (Bottom of Page)"/>
        <w:docPartUnique/>
      </w:docPartObj>
    </w:sdtPr>
    <w:sdtEndPr/>
    <w:sdtContent>
      <w:p w14:paraId="0FB50AAD" w14:textId="2EA6BF59" w:rsidR="0023462A" w:rsidRDefault="00A550FA">
        <w:pPr>
          <w:pStyle w:val="P68B1DB1-Footer92"/>
          <w:jc w:val="center"/>
        </w:pPr>
        <w:r>
          <w:fldChar w:fldCharType="begin"/>
        </w:r>
        <w:r>
          <w:instrText xml:space="preserve"> PAGE   \* MERGEFORMAT </w:instrText>
        </w:r>
        <w:r>
          <w:fldChar w:fldCharType="separate"/>
        </w:r>
        <w:r>
          <w:t>2</w:t>
        </w:r>
        <w:r>
          <w:fldChar w:fldCharType="end"/>
        </w:r>
      </w:p>
    </w:sdtContent>
  </w:sdt>
  <w:p w14:paraId="31381076" w14:textId="77777777" w:rsidR="0023462A" w:rsidRDefault="0023462A">
    <w:pPr>
      <w:pStyle w:val="FooterCouncil"/>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F4029" w14:textId="77777777" w:rsidR="0023462A" w:rsidRDefault="0023462A">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441A1" w14:textId="77777777" w:rsidR="0023462A" w:rsidRDefault="0023462A">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4348743"/>
      <w:docPartObj>
        <w:docPartGallery w:val="Page Numbers (Bottom of Page)"/>
        <w:docPartUnique/>
      </w:docPartObj>
    </w:sdtPr>
    <w:sdtEndPr/>
    <w:sdtContent>
      <w:p w14:paraId="3CCDE825" w14:textId="09F5B127" w:rsidR="0023462A" w:rsidRDefault="00A550FA">
        <w:pPr>
          <w:pStyle w:val="P68B1DB1-Footer92"/>
          <w:jc w:val="center"/>
        </w:pPr>
        <w:r>
          <w:fldChar w:fldCharType="begin"/>
        </w:r>
        <w:r>
          <w:instrText xml:space="preserve"> PAGE   \* MERGEFORMAT </w:instrText>
        </w:r>
        <w:r>
          <w:fldChar w:fldCharType="separate"/>
        </w:r>
        <w:r>
          <w:t>2</w:t>
        </w:r>
        <w:r>
          <w:fldChar w:fldCharType="end"/>
        </w:r>
      </w:p>
    </w:sdtContent>
  </w:sdt>
  <w:p w14:paraId="7274B692" w14:textId="77777777" w:rsidR="0023462A" w:rsidRDefault="0023462A">
    <w:pPr>
      <w:pStyle w:val="FooterCouncil"/>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0E632D" w14:textId="77777777" w:rsidR="0023462A" w:rsidRDefault="0023462A">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2965B6" w14:textId="77777777" w:rsidR="0023462A" w:rsidRDefault="0023462A">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867398"/>
      <w:docPartObj>
        <w:docPartGallery w:val="Page Numbers (Bottom of Page)"/>
        <w:docPartUnique/>
      </w:docPartObj>
    </w:sdtPr>
    <w:sdtEndPr/>
    <w:sdtContent>
      <w:p w14:paraId="471F9521" w14:textId="0E2D552C" w:rsidR="0023462A" w:rsidRDefault="00A550FA">
        <w:pPr>
          <w:pStyle w:val="P68B1DB1-Footer92"/>
          <w:jc w:val="center"/>
        </w:pPr>
        <w:r>
          <w:fldChar w:fldCharType="begin"/>
        </w:r>
        <w:r>
          <w:instrText xml:space="preserve"> PAGE   \* MERGEFORMAT </w:instrText>
        </w:r>
        <w:r>
          <w:fldChar w:fldCharType="separate"/>
        </w:r>
        <w:r>
          <w:t>2</w:t>
        </w:r>
        <w:r>
          <w:fldChar w:fldCharType="end"/>
        </w:r>
      </w:p>
    </w:sdtContent>
  </w:sdt>
  <w:p w14:paraId="56E78F37" w14:textId="77777777" w:rsidR="0023462A" w:rsidRDefault="0023462A">
    <w:pPr>
      <w:pStyle w:val="FooterCouncil"/>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0D5A6D" w14:textId="77777777" w:rsidR="0023462A" w:rsidRDefault="0023462A">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4124272"/>
      <w:docPartObj>
        <w:docPartGallery w:val="Page Numbers (Bottom of Page)"/>
        <w:docPartUnique/>
      </w:docPartObj>
    </w:sdtPr>
    <w:sdtEndPr/>
    <w:sdtContent>
      <w:p w14:paraId="07404D8C" w14:textId="106FE3C9" w:rsidR="0023462A" w:rsidRDefault="00A550FA">
        <w:pPr>
          <w:pStyle w:val="P68B1DB1-Footer92"/>
          <w:jc w:val="center"/>
        </w:pPr>
        <w:r>
          <w:fldChar w:fldCharType="begin"/>
        </w:r>
        <w:r>
          <w:instrText xml:space="preserve"> PAGE   \* MERGEFORMAT </w:instrText>
        </w:r>
        <w:r>
          <w:fldChar w:fldCharType="separate"/>
        </w:r>
        <w:r>
          <w:t>2</w:t>
        </w:r>
        <w:r>
          <w:fldChar w:fldCharType="end"/>
        </w:r>
      </w:p>
    </w:sdtContent>
  </w:sdt>
  <w:p w14:paraId="4D29CD5F" w14:textId="77777777" w:rsidR="0023462A" w:rsidRDefault="0023462A">
    <w:pPr>
      <w:pStyle w:val="FooterCouncil"/>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0234034"/>
      <w:docPartObj>
        <w:docPartGallery w:val="Page Numbers (Bottom of Page)"/>
        <w:docPartUnique/>
      </w:docPartObj>
    </w:sdtPr>
    <w:sdtEndPr/>
    <w:sdtContent>
      <w:p w14:paraId="4C2680FE" w14:textId="4A90B680" w:rsidR="0023462A" w:rsidRDefault="00A550FA">
        <w:pPr>
          <w:pStyle w:val="P68B1DB1-Footer92"/>
          <w:jc w:val="center"/>
        </w:pPr>
        <w:r>
          <w:fldChar w:fldCharType="begin"/>
        </w:r>
        <w:r>
          <w:instrText xml:space="preserve"> PAGE   \* MERGEFORMAT </w:instrText>
        </w:r>
        <w:r>
          <w:fldChar w:fldCharType="separate"/>
        </w:r>
        <w:r>
          <w:t>2</w:t>
        </w:r>
        <w:r>
          <w:fldChar w:fldCharType="end"/>
        </w:r>
      </w:p>
    </w:sdtContent>
  </w:sdt>
  <w:p w14:paraId="60F074B8" w14:textId="77777777" w:rsidR="0023462A" w:rsidRDefault="0023462A">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589208"/>
      <w:docPartObj>
        <w:docPartGallery w:val="Page Numbers (Bottom of Page)"/>
        <w:docPartUnique/>
      </w:docPartObj>
    </w:sdtPr>
    <w:sdtEndPr/>
    <w:sdtContent>
      <w:p w14:paraId="0CE10C64" w14:textId="71C3B96D" w:rsidR="0023462A" w:rsidRDefault="00A550FA">
        <w:pPr>
          <w:pStyle w:val="P68B1DB1-Footer92"/>
          <w:jc w:val="center"/>
        </w:pPr>
        <w:r>
          <w:fldChar w:fldCharType="begin"/>
        </w:r>
        <w:r>
          <w:instrText xml:space="preserve"> PAGE   \* MERGEFORMAT </w:instrText>
        </w:r>
        <w:r>
          <w:fldChar w:fldCharType="separate"/>
        </w:r>
        <w:r>
          <w:t>2</w:t>
        </w:r>
        <w:r>
          <w:fldChar w:fldCharType="end"/>
        </w:r>
      </w:p>
    </w:sdtContent>
  </w:sdt>
  <w:p w14:paraId="76B34760" w14:textId="77777777" w:rsidR="0023462A" w:rsidRDefault="0023462A">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0589463"/>
      <w:docPartObj>
        <w:docPartGallery w:val="Page Numbers (Bottom of Page)"/>
        <w:docPartUnique/>
      </w:docPartObj>
    </w:sdtPr>
    <w:sdtEndPr/>
    <w:sdtContent>
      <w:p w14:paraId="025F793B" w14:textId="540A699C" w:rsidR="0023462A" w:rsidRDefault="00A550FA">
        <w:pPr>
          <w:pStyle w:val="P68B1DB1-Footer92"/>
          <w:jc w:val="center"/>
        </w:pPr>
        <w:r>
          <w:fldChar w:fldCharType="begin"/>
        </w:r>
        <w:r>
          <w:instrText xml:space="preserve"> PAGE   \* MERGEFORMAT </w:instrText>
        </w:r>
        <w:r>
          <w:fldChar w:fldCharType="separate"/>
        </w:r>
        <w:r>
          <w:t>2</w:t>
        </w:r>
        <w:r>
          <w:fldChar w:fldCharType="end"/>
        </w:r>
      </w:p>
    </w:sdtContent>
  </w:sdt>
  <w:p w14:paraId="5DD619F6" w14:textId="77777777" w:rsidR="0023462A" w:rsidRDefault="0023462A">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7655540"/>
      <w:docPartObj>
        <w:docPartGallery w:val="Page Numbers (Bottom of Page)"/>
        <w:docPartUnique/>
      </w:docPartObj>
    </w:sdtPr>
    <w:sdtEndPr/>
    <w:sdtContent>
      <w:p w14:paraId="5795F818" w14:textId="3E28137D" w:rsidR="0023462A" w:rsidRDefault="00A550FA">
        <w:pPr>
          <w:pStyle w:val="P68B1DB1-Footer92"/>
          <w:jc w:val="center"/>
        </w:pPr>
        <w:r>
          <w:fldChar w:fldCharType="begin"/>
        </w:r>
        <w:r>
          <w:instrText xml:space="preserve"> PAGE   \* MERGEFORMAT </w:instrText>
        </w:r>
        <w:r>
          <w:fldChar w:fldCharType="separate"/>
        </w:r>
        <w:r>
          <w:t>2</w:t>
        </w:r>
        <w:r>
          <w:fldChar w:fldCharType="end"/>
        </w:r>
      </w:p>
    </w:sdtContent>
  </w:sdt>
  <w:p w14:paraId="1CCFD389" w14:textId="77777777" w:rsidR="0023462A" w:rsidRDefault="0023462A">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913142" w14:textId="77777777" w:rsidR="0023462A" w:rsidRDefault="0023462A">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2668845"/>
      <w:docPartObj>
        <w:docPartGallery w:val="Page Numbers (Bottom of Page)"/>
        <w:docPartUnique/>
      </w:docPartObj>
    </w:sdtPr>
    <w:sdtEndPr/>
    <w:sdtContent>
      <w:p w14:paraId="26C21827" w14:textId="5EC3DE48" w:rsidR="0023462A" w:rsidRDefault="00A550FA">
        <w:pPr>
          <w:pStyle w:val="P68B1DB1-Footer92"/>
          <w:jc w:val="center"/>
        </w:pPr>
        <w:r>
          <w:fldChar w:fldCharType="begin"/>
        </w:r>
        <w:r>
          <w:instrText xml:space="preserve"> PAGE   \* MERGEFORMAT </w:instrText>
        </w:r>
        <w:r>
          <w:fldChar w:fldCharType="separate"/>
        </w:r>
        <w:r>
          <w:t>2</w:t>
        </w:r>
        <w:r>
          <w:fldChar w:fldCharType="end"/>
        </w:r>
      </w:p>
    </w:sdtContent>
  </w:sdt>
  <w:p w14:paraId="69DE33D6" w14:textId="77777777" w:rsidR="0023462A" w:rsidRDefault="0023462A">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2ED619" w14:textId="77777777" w:rsidR="0023462A" w:rsidRDefault="0023462A">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6585956"/>
      <w:docPartObj>
        <w:docPartGallery w:val="Page Numbers (Bottom of Page)"/>
        <w:docPartUnique/>
      </w:docPartObj>
    </w:sdtPr>
    <w:sdtEndPr/>
    <w:sdtContent>
      <w:p w14:paraId="67F991D7" w14:textId="1E346182" w:rsidR="0023462A" w:rsidRDefault="00A550FA">
        <w:pPr>
          <w:pStyle w:val="P68B1DB1-Footer92"/>
          <w:jc w:val="center"/>
        </w:pPr>
        <w:r>
          <w:fldChar w:fldCharType="begin"/>
        </w:r>
        <w:r>
          <w:instrText xml:space="preserve"> PAGE   \* MERGEFORMAT </w:instrText>
        </w:r>
        <w:r>
          <w:fldChar w:fldCharType="separate"/>
        </w:r>
        <w:r>
          <w:t>2</w:t>
        </w:r>
        <w:r>
          <w:fldChar w:fldCharType="end"/>
        </w:r>
      </w:p>
    </w:sdtContent>
  </w:sdt>
  <w:p w14:paraId="0490AABF" w14:textId="77777777" w:rsidR="0023462A" w:rsidRDefault="0023462A">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2987996"/>
      <w:docPartObj>
        <w:docPartGallery w:val="Page Numbers (Bottom of Page)"/>
        <w:docPartUnique/>
      </w:docPartObj>
    </w:sdtPr>
    <w:sdtEndPr/>
    <w:sdtContent>
      <w:p w14:paraId="16F42704" w14:textId="43C913EC" w:rsidR="0023462A" w:rsidRDefault="00A550FA">
        <w:pPr>
          <w:pStyle w:val="P68B1DB1-Footer92"/>
          <w:jc w:val="center"/>
        </w:pPr>
        <w:r>
          <w:fldChar w:fldCharType="begin"/>
        </w:r>
        <w:r>
          <w:instrText xml:space="preserve"> PAGE   \* MERGEFORMAT </w:instrText>
        </w:r>
        <w:r>
          <w:fldChar w:fldCharType="separate"/>
        </w:r>
        <w:r>
          <w:t>2</w:t>
        </w:r>
        <w:r>
          <w:fldChar w:fldCharType="end"/>
        </w:r>
      </w:p>
    </w:sdtContent>
  </w:sdt>
  <w:p w14:paraId="3F74068F" w14:textId="77777777" w:rsidR="0023462A" w:rsidRDefault="0023462A">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693913"/>
      <w:docPartObj>
        <w:docPartGallery w:val="Page Numbers (Bottom of Page)"/>
        <w:docPartUnique/>
      </w:docPartObj>
    </w:sdtPr>
    <w:sdtEndPr/>
    <w:sdtContent>
      <w:p w14:paraId="0B8B9097" w14:textId="0A051B36" w:rsidR="0023462A" w:rsidRDefault="00A550FA">
        <w:pPr>
          <w:pStyle w:val="P68B1DB1-Footer92"/>
          <w:jc w:val="center"/>
        </w:pPr>
        <w:r>
          <w:fldChar w:fldCharType="begin"/>
        </w:r>
        <w:r>
          <w:instrText xml:space="preserve"> PAGE   \* MERGEFORMAT </w:instrText>
        </w:r>
        <w:r>
          <w:fldChar w:fldCharType="separate"/>
        </w:r>
        <w:r>
          <w:t>2</w:t>
        </w:r>
        <w:r>
          <w:fldChar w:fldCharType="end"/>
        </w:r>
      </w:p>
    </w:sdtContent>
  </w:sdt>
  <w:p w14:paraId="7918BF85" w14:textId="77777777" w:rsidR="0023462A" w:rsidRDefault="0023462A">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0875531"/>
      <w:docPartObj>
        <w:docPartGallery w:val="Page Numbers (Bottom of Page)"/>
        <w:docPartUnique/>
      </w:docPartObj>
    </w:sdtPr>
    <w:sdtEndPr/>
    <w:sdtContent>
      <w:p w14:paraId="2E60D39C" w14:textId="299C6729" w:rsidR="0023462A" w:rsidRDefault="00A550FA">
        <w:pPr>
          <w:pStyle w:val="P68B1DB1-Footer92"/>
          <w:jc w:val="center"/>
        </w:pPr>
        <w:r>
          <w:fldChar w:fldCharType="begin"/>
        </w:r>
        <w:r>
          <w:instrText xml:space="preserve"> PAGE   \* MERGEFORMAT </w:instrText>
        </w:r>
        <w:r>
          <w:fldChar w:fldCharType="separate"/>
        </w:r>
        <w:r>
          <w:t>2</w:t>
        </w:r>
        <w:r>
          <w:fldChar w:fldCharType="end"/>
        </w:r>
      </w:p>
    </w:sdtContent>
  </w:sdt>
  <w:p w14:paraId="38D8CBA7" w14:textId="77777777" w:rsidR="0023462A" w:rsidRDefault="0023462A">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7582322"/>
      <w:docPartObj>
        <w:docPartGallery w:val="Page Numbers (Bottom of Page)"/>
        <w:docPartUnique/>
      </w:docPartObj>
    </w:sdtPr>
    <w:sdtEndPr/>
    <w:sdtContent>
      <w:p w14:paraId="37DD961C" w14:textId="4F69786A" w:rsidR="0023462A" w:rsidRDefault="00A550FA">
        <w:pPr>
          <w:pStyle w:val="P68B1DB1-Footer92"/>
          <w:jc w:val="center"/>
        </w:pPr>
        <w:r>
          <w:fldChar w:fldCharType="begin"/>
        </w:r>
        <w:r>
          <w:instrText xml:space="preserve"> PAGE   \* MERGEFORMAT </w:instrText>
        </w:r>
        <w:r>
          <w:fldChar w:fldCharType="separate"/>
        </w:r>
        <w:r>
          <w:t>2</w:t>
        </w:r>
        <w:r>
          <w:fldChar w:fldCharType="end"/>
        </w:r>
      </w:p>
    </w:sdtContent>
  </w:sdt>
  <w:p w14:paraId="18406B69" w14:textId="77777777" w:rsidR="0023462A" w:rsidRDefault="0023462A">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2357962"/>
      <w:docPartObj>
        <w:docPartGallery w:val="Page Numbers (Bottom of Page)"/>
        <w:docPartUnique/>
      </w:docPartObj>
    </w:sdtPr>
    <w:sdtEndPr/>
    <w:sdtContent>
      <w:p w14:paraId="09840C55" w14:textId="03640734" w:rsidR="0023462A" w:rsidRDefault="00A550FA">
        <w:pPr>
          <w:pStyle w:val="P68B1DB1-Footer92"/>
          <w:jc w:val="center"/>
        </w:pPr>
        <w:r>
          <w:fldChar w:fldCharType="begin"/>
        </w:r>
        <w:r>
          <w:instrText xml:space="preserve"> PAGE   \* MERGEFORMAT </w:instrText>
        </w:r>
        <w:r>
          <w:fldChar w:fldCharType="separate"/>
        </w:r>
        <w:r>
          <w:t>2</w:t>
        </w:r>
        <w:r>
          <w:fldChar w:fldCharType="end"/>
        </w:r>
      </w:p>
    </w:sdtContent>
  </w:sdt>
  <w:p w14:paraId="7DE541E9" w14:textId="77777777" w:rsidR="0023462A" w:rsidRDefault="0023462A">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3319682"/>
      <w:docPartObj>
        <w:docPartGallery w:val="Page Numbers (Bottom of Page)"/>
        <w:docPartUnique/>
      </w:docPartObj>
    </w:sdtPr>
    <w:sdtEndPr/>
    <w:sdtContent>
      <w:p w14:paraId="5B27C19B" w14:textId="458DCE99" w:rsidR="0023462A" w:rsidRDefault="00A550FA">
        <w:pPr>
          <w:pStyle w:val="P68B1DB1-Footer92"/>
          <w:jc w:val="center"/>
        </w:pPr>
        <w:r>
          <w:fldChar w:fldCharType="begin"/>
        </w:r>
        <w:r>
          <w:instrText xml:space="preserve"> PAGE   \* MERGEFORMAT </w:instrText>
        </w:r>
        <w:r>
          <w:fldChar w:fldCharType="separate"/>
        </w:r>
        <w:r>
          <w:t>2</w:t>
        </w:r>
        <w:r>
          <w:fldChar w:fldCharType="end"/>
        </w:r>
      </w:p>
    </w:sdtContent>
  </w:sdt>
  <w:p w14:paraId="52713578" w14:textId="77777777" w:rsidR="0023462A" w:rsidRDefault="0023462A">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7910498"/>
      <w:docPartObj>
        <w:docPartGallery w:val="Page Numbers (Bottom of Page)"/>
        <w:docPartUnique/>
      </w:docPartObj>
    </w:sdtPr>
    <w:sdtEndPr/>
    <w:sdtContent>
      <w:p w14:paraId="294B985F" w14:textId="3184A853" w:rsidR="0023462A" w:rsidRDefault="00A550FA">
        <w:pPr>
          <w:pStyle w:val="P68B1DB1-Footer92"/>
          <w:jc w:val="center"/>
        </w:pPr>
        <w:r>
          <w:fldChar w:fldCharType="begin"/>
        </w:r>
        <w:r>
          <w:instrText xml:space="preserve"> PAGE   \* MERGEFORMAT </w:instrText>
        </w:r>
        <w:r>
          <w:fldChar w:fldCharType="separate"/>
        </w:r>
        <w:r>
          <w:t>2</w:t>
        </w:r>
        <w:r>
          <w:fldChar w:fldCharType="end"/>
        </w:r>
      </w:p>
    </w:sdtContent>
  </w:sdt>
  <w:p w14:paraId="424B9A4E" w14:textId="77777777" w:rsidR="0023462A" w:rsidRDefault="002346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A985B1" w14:textId="77777777" w:rsidR="0023462A" w:rsidRDefault="00A550FA">
      <w:pPr>
        <w:spacing w:after="0" w:line="240" w:lineRule="auto"/>
      </w:pPr>
      <w:r>
        <w:separator/>
      </w:r>
    </w:p>
  </w:footnote>
  <w:footnote w:type="continuationSeparator" w:id="0">
    <w:p w14:paraId="30FA13AD" w14:textId="77777777" w:rsidR="0023462A" w:rsidRDefault="00A550FA">
      <w:pPr>
        <w:spacing w:after="0" w:line="240" w:lineRule="auto"/>
      </w:pPr>
      <w:r>
        <w:continuationSeparator/>
      </w:r>
    </w:p>
  </w:footnote>
  <w:footnote w:type="continuationNotice" w:id="1">
    <w:p w14:paraId="79225923" w14:textId="77777777" w:rsidR="0023462A" w:rsidRDefault="0023462A">
      <w:pPr>
        <w:spacing w:after="0" w:line="240" w:lineRule="auto"/>
      </w:pPr>
    </w:p>
  </w:footnote>
  <w:footnote w:id="2">
    <w:p w14:paraId="3485FED4" w14:textId="77777777" w:rsidR="0023462A" w:rsidRDefault="00A550FA">
      <w:pPr>
        <w:pStyle w:val="FootnoteText"/>
        <w:ind w:left="0" w:firstLine="0"/>
        <w:jc w:val="both"/>
        <w:rPr>
          <w:rFonts w:ascii="Times New Roman" w:eastAsia="Times New Roman" w:hAnsi="Times New Roman" w:cs="Times New Roman"/>
          <w:sz w:val="18"/>
          <w:szCs w:val="18"/>
        </w:rPr>
      </w:pPr>
      <w:r>
        <w:rPr>
          <w:rStyle w:val="FootnoteReference"/>
          <w:rFonts w:ascii="Times New Roman" w:hAnsi="Times New Roman" w:cs="Times New Roman"/>
          <w:b w:val="0"/>
          <w:sz w:val="18"/>
          <w:szCs w:val="18"/>
        </w:rPr>
        <w:footnoteRef/>
      </w:r>
      <w:r>
        <w:rPr>
          <w:rFonts w:ascii="Times New Roman" w:hAnsi="Times New Roman" w:cs="Times New Roman"/>
          <w:b/>
          <w:sz w:val="18"/>
          <w:szCs w:val="18"/>
        </w:rPr>
        <w:t xml:space="preserve"> </w:t>
      </w:r>
      <w:r>
        <w:rPr>
          <w:rFonts w:ascii="Times New Roman" w:hAnsi="Times New Roman" w:cs="Times New Roman"/>
          <w:sz w:val="18"/>
          <w:szCs w:val="18"/>
        </w:rPr>
        <w:t>À l’exception a) des actifs et activités de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des activités et actifs visés au point ii) pour lesquels l’utilisation de combustibles fossiles est temporaire et techniquement inévitable en vue de la transition en temps utile vers une exploitation sans combustibles fossiles.</w:t>
      </w:r>
    </w:p>
  </w:footnote>
  <w:footnote w:id="3">
    <w:p w14:paraId="138DE659" w14:textId="77777777" w:rsidR="0023462A" w:rsidRDefault="00A550FA">
      <w:pPr>
        <w:pStyle w:val="FootnoteText"/>
        <w:ind w:left="0" w:firstLine="0"/>
        <w:jc w:val="both"/>
        <w:rPr>
          <w:rFonts w:ascii="Times New Roman" w:eastAsia="EC Square Sans Pro" w:hAnsi="Times New Roman" w:cs="Times New Roman"/>
          <w:sz w:val="18"/>
          <w:szCs w:val="18"/>
        </w:rPr>
      </w:pPr>
      <w:r>
        <w:rPr>
          <w:rStyle w:val="FootnoteReference"/>
          <w:rFonts w:ascii="Times New Roman" w:hAnsi="Times New Roman" w:cs="Times New Roman"/>
          <w:b w:val="0"/>
          <w:sz w:val="18"/>
          <w:szCs w:val="18"/>
        </w:rPr>
        <w:footnoteRef/>
      </w:r>
      <w:r>
        <w:rPr>
          <w:rFonts w:ascii="Times New Roman" w:hAnsi="Times New Roman" w:cs="Times New Roman"/>
          <w:b/>
          <w:sz w:val="18"/>
          <w:szCs w:val="18"/>
        </w:rPr>
        <w:t xml:space="preserve"> </w:t>
      </w:r>
      <w:r>
        <w:rPr>
          <w:rFonts w:ascii="Times New Roman" w:hAnsi="Times New Roman" w:cs="Times New Roman"/>
          <w:sz w:val="18"/>
          <w:szCs w:val="18"/>
        </w:rPr>
        <w:t>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2021/447 de la Commission. </w:t>
      </w:r>
    </w:p>
  </w:footnote>
  <w:footnote w:id="4">
    <w:p w14:paraId="45CA98AB" w14:textId="77777777" w:rsidR="0023462A" w:rsidRDefault="00A550FA">
      <w:pPr>
        <w:pStyle w:val="FootnoteText"/>
        <w:ind w:left="0" w:firstLine="0"/>
        <w:jc w:val="both"/>
        <w:rPr>
          <w:rFonts w:ascii="Times New Roman" w:eastAsia="Yu Mincho" w:hAnsi="Times New Roman" w:cs="Times New Roman"/>
          <w:sz w:val="18"/>
          <w:szCs w:val="18"/>
        </w:rPr>
      </w:pPr>
      <w:r>
        <w:rPr>
          <w:rStyle w:val="FootnoteReference"/>
          <w:rFonts w:ascii="Times New Roman" w:hAnsi="Times New Roman" w:cs="Times New Roman"/>
          <w:b w:val="0"/>
          <w:sz w:val="18"/>
          <w:szCs w:val="18"/>
        </w:rPr>
        <w:footnoteRef/>
      </w:r>
      <w:r>
        <w:rPr>
          <w:rFonts w:ascii="Times New Roman" w:hAnsi="Times New Roman" w:cs="Times New Roman"/>
          <w:sz w:val="18"/>
          <w:szCs w:val="18"/>
        </w:rPr>
        <w:t xml:space="preserve"> Cette exclusion ne s’applique pas aux actions au titre de la présente mesure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 </w:t>
      </w:r>
    </w:p>
  </w:footnote>
  <w:footnote w:id="5">
    <w:p w14:paraId="084FC063" w14:textId="77777777" w:rsidR="0023462A" w:rsidRDefault="00A550FA">
      <w:pPr>
        <w:pStyle w:val="FootnoteText"/>
        <w:ind w:left="0" w:firstLine="0"/>
        <w:jc w:val="both"/>
      </w:pPr>
      <w:r>
        <w:rPr>
          <w:rStyle w:val="FootnoteReference"/>
          <w:rFonts w:ascii="Times New Roman" w:hAnsi="Times New Roman" w:cs="Times New Roman"/>
          <w:b w:val="0"/>
          <w:sz w:val="18"/>
          <w:szCs w:val="18"/>
        </w:rPr>
        <w:footnoteRef/>
      </w:r>
      <w:r>
        <w:t xml:space="preserve"> </w:t>
      </w:r>
      <w:r>
        <w:rPr>
          <w:rFonts w:ascii="Times New Roman" w:hAnsi="Times New Roman" w:cs="Times New Roman"/>
          <w:sz w:val="18"/>
          <w:szCs w:val="18"/>
        </w:rPr>
        <w:t>Cette exclusion ne s’applique pas aux actions au titre de la présente mesure dans les installations de traitement biologique mécanique existantes, lorsque les actions au titre de la présente mesure visent à accroître l’efficacité énergétique ou à adapter les opérations de recyclage des déchets séparés au compostage des biodéchets et à la digestion anaérobie des biodéchets,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r>
        <w:t> </w:t>
      </w:r>
    </w:p>
  </w:footnote>
  <w:footnote w:id="6">
    <w:p w14:paraId="1D367662" w14:textId="4909308F" w:rsidR="0023462A" w:rsidRDefault="00A550FA">
      <w:pPr>
        <w:pStyle w:val="FootnoteText"/>
        <w:ind w:left="0" w:firstLine="0"/>
        <w:jc w:val="both"/>
        <w:rPr>
          <w:rFonts w:ascii="Times New Roman" w:hAnsi="Times New Roman" w:cs="Times New Roman"/>
          <w:sz w:val="18"/>
          <w:szCs w:val="18"/>
        </w:rPr>
      </w:pPr>
      <w:r>
        <w:rPr>
          <w:rStyle w:val="FootnoteReference"/>
          <w:rFonts w:ascii="Times New Roman" w:hAnsi="Times New Roman" w:cs="Times New Roman"/>
          <w:b w:val="0"/>
          <w:sz w:val="18"/>
          <w:szCs w:val="18"/>
        </w:rPr>
        <w:footnoteRef/>
      </w:r>
      <w:r>
        <w:rPr>
          <w:rFonts w:ascii="Times New Roman" w:hAnsi="Times New Roman" w:cs="Times New Roman"/>
          <w:sz w:val="18"/>
          <w:szCs w:val="18"/>
        </w:rPr>
        <w:t xml:space="preserve"> Les bénéficiaires finaux associés à des projets spécifiques sont tenus de fournir une justification du champ d’intervention sélectionné pour chaque projet soutenu, ainsi qu’une description du projet, aux fins du calcul de la contribution climatique. Aux fins du calcul de la contribution climatique, les bénéficiaires finaux de fonds propres, de quasi-fonds propres, d’obligations d’entreprises ou d’instruments équivalents non ciblés sur des projets spécifiques fournissent une justification pour le ou les domaines d’intervention sélectionnés. Le partenaire chargé de la mise en œuvre est également tenu de fournir à l’État membre un rapport semestriel sur la mise en œuvre de chaque projet/activité.</w:t>
      </w:r>
    </w:p>
  </w:footnote>
  <w:footnote w:id="7">
    <w:p w14:paraId="4D685382" w14:textId="77777777" w:rsidR="0023462A" w:rsidRDefault="00A550FA">
      <w:pPr>
        <w:pStyle w:val="FootnoteText"/>
        <w:ind w:left="0" w:firstLine="0"/>
        <w:jc w:val="both"/>
        <w:rPr>
          <w:rFonts w:ascii="Times New Roman" w:hAnsi="Times New Roman" w:cs="Times New Roman"/>
          <w:sz w:val="18"/>
          <w:szCs w:val="18"/>
        </w:rPr>
      </w:pPr>
      <w:r>
        <w:rPr>
          <w:rStyle w:val="FootnoteReference"/>
          <w:rFonts w:ascii="Times New Roman" w:hAnsi="Times New Roman" w:cs="Times New Roman"/>
          <w:b w:val="0"/>
          <w:sz w:val="18"/>
          <w:szCs w:val="18"/>
        </w:rPr>
        <w:footnoteRef/>
      </w:r>
      <w:r>
        <w:rPr>
          <w:rFonts w:ascii="Times New Roman" w:hAnsi="Times New Roman" w:cs="Times New Roman"/>
          <w:sz w:val="18"/>
          <w:szCs w:val="18"/>
        </w:rPr>
        <w:t xml:space="preserve"> À l’exception a) des actifs et activités de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des activités et actifs visés au point ii) pour lesquels l’utilisation de combustibles fossiles est temporaire et techniquement inévitable pour la transition en temps utile vers une exploitation sans combustibles fossiles.</w:t>
      </w:r>
    </w:p>
  </w:footnote>
  <w:footnote w:id="8">
    <w:p w14:paraId="36588E20" w14:textId="77777777" w:rsidR="0023462A" w:rsidRDefault="00A550FA">
      <w:pPr>
        <w:pStyle w:val="FootnoteText"/>
        <w:ind w:left="0" w:firstLine="0"/>
        <w:jc w:val="both"/>
        <w:rPr>
          <w:rFonts w:ascii="Times New Roman" w:hAnsi="Times New Roman" w:cs="Times New Roman"/>
          <w:sz w:val="18"/>
          <w:szCs w:val="16"/>
        </w:rPr>
      </w:pPr>
      <w:r>
        <w:rPr>
          <w:rStyle w:val="FootnoteReference"/>
          <w:rFonts w:ascii="Times New Roman" w:hAnsi="Times New Roman" w:cs="Times New Roman"/>
          <w:b w:val="0"/>
          <w:sz w:val="18"/>
          <w:szCs w:val="16"/>
        </w:rPr>
        <w:footnoteRef/>
      </w:r>
      <w:r>
        <w:rPr>
          <w:rFonts w:ascii="Times New Roman" w:hAnsi="Times New Roman" w:cs="Times New Roman"/>
          <w:sz w:val="18"/>
          <w:szCs w:val="16"/>
        </w:rPr>
        <w:t xml:space="preserve"> 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9">
    <w:p w14:paraId="7E512AAD" w14:textId="77777777" w:rsidR="0023462A" w:rsidRDefault="00A550FA">
      <w:pPr>
        <w:pStyle w:val="FootnoteText"/>
        <w:ind w:left="0" w:firstLine="0"/>
        <w:jc w:val="both"/>
        <w:rPr>
          <w:rFonts w:ascii="Times New Roman" w:hAnsi="Times New Roman" w:cs="Times New Roman"/>
          <w:sz w:val="18"/>
          <w:szCs w:val="16"/>
        </w:rPr>
      </w:pPr>
      <w:r>
        <w:rPr>
          <w:rStyle w:val="FootnoteReference"/>
          <w:rFonts w:ascii="Times New Roman" w:hAnsi="Times New Roman" w:cs="Times New Roman"/>
          <w:b w:val="0"/>
          <w:sz w:val="18"/>
          <w:szCs w:val="16"/>
        </w:rPr>
        <w:footnoteRef/>
      </w:r>
      <w:r>
        <w:rPr>
          <w:rFonts w:ascii="Times New Roman" w:hAnsi="Times New Roman" w:cs="Times New Roman"/>
          <w:sz w:val="18"/>
          <w:szCs w:val="16"/>
        </w:rPr>
        <w:t xml:space="preserve"> Cette exclusion ne s’applique pas aux actions au titre de la présente mesure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10">
    <w:p w14:paraId="0ADF32E0" w14:textId="77777777" w:rsidR="0023462A" w:rsidRDefault="00A550FA">
      <w:pPr>
        <w:pStyle w:val="FootnoteText"/>
        <w:ind w:left="0" w:firstLine="0"/>
        <w:jc w:val="both"/>
        <w:rPr>
          <w:sz w:val="18"/>
          <w:szCs w:val="16"/>
        </w:rPr>
      </w:pPr>
      <w:r>
        <w:rPr>
          <w:rStyle w:val="FootnoteReference"/>
          <w:rFonts w:ascii="Times New Roman" w:hAnsi="Times New Roman" w:cs="Times New Roman"/>
          <w:b w:val="0"/>
          <w:sz w:val="18"/>
          <w:szCs w:val="16"/>
        </w:rPr>
        <w:footnoteRef/>
      </w:r>
      <w:r>
        <w:rPr>
          <w:rFonts w:ascii="Times New Roman" w:hAnsi="Times New Roman" w:cs="Times New Roman"/>
          <w:sz w:val="18"/>
          <w:szCs w:val="16"/>
        </w:rPr>
        <w:t xml:space="preserve"> Cette exclusion ne s’applique pas aux actions au titre de la présente mesure dans les installations de traitement biologique mécanique existantes, lorsque les actions au titre de la présente mesure visent à accroître l’efficacité énergétique ou à adapter les opérations de recyclage des déchets séparés au compostage des biodéchets et à la digestion anaérobie des biodéchets,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11">
    <w:p w14:paraId="0A71CBEC" w14:textId="77777777" w:rsidR="0023462A" w:rsidRDefault="00A550FA">
      <w:pPr>
        <w:pStyle w:val="FootnoteText"/>
        <w:ind w:left="0" w:firstLine="0"/>
        <w:jc w:val="both"/>
        <w:rPr>
          <w:rFonts w:ascii="Times New Roman" w:hAnsi="Times New Roman" w:cs="Times New Roman"/>
          <w:sz w:val="18"/>
          <w:szCs w:val="18"/>
        </w:rPr>
      </w:pPr>
      <w:r>
        <w:rPr>
          <w:rStyle w:val="FootnoteReference"/>
          <w:rFonts w:ascii="Times New Roman" w:hAnsi="Times New Roman" w:cs="Times New Roman"/>
          <w:b w:val="0"/>
          <w:sz w:val="18"/>
          <w:szCs w:val="18"/>
        </w:rPr>
        <w:footnoteRef/>
      </w:r>
      <w:r>
        <w:rPr>
          <w:rFonts w:ascii="Times New Roman" w:hAnsi="Times New Roman" w:cs="Times New Roman"/>
          <w:sz w:val="18"/>
          <w:szCs w:val="18"/>
        </w:rPr>
        <w:t xml:space="preserve"> Procédure au titre de l’article 6 du règlement (UE, Euratom) 2020/2092 relatif à un régime général de conditionnalité pour la protection du budget de l’Union.</w:t>
      </w:r>
    </w:p>
  </w:footnote>
  <w:footnote w:id="12">
    <w:p w14:paraId="4AA8E125" w14:textId="382ABE69" w:rsidR="0023462A" w:rsidRDefault="00A550FA">
      <w:pPr>
        <w:pStyle w:val="FootnoteText"/>
        <w:ind w:left="0" w:firstLine="0"/>
        <w:jc w:val="both"/>
        <w:rPr>
          <w:sz w:val="18"/>
          <w:szCs w:val="18"/>
        </w:rPr>
      </w:pPr>
      <w:r>
        <w:rPr>
          <w:rStyle w:val="FootnoteReference"/>
          <w:rFonts w:ascii="Times New Roman" w:hAnsi="Times New Roman" w:cs="Times New Roman"/>
          <w:b w:val="0"/>
          <w:sz w:val="18"/>
          <w:szCs w:val="18"/>
        </w:rPr>
        <w:footnoteRef/>
      </w:r>
      <w:r>
        <w:rPr>
          <w:rFonts w:ascii="Times New Roman" w:hAnsi="Times New Roman" w:cs="Times New Roman"/>
          <w:sz w:val="18"/>
          <w:szCs w:val="18"/>
        </w:rPr>
        <w:t xml:space="preserve"> Tel est le cas pour les jalons 54, 55, 57, 58, 59, 62, 63, 66, 68, 69, 71, 72, 73, 74, 75, 76, 77, 78, 79, 80, 81, 82, 83, 84.</w:t>
      </w:r>
    </w:p>
  </w:footnote>
  <w:footnote w:id="13">
    <w:p w14:paraId="5F534C8D" w14:textId="77777777" w:rsidR="0023462A" w:rsidRDefault="00A550FA">
      <w:pPr>
        <w:pStyle w:val="FootnoteText"/>
        <w:ind w:left="0" w:firstLine="0"/>
        <w:jc w:val="both"/>
        <w:rPr>
          <w:rFonts w:ascii="Times New Roman" w:eastAsia="Times New Roman" w:hAnsi="Times New Roman" w:cs="Times New Roman"/>
          <w:sz w:val="18"/>
          <w:szCs w:val="18"/>
        </w:rPr>
      </w:pPr>
      <w:r>
        <w:rPr>
          <w:rStyle w:val="FootnoteReference"/>
          <w:rFonts w:ascii="Times New Roman" w:hAnsi="Times New Roman" w:cs="Times New Roman"/>
          <w:b w:val="0"/>
          <w:sz w:val="18"/>
          <w:szCs w:val="18"/>
        </w:rPr>
        <w:footnoteRef/>
      </w:r>
      <w:r>
        <w:rPr>
          <w:rFonts w:ascii="Times New Roman" w:hAnsi="Times New Roman" w:cs="Times New Roman"/>
          <w:sz w:val="18"/>
          <w:szCs w:val="18"/>
        </w:rPr>
        <w:t xml:space="preserve"> À l’exception a) des actifs et activités de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des activités et actifs visés au point ii) pour lesquels l’utilisation de combustibles fossiles est temporaire et techniquement inévitable en vue de la transition en temps utile vers une exploitation sans combustibles fossiles.</w:t>
      </w:r>
    </w:p>
  </w:footnote>
  <w:footnote w:id="14">
    <w:p w14:paraId="19AC9F4E" w14:textId="77777777" w:rsidR="0023462A" w:rsidRDefault="00A550FA">
      <w:pPr>
        <w:pStyle w:val="FootnoteText"/>
        <w:ind w:left="0" w:firstLine="0"/>
        <w:jc w:val="both"/>
        <w:rPr>
          <w:rFonts w:ascii="Times New Roman" w:eastAsia="EC Square Sans Pro" w:hAnsi="Times New Roman" w:cs="Times New Roman"/>
          <w:sz w:val="18"/>
          <w:szCs w:val="18"/>
        </w:rPr>
      </w:pPr>
      <w:r>
        <w:rPr>
          <w:rStyle w:val="FootnoteReference"/>
          <w:rFonts w:ascii="Times New Roman" w:hAnsi="Times New Roman" w:cs="Times New Roman"/>
          <w:b w:val="0"/>
          <w:sz w:val="18"/>
          <w:szCs w:val="18"/>
        </w:rPr>
        <w:footnoteRef/>
      </w:r>
      <w:r>
        <w:rPr>
          <w:sz w:val="18"/>
          <w:szCs w:val="18"/>
        </w:rPr>
        <w:t xml:space="preserve"> </w:t>
      </w:r>
      <w:r>
        <w:rPr>
          <w:rFonts w:ascii="Times New Roman" w:hAnsi="Times New Roman" w:cs="Times New Roman"/>
          <w:sz w:val="18"/>
          <w:szCs w:val="18"/>
        </w:rPr>
        <w:t>Lorsque l’activité soutenue atteint des émissions de gaz à effet de serre projetées qui ne sont pas sensiblement inférieures aux référentiels applicables, une explication des raisons pour lesquelles cela n’est pas possible est fournie.</w:t>
      </w:r>
      <w:r>
        <w:rPr>
          <w:sz w:val="18"/>
          <w:szCs w:val="18"/>
        </w:rPr>
        <w:t xml:space="preserve"> </w:t>
      </w:r>
      <w:r>
        <w:rPr>
          <w:rFonts w:ascii="Times New Roman" w:hAnsi="Times New Roman" w:cs="Times New Roman"/>
          <w:sz w:val="18"/>
          <w:szCs w:val="18"/>
        </w:rPr>
        <w:t xml:space="preserve"> Indices de référence établis pour l’allocation de quotas à titre gratuit pour les activités relevant du champ d’application du système d’échange de quotas d’émission, tels que définis dans le règlement d’exécution (UE) 2021/447 de la Commission. </w:t>
      </w:r>
    </w:p>
  </w:footnote>
  <w:footnote w:id="15">
    <w:p w14:paraId="0E684443" w14:textId="77777777" w:rsidR="0023462A" w:rsidRDefault="00A550FA">
      <w:pPr>
        <w:pStyle w:val="FootnoteText"/>
        <w:ind w:left="0" w:firstLine="0"/>
        <w:jc w:val="both"/>
        <w:rPr>
          <w:rFonts w:ascii="Times New Roman" w:hAnsi="Times New Roman" w:cs="Times New Roman"/>
          <w:sz w:val="18"/>
          <w:szCs w:val="18"/>
        </w:rPr>
      </w:pPr>
      <w:r>
        <w:rPr>
          <w:rStyle w:val="FootnoteReference"/>
          <w:rFonts w:ascii="Times New Roman" w:hAnsi="Times New Roman" w:cs="Times New Roman"/>
          <w:b w:val="0"/>
          <w:sz w:val="18"/>
          <w:szCs w:val="18"/>
        </w:rPr>
        <w:footnoteRef/>
      </w:r>
      <w:r>
        <w:rPr>
          <w:rFonts w:ascii="Times New Roman" w:hAnsi="Times New Roman" w:cs="Times New Roman"/>
          <w:b/>
          <w:sz w:val="18"/>
          <w:szCs w:val="18"/>
        </w:rPr>
        <w:t xml:space="preserve"> </w:t>
      </w:r>
      <w:r>
        <w:rPr>
          <w:rFonts w:ascii="Times New Roman" w:hAnsi="Times New Roman" w:cs="Times New Roman"/>
          <w:sz w:val="18"/>
          <w:szCs w:val="18"/>
        </w:rPr>
        <w:t>Cette exclusion ne s’applique pas aux actions au titre de la présente mesure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 </w:t>
      </w:r>
    </w:p>
  </w:footnote>
  <w:footnote w:id="16">
    <w:p w14:paraId="510F7869" w14:textId="77777777" w:rsidR="0023462A" w:rsidRDefault="00A550FA">
      <w:pPr>
        <w:pStyle w:val="FootnoteText"/>
        <w:ind w:left="0" w:firstLine="0"/>
        <w:jc w:val="both"/>
        <w:rPr>
          <w:rFonts w:ascii="Times New Roman" w:hAnsi="Times New Roman" w:cs="Times New Roman"/>
          <w:sz w:val="18"/>
          <w:szCs w:val="18"/>
        </w:rPr>
      </w:pPr>
      <w:r>
        <w:rPr>
          <w:rStyle w:val="FootnoteReference"/>
          <w:rFonts w:ascii="Times New Roman" w:hAnsi="Times New Roman" w:cs="Times New Roman"/>
          <w:b w:val="0"/>
          <w:sz w:val="18"/>
          <w:szCs w:val="18"/>
        </w:rPr>
        <w:footnoteRef/>
      </w:r>
      <w:r>
        <w:rPr>
          <w:rFonts w:ascii="Times New Roman" w:hAnsi="Times New Roman" w:cs="Times New Roman"/>
          <w:b/>
          <w:sz w:val="18"/>
          <w:szCs w:val="18"/>
        </w:rPr>
        <w:t xml:space="preserve"> </w:t>
      </w:r>
      <w:r>
        <w:rPr>
          <w:rFonts w:ascii="Times New Roman" w:hAnsi="Times New Roman" w:cs="Times New Roman"/>
          <w:sz w:val="18"/>
          <w:szCs w:val="18"/>
        </w:rPr>
        <w:t>Cette exclusion ne s’applique pas aux actions au titre de la présente mesure dans les installations de traitement biologique mécanique existantes, lorsque les actions au titre de la présente mesure visent à accroître l’efficacité énergétique ou à adapter les opérations de recyclage des déchets séparés au compostage des biodéchets et à la digestion anaérobie des biodéchets,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 </w:t>
      </w:r>
    </w:p>
  </w:footnote>
  <w:footnote w:id="17">
    <w:p w14:paraId="598B2537" w14:textId="77777777" w:rsidR="0023462A" w:rsidRDefault="00A550FA">
      <w:pPr>
        <w:pStyle w:val="FootnoteText"/>
        <w:ind w:left="0" w:firstLine="0"/>
        <w:jc w:val="both"/>
      </w:pPr>
      <w:r>
        <w:rPr>
          <w:rStyle w:val="FootnoteReference"/>
          <w:rFonts w:ascii="Times New Roman" w:hAnsi="Times New Roman" w:cs="Times New Roman"/>
          <w:b w:val="0"/>
          <w:sz w:val="18"/>
          <w:szCs w:val="18"/>
        </w:rPr>
        <w:footnoteRef/>
      </w:r>
      <w:r>
        <w:rPr>
          <w:rFonts w:ascii="Times New Roman" w:hAnsi="Times New Roman" w:cs="Times New Roman"/>
          <w:sz w:val="18"/>
          <w:szCs w:val="18"/>
        </w:rPr>
        <w:t xml:space="preserve"> Les bénéficiaires finaux associés à des projets spécifiques sont tenus de fournir une justification du champ d’intervention sélectionné pour chaque projet soutenu, ainsi qu’une description du projet, aux fins du calcul de la contribution climatique. Le partenaire chargé de la mise en œuvre est également tenu de fournir à l’État membre un rapport semestriel sur la mise en œuvre de chaque projet/activité.</w:t>
      </w:r>
    </w:p>
  </w:footnote>
  <w:footnote w:id="18">
    <w:p w14:paraId="713E144A" w14:textId="77777777" w:rsidR="0023462A" w:rsidRDefault="00A550FA">
      <w:pPr>
        <w:pStyle w:val="FootnoteText"/>
        <w:ind w:left="0" w:firstLine="0"/>
        <w:jc w:val="both"/>
        <w:rPr>
          <w:rFonts w:ascii="Times New Roman" w:eastAsia="Times New Roman" w:hAnsi="Times New Roman" w:cs="Times New Roman"/>
          <w:sz w:val="18"/>
          <w:szCs w:val="18"/>
        </w:rPr>
      </w:pPr>
      <w:r>
        <w:rPr>
          <w:rStyle w:val="FootnoteReference"/>
          <w:rFonts w:ascii="Times New Roman" w:hAnsi="Times New Roman" w:cs="Times New Roman"/>
          <w:b w:val="0"/>
          <w:sz w:val="18"/>
          <w:szCs w:val="18"/>
        </w:rPr>
        <w:footnoteRef/>
      </w:r>
      <w:r>
        <w:rPr>
          <w:rFonts w:ascii="Times New Roman" w:hAnsi="Times New Roman" w:cs="Times New Roman"/>
          <w:b/>
          <w:sz w:val="18"/>
          <w:szCs w:val="18"/>
        </w:rPr>
        <w:t xml:space="preserve"> </w:t>
      </w:r>
      <w:r>
        <w:rPr>
          <w:rFonts w:ascii="Times New Roman" w:eastAsia="Times New Roman" w:hAnsi="Times New Roman" w:cs="Times New Roman"/>
          <w:sz w:val="18"/>
          <w:szCs w:val="18"/>
        </w:rPr>
        <w:t>À l’exception a) des actifs et activités de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des activités et actifs visés au point ii) pour lesquels l’utilisation de combustibles fossiles est temporaire et techniquement inévitable pour la transition en temps utile vers une exploitation sans combustibles fossiles.</w:t>
      </w:r>
    </w:p>
  </w:footnote>
  <w:footnote w:id="19">
    <w:p w14:paraId="759D5324" w14:textId="77777777" w:rsidR="0023462A" w:rsidRDefault="00A550FA">
      <w:pPr>
        <w:pStyle w:val="FootnoteText"/>
        <w:ind w:left="0" w:firstLine="0"/>
        <w:jc w:val="both"/>
        <w:rPr>
          <w:rFonts w:ascii="Times New Roman" w:eastAsia="EC Square Sans Pro" w:hAnsi="Times New Roman" w:cs="Times New Roman"/>
          <w:sz w:val="18"/>
          <w:szCs w:val="18"/>
        </w:rPr>
      </w:pPr>
      <w:r>
        <w:rPr>
          <w:rStyle w:val="FootnoteReference"/>
          <w:rFonts w:ascii="Times New Roman" w:hAnsi="Times New Roman" w:cs="Times New Roman"/>
          <w:b w:val="0"/>
          <w:sz w:val="18"/>
          <w:szCs w:val="18"/>
        </w:rPr>
        <w:footnoteRef/>
      </w:r>
      <w:r>
        <w:rPr>
          <w:rFonts w:ascii="Times New Roman" w:hAnsi="Times New Roman" w:cs="Times New Roman"/>
          <w:b/>
          <w:sz w:val="18"/>
          <w:szCs w:val="18"/>
        </w:rPr>
        <w:t xml:space="preserve"> </w:t>
      </w:r>
      <w:r>
        <w:rPr>
          <w:rFonts w:ascii="Times New Roman" w:eastAsia="EC Square Sans Pro" w:hAnsi="Times New Roman" w:cs="Times New Roman"/>
          <w:sz w:val="18"/>
          <w:szCs w:val="18"/>
        </w:rPr>
        <w:t>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2021/447 de la Commission. </w:t>
      </w:r>
    </w:p>
  </w:footnote>
  <w:footnote w:id="20">
    <w:p w14:paraId="2F8B7A73" w14:textId="77777777" w:rsidR="0023462A" w:rsidRDefault="00A550FA">
      <w:pPr>
        <w:pStyle w:val="FootnoteText"/>
        <w:ind w:left="0" w:firstLine="0"/>
        <w:jc w:val="both"/>
        <w:rPr>
          <w:rFonts w:ascii="Times New Roman" w:hAnsi="Times New Roman" w:cs="Times New Roman"/>
          <w:sz w:val="18"/>
          <w:szCs w:val="18"/>
        </w:rPr>
      </w:pPr>
      <w:r>
        <w:rPr>
          <w:rStyle w:val="FootnoteReference"/>
          <w:rFonts w:ascii="Times New Roman" w:hAnsi="Times New Roman" w:cs="Times New Roman"/>
          <w:b w:val="0"/>
          <w:sz w:val="18"/>
          <w:szCs w:val="18"/>
        </w:rPr>
        <w:footnoteRef/>
      </w:r>
      <w:r>
        <w:rPr>
          <w:rFonts w:ascii="Times New Roman" w:hAnsi="Times New Roman" w:cs="Times New Roman"/>
          <w:b/>
          <w:sz w:val="18"/>
          <w:szCs w:val="18"/>
        </w:rPr>
        <w:t xml:space="preserve"> </w:t>
      </w:r>
      <w:r>
        <w:rPr>
          <w:rFonts w:ascii="Times New Roman" w:hAnsi="Times New Roman" w:cs="Times New Roman"/>
          <w:sz w:val="18"/>
          <w:szCs w:val="18"/>
        </w:rPr>
        <w:t>Cette exclusion ne s’applique pas aux actions au titre de la présente mesure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 </w:t>
      </w:r>
    </w:p>
  </w:footnote>
  <w:footnote w:id="21">
    <w:p w14:paraId="14E556AF" w14:textId="77777777" w:rsidR="0023462A" w:rsidRDefault="00A550FA">
      <w:pPr>
        <w:pStyle w:val="FootnoteText"/>
        <w:ind w:left="0" w:firstLine="0"/>
        <w:jc w:val="both"/>
        <w:rPr>
          <w:rFonts w:ascii="Times New Roman" w:hAnsi="Times New Roman" w:cs="Times New Roman"/>
          <w:sz w:val="18"/>
          <w:szCs w:val="18"/>
        </w:rPr>
      </w:pPr>
      <w:r>
        <w:rPr>
          <w:rStyle w:val="FootnoteReference"/>
          <w:rFonts w:ascii="Times New Roman" w:hAnsi="Times New Roman" w:cs="Times New Roman"/>
          <w:b w:val="0"/>
          <w:sz w:val="18"/>
          <w:szCs w:val="18"/>
        </w:rPr>
        <w:footnoteRef/>
      </w:r>
      <w:r>
        <w:rPr>
          <w:rFonts w:ascii="Times New Roman" w:hAnsi="Times New Roman" w:cs="Times New Roman"/>
          <w:b/>
          <w:sz w:val="18"/>
          <w:szCs w:val="18"/>
        </w:rPr>
        <w:t xml:space="preserve"> </w:t>
      </w:r>
      <w:r>
        <w:rPr>
          <w:rFonts w:ascii="Times New Roman" w:hAnsi="Times New Roman" w:cs="Times New Roman"/>
          <w:sz w:val="18"/>
          <w:szCs w:val="18"/>
        </w:rPr>
        <w:t>Cette exclusion ne s’applique pas aux actions au titre de la présente mesure dans les installations de traitement biologique mécanique existantes, lorsque les actions au titre de la présente mesure visent à accroître l’efficacité énergétique ou à adapter les opérations de recyclage des déchets séparés au compostage des biodéchets et à la digestion anaérobie des biodéchets,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 </w:t>
      </w:r>
    </w:p>
  </w:footnote>
  <w:footnote w:id="22">
    <w:p w14:paraId="3D3B474C" w14:textId="77777777" w:rsidR="0023462A" w:rsidRDefault="00A550FA">
      <w:pPr>
        <w:pStyle w:val="FootnoteText"/>
        <w:ind w:left="0" w:firstLine="0"/>
        <w:jc w:val="both"/>
        <w:rPr>
          <w:rFonts w:ascii="Times New Roman" w:eastAsia="Times New Roman" w:hAnsi="Times New Roman" w:cs="Times New Roman"/>
          <w:sz w:val="18"/>
          <w:szCs w:val="18"/>
        </w:rPr>
      </w:pPr>
      <w:r>
        <w:rPr>
          <w:rStyle w:val="FootnoteReference"/>
          <w:rFonts w:ascii="Times New Roman" w:hAnsi="Times New Roman" w:cs="Times New Roman"/>
          <w:b w:val="0"/>
          <w:sz w:val="18"/>
          <w:szCs w:val="18"/>
        </w:rPr>
        <w:footnoteRef/>
      </w:r>
      <w:r>
        <w:rPr>
          <w:rFonts w:ascii="Times New Roman" w:hAnsi="Times New Roman" w:cs="Times New Roman"/>
          <w:b/>
          <w:sz w:val="18"/>
          <w:szCs w:val="18"/>
        </w:rPr>
        <w:t xml:space="preserve"> </w:t>
      </w:r>
      <w:r>
        <w:rPr>
          <w:rFonts w:ascii="Times New Roman" w:eastAsia="Times New Roman" w:hAnsi="Times New Roman" w:cs="Times New Roman"/>
          <w:sz w:val="18"/>
          <w:szCs w:val="18"/>
        </w:rPr>
        <w:t>Il est considéré qu’un bénéficiaire final a un «accent substantiel» sur un secteur ou une activité commerciale si ce secteur ou cette activité est identifié comme étant une partie essentielle de l’activité commerciale du bénéficiaire final, respectivement en ce qui concerne les recettes brutes, les bénéfices ou la clientèle du bénéficiaire final. Les recettes brutes générées par le secteur ou l'activité faisant l'objet de restrictions ne dépassent en aucun cas 50 % des recettes brutes.</w:t>
      </w:r>
    </w:p>
  </w:footnote>
  <w:footnote w:id="23">
    <w:p w14:paraId="262B12A4" w14:textId="77777777" w:rsidR="0023462A" w:rsidRDefault="00A550FA">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b w:val="0"/>
          <w:sz w:val="18"/>
          <w:szCs w:val="18"/>
        </w:rPr>
        <w:footnoteRef/>
      </w:r>
      <w:r>
        <w:rPr>
          <w:rFonts w:ascii="Times New Roman" w:hAnsi="Times New Roman" w:cs="Times New Roman"/>
          <w:sz w:val="18"/>
          <w:szCs w:val="18"/>
        </w:rPr>
        <w:t xml:space="preserve"> À l’exception a) des actifs et activités de production d’électricité et/ou de chaleur, ainsi que des infrastructures de transport et de distribution connexes, utilisant du gaz naturel, qui sont conformes aux conditions énoncées à l’annexe III des orientations techniques «Ne pas causer de préjudice important» (2021/C58/01) et b) des activités et actifs visés au point ii) pour lesquels l’utilisation de combustibles fossiles est temporaire et techniquement inévitable pour la transition en temps utile vers une exploitation sans combustibles fossiles.</w:t>
      </w:r>
    </w:p>
  </w:footnote>
  <w:footnote w:id="24">
    <w:p w14:paraId="5D76E3DC" w14:textId="77777777" w:rsidR="0023462A" w:rsidRDefault="00A550FA">
      <w:pPr>
        <w:pStyle w:val="FootnoteText"/>
        <w:ind w:left="0" w:firstLine="0"/>
        <w:jc w:val="both"/>
        <w:rPr>
          <w:rFonts w:ascii="Times New Roman" w:eastAsia="EC Square Sans Pro" w:hAnsi="Times New Roman" w:cs="Times New Roman"/>
          <w:sz w:val="18"/>
          <w:szCs w:val="18"/>
        </w:rPr>
      </w:pPr>
      <w:r>
        <w:rPr>
          <w:rStyle w:val="FootnoteReference"/>
          <w:rFonts w:ascii="Times New Roman" w:hAnsi="Times New Roman" w:cs="Times New Roman"/>
          <w:b w:val="0"/>
          <w:sz w:val="18"/>
          <w:szCs w:val="18"/>
        </w:rPr>
        <w:footnoteRef/>
      </w:r>
      <w:r>
        <w:rPr>
          <w:rFonts w:ascii="Times New Roman" w:hAnsi="Times New Roman" w:cs="Times New Roman"/>
          <w:b/>
          <w:sz w:val="18"/>
          <w:szCs w:val="18"/>
        </w:rPr>
        <w:t xml:space="preserve"> </w:t>
      </w:r>
      <w:r>
        <w:rPr>
          <w:rFonts w:ascii="Times New Roman" w:eastAsia="EC Square Sans Pro" w:hAnsi="Times New Roman" w:cs="Times New Roman"/>
          <w:sz w:val="18"/>
          <w:szCs w:val="18"/>
        </w:rPr>
        <w:t>Y compris les activités et les actifs relevant du système d’échange de quotas d’émission (SEQE) de l’UE qui permettent d’atteindre des émissions de gaz à effet de serre prévues qui ne sont pas inférieures aux référentiels pertinents. Lorsque l’activité soutenue atteint des émissions de gaz à effet de serre projetées qui ne sont pas sensiblement inférieures aux référentiels pertinents, une explication des raisons pour lesquelles cela n’est pas possible est fournie. Indices de référence établis pour l’allocation de quotas à titre gratuit pour les activités relevant du champ d’application du système d’échange de quotas d’émission, tels que définis dans le règlement d’exécution (UE) 2021/447 de la Commission.</w:t>
      </w:r>
    </w:p>
  </w:footnote>
  <w:footnote w:id="25">
    <w:p w14:paraId="3510574C" w14:textId="77777777" w:rsidR="0023462A" w:rsidRDefault="00A550FA">
      <w:pPr>
        <w:pStyle w:val="P68B1DB1-FootnoteText93"/>
        <w:ind w:left="0" w:firstLine="0"/>
        <w:jc w:val="both"/>
        <w:rPr>
          <w:rFonts w:eastAsia="Times New Roman"/>
        </w:rPr>
      </w:pPr>
      <w:r>
        <w:footnoteRef/>
      </w:r>
      <w:r>
        <w:t xml:space="preserve"> Les véhicules polluants sont définis comme des véhicules à émissions non nulles.</w:t>
      </w:r>
    </w:p>
  </w:footnote>
  <w:footnote w:id="26">
    <w:p w14:paraId="4EF1D96C" w14:textId="77777777" w:rsidR="0023462A" w:rsidRDefault="00A550FA">
      <w:pPr>
        <w:pStyle w:val="FootnoteText"/>
        <w:ind w:left="0" w:firstLine="0"/>
        <w:jc w:val="both"/>
        <w:rPr>
          <w:rFonts w:eastAsia="Times New Roman" w:cs="Times New Roman"/>
        </w:rPr>
      </w:pPr>
      <w:r>
        <w:rPr>
          <w:rStyle w:val="FootnoteReference"/>
          <w:rFonts w:ascii="Times New Roman" w:hAnsi="Times New Roman" w:cs="Times New Roman"/>
          <w:b w:val="0"/>
          <w:sz w:val="18"/>
          <w:szCs w:val="18"/>
        </w:rPr>
        <w:footnoteRef/>
      </w:r>
      <w:r>
        <w:rPr>
          <w:rFonts w:ascii="Times New Roman" w:hAnsi="Times New Roman" w:cs="Times New Roman"/>
          <w:b/>
          <w:sz w:val="18"/>
          <w:szCs w:val="18"/>
        </w:rPr>
        <w:t xml:space="preserve"> </w:t>
      </w:r>
      <w:r>
        <w:rPr>
          <w:rFonts w:ascii="Times New Roman" w:eastAsia="Times New Roman" w:hAnsi="Times New Roman" w:cs="Times New Roman"/>
          <w:sz w:val="18"/>
          <w:szCs w:val="18"/>
        </w:rPr>
        <w:t>Cette exclusion ne s’applique pas aux actions dans les installations exclusivement consacrées au traitement des déchets dangereux non recyclables, ni aux installations existantes, lorsque les actions au titre de la présente mesure visent à accroître l’efficacité énergétique, à capter les gaz d’échappement en vue de leur stockage ou de leur utilisation ou à récupérer des matériaux à partir de cendres d’incinération, pour autant que ces actions au titre de la présente mesure n’entraînent pas une augmentation de la capacité de traitement des déchets des installations ou une prolongation de la durée de vie des installations; pour lesquels des éléments de preuve sont fournis au niveau de l’installation.</w:t>
      </w:r>
    </w:p>
  </w:footnote>
  <w:footnote w:id="27">
    <w:p w14:paraId="6BA4F4BD" w14:textId="5771E90B" w:rsidR="0023462A" w:rsidRDefault="00A550FA">
      <w:pPr>
        <w:pStyle w:val="FootnoteText"/>
        <w:ind w:left="0" w:firstLine="0"/>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C’est le cas pour 24 jalons qui doivent être atteints avant la présentation de la première demande de paiement. Un certain nombre des mesures figurant dans le volet 8 sont alignées sur les engagements pris par la Hongrie dans le cadre de la procédure prévue à l’article 6 du règlement (UE, Euratom) 2020/2092 relatif à un régime général de conditionnalité pour la protection du budget de l’Union.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842F8F" w14:textId="77777777" w:rsidR="00B1483A" w:rsidRPr="00B1483A" w:rsidRDefault="00B1483A" w:rsidP="00B1483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386784" w14:textId="77777777" w:rsidR="00B1483A" w:rsidRPr="00B1483A" w:rsidRDefault="00B1483A" w:rsidP="00B1483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71FD09" w14:textId="77777777" w:rsidR="00B1483A" w:rsidRPr="00B1483A" w:rsidRDefault="00B1483A" w:rsidP="00B1483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931D94" w14:textId="77777777" w:rsidR="0023462A" w:rsidRDefault="0023462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B1C962" w14:textId="77777777" w:rsidR="0023462A" w:rsidRDefault="0023462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18916" w14:textId="77777777" w:rsidR="0023462A" w:rsidRDefault="0023462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6D05C9" w14:textId="77777777" w:rsidR="0023462A" w:rsidRDefault="0023462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04CFC" w14:textId="77777777" w:rsidR="0023462A" w:rsidRDefault="0023462A">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38AB02" w14:textId="77777777" w:rsidR="0023462A" w:rsidRDefault="0023462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A4733" w14:textId="77777777" w:rsidR="0023462A" w:rsidRDefault="0023462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0450D4" w14:textId="77777777" w:rsidR="0023462A" w:rsidRDefault="0023462A">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49B7F7" w14:textId="77777777" w:rsidR="0023462A" w:rsidRDefault="0023462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CA6D8E" w14:textId="77777777" w:rsidR="0023462A" w:rsidRDefault="0023462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D9C7E9" w14:textId="77777777" w:rsidR="0023462A" w:rsidRDefault="0023462A">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B8E96" w14:textId="77777777" w:rsidR="0023462A" w:rsidRDefault="0023462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2EB612" w14:textId="77777777" w:rsidR="0023462A" w:rsidRDefault="0023462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3D89D9" w14:textId="77777777" w:rsidR="0023462A" w:rsidRDefault="0023462A">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49FF2C" w14:textId="77777777" w:rsidR="0023462A" w:rsidRDefault="0023462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CF3AC4" w14:textId="77777777" w:rsidR="0023462A" w:rsidRDefault="0023462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B8F7D8" w14:textId="77777777" w:rsidR="0023462A" w:rsidRDefault="0023462A">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C4E985" w14:textId="77777777" w:rsidR="0023462A" w:rsidRDefault="0023462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749228" w14:textId="77777777" w:rsidR="0023462A" w:rsidRDefault="0023462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20B29" w14:textId="77777777" w:rsidR="0023462A" w:rsidRDefault="0023462A">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40FA61" w14:textId="77777777" w:rsidR="0023462A" w:rsidRDefault="0023462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EE3AB4" w14:textId="77777777" w:rsidR="0023462A" w:rsidRDefault="0023462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1B8A54" w14:textId="77777777" w:rsidR="0023462A" w:rsidRDefault="0023462A">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351E7A" w14:textId="77777777" w:rsidR="0023462A" w:rsidRDefault="0023462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D639B6" w14:textId="77777777" w:rsidR="0023462A" w:rsidRDefault="0023462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16D325" w14:textId="77777777" w:rsidR="0023462A" w:rsidRDefault="0023462A">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E2A37" w14:textId="77777777" w:rsidR="0023462A" w:rsidRDefault="0023462A">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440127" w14:textId="77777777" w:rsidR="0023462A" w:rsidRDefault="0023462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8B1B3A" w14:textId="77777777" w:rsidR="0023462A" w:rsidRDefault="0023462A">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9F3AB6" w14:textId="77777777" w:rsidR="0023462A" w:rsidRDefault="0023462A">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C2ACB9" w14:textId="77777777" w:rsidR="0023462A" w:rsidRDefault="0023462A">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35E89D" w14:textId="77777777" w:rsidR="0023462A" w:rsidRDefault="0023462A">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863455" w14:textId="77777777" w:rsidR="0023462A" w:rsidRDefault="0023462A">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17CAF8" w14:textId="77777777" w:rsidR="0023462A" w:rsidRDefault="0023462A">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C4BCE2" w14:textId="77777777" w:rsidR="0023462A" w:rsidRDefault="0023462A">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233C77" w14:textId="77777777" w:rsidR="0023462A" w:rsidRDefault="0023462A">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808108" w14:textId="77777777" w:rsidR="0023462A" w:rsidRDefault="0023462A">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29474B" w14:textId="77777777" w:rsidR="0023462A" w:rsidRDefault="0023462A">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5417A7" w14:textId="77777777" w:rsidR="0023462A" w:rsidRDefault="0023462A">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62FF1" w14:textId="77777777" w:rsidR="0023462A" w:rsidRDefault="0023462A">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0BC870" w14:textId="77777777" w:rsidR="0023462A" w:rsidRDefault="0023462A">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824F62" w14:textId="77777777" w:rsidR="0023462A" w:rsidRDefault="0023462A">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525C5A" w14:textId="77777777" w:rsidR="0023462A" w:rsidRDefault="0023462A">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C347CC" w14:textId="77777777" w:rsidR="0023462A" w:rsidRDefault="0023462A">
    <w:pPr>
      <w:pStyle w:val="Header"/>
    </w:pP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AB83C1" w14:textId="77777777" w:rsidR="0023462A" w:rsidRDefault="0023462A">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982425" w14:textId="77777777" w:rsidR="0023462A" w:rsidRDefault="0023462A">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2EE3C5" w14:textId="77777777" w:rsidR="0023462A" w:rsidRDefault="0023462A">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9607B" w14:textId="77777777" w:rsidR="0023462A" w:rsidRDefault="0023462A">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13AF02" w14:textId="77777777" w:rsidR="0023462A" w:rsidRDefault="0023462A">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5EEFFE" w14:textId="77777777" w:rsidR="0023462A" w:rsidRDefault="0023462A">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5D6FE3" w14:textId="77777777" w:rsidR="0023462A" w:rsidRDefault="0023462A">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1148B4" w14:textId="77777777" w:rsidR="0023462A" w:rsidRDefault="0023462A">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3E6903" w14:textId="77777777" w:rsidR="0023462A" w:rsidRDefault="0023462A">
    <w:pPr>
      <w:pStyle w:val="Header"/>
    </w:pP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74781" w14:textId="77777777" w:rsidR="0023462A" w:rsidRDefault="0023462A">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4D2AAF" w14:textId="77777777" w:rsidR="0023462A" w:rsidRDefault="0023462A">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4BFC0D" w14:textId="77777777" w:rsidR="0023462A" w:rsidRDefault="0023462A">
    <w:pPr>
      <w:pStyle w:val="Header"/>
    </w:pP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422649" w14:textId="77777777" w:rsidR="0023462A" w:rsidRDefault="002346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82DC92"/>
    <w:lvl w:ilvl="0">
      <w:start w:val="1"/>
      <w:numFmt w:val="decimal"/>
      <w:pStyle w:val="ListNumber51"/>
      <w:lvlText w:val="%1."/>
      <w:lvlJc w:val="left"/>
      <w:pPr>
        <w:tabs>
          <w:tab w:val="num" w:pos="1492"/>
        </w:tabs>
        <w:ind w:left="1492" w:hanging="360"/>
      </w:pPr>
    </w:lvl>
  </w:abstractNum>
  <w:abstractNum w:abstractNumId="1" w15:restartNumberingAfterBreak="0">
    <w:nsid w:val="FFFFFF7D"/>
    <w:multiLevelType w:val="singleLevel"/>
    <w:tmpl w:val="CED2C548"/>
    <w:lvl w:ilvl="0">
      <w:start w:val="1"/>
      <w:numFmt w:val="decimal"/>
      <w:pStyle w:val="ListNumber41"/>
      <w:lvlText w:val="%1."/>
      <w:lvlJc w:val="left"/>
      <w:pPr>
        <w:tabs>
          <w:tab w:val="num" w:pos="1209"/>
        </w:tabs>
        <w:ind w:left="1209" w:hanging="360"/>
      </w:pPr>
    </w:lvl>
  </w:abstractNum>
  <w:abstractNum w:abstractNumId="2" w15:restartNumberingAfterBreak="0">
    <w:nsid w:val="FFFFFF7E"/>
    <w:multiLevelType w:val="singleLevel"/>
    <w:tmpl w:val="62944516"/>
    <w:lvl w:ilvl="0">
      <w:start w:val="1"/>
      <w:numFmt w:val="decimal"/>
      <w:pStyle w:val="ListNumber31"/>
      <w:lvlText w:val="%1."/>
      <w:lvlJc w:val="left"/>
      <w:pPr>
        <w:tabs>
          <w:tab w:val="num" w:pos="926"/>
        </w:tabs>
        <w:ind w:left="926" w:hanging="360"/>
      </w:pPr>
    </w:lvl>
  </w:abstractNum>
  <w:abstractNum w:abstractNumId="3" w15:restartNumberingAfterBreak="0">
    <w:nsid w:val="FFFFFF7F"/>
    <w:multiLevelType w:val="singleLevel"/>
    <w:tmpl w:val="A23456D4"/>
    <w:lvl w:ilvl="0">
      <w:start w:val="1"/>
      <w:numFmt w:val="decimal"/>
      <w:pStyle w:val="ListNumber21"/>
      <w:lvlText w:val="%1."/>
      <w:lvlJc w:val="left"/>
      <w:pPr>
        <w:tabs>
          <w:tab w:val="num" w:pos="643"/>
        </w:tabs>
        <w:ind w:left="643" w:hanging="360"/>
      </w:pPr>
    </w:lvl>
  </w:abstractNum>
  <w:abstractNum w:abstractNumId="4" w15:restartNumberingAfterBreak="0">
    <w:nsid w:val="FFFFFF80"/>
    <w:multiLevelType w:val="singleLevel"/>
    <w:tmpl w:val="5CDCBF14"/>
    <w:lvl w:ilvl="0">
      <w:start w:val="1"/>
      <w:numFmt w:val="bullet"/>
      <w:pStyle w:val="ListBullet51"/>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0AB8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1CAF416"/>
    <w:lvl w:ilvl="0">
      <w:start w:val="1"/>
      <w:numFmt w:val="decimal"/>
      <w:pStyle w:val="ListNumber1"/>
      <w:lvlText w:val="%1."/>
      <w:lvlJc w:val="left"/>
      <w:pPr>
        <w:tabs>
          <w:tab w:val="num" w:pos="360"/>
        </w:tabs>
        <w:ind w:left="360" w:hanging="360"/>
      </w:pPr>
    </w:lvl>
  </w:abstractNum>
  <w:abstractNum w:abstractNumId="9"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154533"/>
    <w:multiLevelType w:val="hybridMultilevel"/>
    <w:tmpl w:val="EE1C2D4C"/>
    <w:lvl w:ilvl="0" w:tplc="45EA78A4">
      <w:start w:val="1"/>
      <w:numFmt w:val="decimal"/>
      <w:lvlText w:val="%1)"/>
      <w:lvlJc w:val="left"/>
      <w:pPr>
        <w:ind w:left="1020" w:hanging="360"/>
      </w:pPr>
    </w:lvl>
    <w:lvl w:ilvl="1" w:tplc="B0C2A514">
      <w:start w:val="1"/>
      <w:numFmt w:val="decimal"/>
      <w:lvlText w:val="%2)"/>
      <w:lvlJc w:val="left"/>
      <w:pPr>
        <w:ind w:left="1020" w:hanging="360"/>
      </w:pPr>
    </w:lvl>
    <w:lvl w:ilvl="2" w:tplc="91920D46">
      <w:start w:val="1"/>
      <w:numFmt w:val="decimal"/>
      <w:lvlText w:val="%3)"/>
      <w:lvlJc w:val="left"/>
      <w:pPr>
        <w:ind w:left="1020" w:hanging="360"/>
      </w:pPr>
    </w:lvl>
    <w:lvl w:ilvl="3" w:tplc="8824559E">
      <w:start w:val="1"/>
      <w:numFmt w:val="decimal"/>
      <w:lvlText w:val="%4)"/>
      <w:lvlJc w:val="left"/>
      <w:pPr>
        <w:ind w:left="1020" w:hanging="360"/>
      </w:pPr>
    </w:lvl>
    <w:lvl w:ilvl="4" w:tplc="DEA6183C">
      <w:start w:val="1"/>
      <w:numFmt w:val="decimal"/>
      <w:lvlText w:val="%5)"/>
      <w:lvlJc w:val="left"/>
      <w:pPr>
        <w:ind w:left="1020" w:hanging="360"/>
      </w:pPr>
    </w:lvl>
    <w:lvl w:ilvl="5" w:tplc="1D0E144E">
      <w:start w:val="1"/>
      <w:numFmt w:val="decimal"/>
      <w:lvlText w:val="%6)"/>
      <w:lvlJc w:val="left"/>
      <w:pPr>
        <w:ind w:left="1020" w:hanging="360"/>
      </w:pPr>
    </w:lvl>
    <w:lvl w:ilvl="6" w:tplc="67A6C0D6">
      <w:start w:val="1"/>
      <w:numFmt w:val="decimal"/>
      <w:lvlText w:val="%7)"/>
      <w:lvlJc w:val="left"/>
      <w:pPr>
        <w:ind w:left="1020" w:hanging="360"/>
      </w:pPr>
    </w:lvl>
    <w:lvl w:ilvl="7" w:tplc="68B44098">
      <w:start w:val="1"/>
      <w:numFmt w:val="decimal"/>
      <w:lvlText w:val="%8)"/>
      <w:lvlJc w:val="left"/>
      <w:pPr>
        <w:ind w:left="1020" w:hanging="360"/>
      </w:pPr>
    </w:lvl>
    <w:lvl w:ilvl="8" w:tplc="900CB17A">
      <w:start w:val="1"/>
      <w:numFmt w:val="decimal"/>
      <w:lvlText w:val="%9)"/>
      <w:lvlJc w:val="left"/>
      <w:pPr>
        <w:ind w:left="1020" w:hanging="360"/>
      </w:pPr>
    </w:lvl>
  </w:abstractNum>
  <w:abstractNum w:abstractNumId="11" w15:restartNumberingAfterBreak="0">
    <w:nsid w:val="011664F7"/>
    <w:multiLevelType w:val="multilevel"/>
    <w:tmpl w:val="14DCBBC4"/>
    <w:lvl w:ilvl="0">
      <w:start w:val="1"/>
      <w:numFmt w:val="lowerLett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237395B"/>
    <w:multiLevelType w:val="hybridMultilevel"/>
    <w:tmpl w:val="9334BE8C"/>
    <w:lvl w:ilvl="0" w:tplc="CF4AC1D4">
      <w:start w:val="1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35F7889"/>
    <w:multiLevelType w:val="hybridMultilevel"/>
    <w:tmpl w:val="8046A0C2"/>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03CC9F4D"/>
    <w:multiLevelType w:val="hybridMultilevel"/>
    <w:tmpl w:val="FFFFFFFF"/>
    <w:lvl w:ilvl="0" w:tplc="48C89578">
      <w:start w:val="1"/>
      <w:numFmt w:val="bullet"/>
      <w:lvlText w:val="-"/>
      <w:lvlJc w:val="left"/>
      <w:pPr>
        <w:ind w:left="720" w:hanging="360"/>
      </w:pPr>
      <w:rPr>
        <w:rFonts w:ascii="Aptos" w:hAnsi="Aptos" w:hint="default"/>
      </w:rPr>
    </w:lvl>
    <w:lvl w:ilvl="1" w:tplc="AF560982">
      <w:start w:val="1"/>
      <w:numFmt w:val="bullet"/>
      <w:lvlText w:val="o"/>
      <w:lvlJc w:val="left"/>
      <w:pPr>
        <w:ind w:left="1440" w:hanging="360"/>
      </w:pPr>
      <w:rPr>
        <w:rFonts w:ascii="Courier New" w:hAnsi="Courier New" w:hint="default"/>
      </w:rPr>
    </w:lvl>
    <w:lvl w:ilvl="2" w:tplc="1FBA670C">
      <w:start w:val="1"/>
      <w:numFmt w:val="bullet"/>
      <w:lvlText w:val=""/>
      <w:lvlJc w:val="left"/>
      <w:pPr>
        <w:ind w:left="2160" w:hanging="360"/>
      </w:pPr>
      <w:rPr>
        <w:rFonts w:ascii="Wingdings" w:hAnsi="Wingdings" w:hint="default"/>
      </w:rPr>
    </w:lvl>
    <w:lvl w:ilvl="3" w:tplc="AFD62A7E">
      <w:start w:val="1"/>
      <w:numFmt w:val="bullet"/>
      <w:lvlText w:val=""/>
      <w:lvlJc w:val="left"/>
      <w:pPr>
        <w:ind w:left="2880" w:hanging="360"/>
      </w:pPr>
      <w:rPr>
        <w:rFonts w:ascii="Symbol" w:hAnsi="Symbol" w:hint="default"/>
      </w:rPr>
    </w:lvl>
    <w:lvl w:ilvl="4" w:tplc="B150FCB6">
      <w:start w:val="1"/>
      <w:numFmt w:val="bullet"/>
      <w:lvlText w:val="o"/>
      <w:lvlJc w:val="left"/>
      <w:pPr>
        <w:ind w:left="3600" w:hanging="360"/>
      </w:pPr>
      <w:rPr>
        <w:rFonts w:ascii="Courier New" w:hAnsi="Courier New" w:hint="default"/>
      </w:rPr>
    </w:lvl>
    <w:lvl w:ilvl="5" w:tplc="82B0330A">
      <w:start w:val="1"/>
      <w:numFmt w:val="bullet"/>
      <w:lvlText w:val=""/>
      <w:lvlJc w:val="left"/>
      <w:pPr>
        <w:ind w:left="4320" w:hanging="360"/>
      </w:pPr>
      <w:rPr>
        <w:rFonts w:ascii="Wingdings" w:hAnsi="Wingdings" w:hint="default"/>
      </w:rPr>
    </w:lvl>
    <w:lvl w:ilvl="6" w:tplc="678E28E4">
      <w:start w:val="1"/>
      <w:numFmt w:val="bullet"/>
      <w:lvlText w:val=""/>
      <w:lvlJc w:val="left"/>
      <w:pPr>
        <w:ind w:left="5040" w:hanging="360"/>
      </w:pPr>
      <w:rPr>
        <w:rFonts w:ascii="Symbol" w:hAnsi="Symbol" w:hint="default"/>
      </w:rPr>
    </w:lvl>
    <w:lvl w:ilvl="7" w:tplc="17F80DAC">
      <w:start w:val="1"/>
      <w:numFmt w:val="bullet"/>
      <w:lvlText w:val="o"/>
      <w:lvlJc w:val="left"/>
      <w:pPr>
        <w:ind w:left="5760" w:hanging="360"/>
      </w:pPr>
      <w:rPr>
        <w:rFonts w:ascii="Courier New" w:hAnsi="Courier New" w:hint="default"/>
      </w:rPr>
    </w:lvl>
    <w:lvl w:ilvl="8" w:tplc="FBC0870C">
      <w:start w:val="1"/>
      <w:numFmt w:val="bullet"/>
      <w:lvlText w:val=""/>
      <w:lvlJc w:val="left"/>
      <w:pPr>
        <w:ind w:left="6480" w:hanging="360"/>
      </w:pPr>
      <w:rPr>
        <w:rFonts w:ascii="Wingdings" w:hAnsi="Wingdings" w:hint="default"/>
      </w:rPr>
    </w:lvl>
  </w:abstractNum>
  <w:abstractNum w:abstractNumId="15" w15:restartNumberingAfterBreak="0">
    <w:nsid w:val="0544316D"/>
    <w:multiLevelType w:val="hybridMultilevel"/>
    <w:tmpl w:val="D602826A"/>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5B100CF"/>
    <w:multiLevelType w:val="hybridMultilevel"/>
    <w:tmpl w:val="FF10A39C"/>
    <w:lvl w:ilvl="0" w:tplc="02968176">
      <w:start w:val="1"/>
      <w:numFmt w:val="lowerRoman"/>
      <w:lvlText w:val="(%1)"/>
      <w:lvlJc w:val="left"/>
      <w:pPr>
        <w:ind w:left="1080" w:hanging="720"/>
      </w:pPr>
      <w:rPr>
        <w:rFonts w:eastAsiaTheme="minorEastAsia"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06FB6A91"/>
    <w:multiLevelType w:val="multilevel"/>
    <w:tmpl w:val="A5507D3C"/>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08BF266B"/>
    <w:multiLevelType w:val="hybridMultilevel"/>
    <w:tmpl w:val="94D0852C"/>
    <w:lvl w:ilvl="0" w:tplc="E3ACEAEA">
      <w:start w:val="1"/>
      <w:numFmt w:val="lowerRoman"/>
      <w:lvlText w:val="%1)"/>
      <w:lvlJc w:val="left"/>
      <w:pPr>
        <w:ind w:left="1080" w:hanging="720"/>
      </w:pPr>
      <w:rPr>
        <w:rFonts w:eastAsiaTheme="minorEastAsia"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096D4BF2"/>
    <w:multiLevelType w:val="hybridMultilevel"/>
    <w:tmpl w:val="CD3C35A0"/>
    <w:lvl w:ilvl="0" w:tplc="42A059E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09942937"/>
    <w:multiLevelType w:val="multilevel"/>
    <w:tmpl w:val="A5507D3C"/>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0A301289"/>
    <w:multiLevelType w:val="hybridMultilevel"/>
    <w:tmpl w:val="0F663A6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0A5218D1"/>
    <w:multiLevelType w:val="hybridMultilevel"/>
    <w:tmpl w:val="35823712"/>
    <w:lvl w:ilvl="0" w:tplc="10A00F0A">
      <w:start w:val="1"/>
      <w:numFmt w:val="decimal"/>
      <w:lvlText w:val="%1."/>
      <w:lvlJc w:val="left"/>
      <w:pPr>
        <w:ind w:left="412" w:hanging="360"/>
      </w:pPr>
      <w:rPr>
        <w:rFonts w:ascii="Times New Roman" w:eastAsiaTheme="minorHAnsi" w:hAnsi="Times New Roman" w:cs="Times New Roman" w:hint="default"/>
      </w:rPr>
    </w:lvl>
    <w:lvl w:ilvl="1" w:tplc="18090019" w:tentative="1">
      <w:start w:val="1"/>
      <w:numFmt w:val="lowerLetter"/>
      <w:lvlText w:val="%2."/>
      <w:lvlJc w:val="left"/>
      <w:pPr>
        <w:ind w:left="1132" w:hanging="360"/>
      </w:pPr>
    </w:lvl>
    <w:lvl w:ilvl="2" w:tplc="1809001B" w:tentative="1">
      <w:start w:val="1"/>
      <w:numFmt w:val="lowerRoman"/>
      <w:lvlText w:val="%3."/>
      <w:lvlJc w:val="right"/>
      <w:pPr>
        <w:ind w:left="1852" w:hanging="180"/>
      </w:pPr>
    </w:lvl>
    <w:lvl w:ilvl="3" w:tplc="1809000F" w:tentative="1">
      <w:start w:val="1"/>
      <w:numFmt w:val="decimal"/>
      <w:lvlText w:val="%4."/>
      <w:lvlJc w:val="left"/>
      <w:pPr>
        <w:ind w:left="2572" w:hanging="360"/>
      </w:pPr>
    </w:lvl>
    <w:lvl w:ilvl="4" w:tplc="18090019" w:tentative="1">
      <w:start w:val="1"/>
      <w:numFmt w:val="lowerLetter"/>
      <w:lvlText w:val="%5."/>
      <w:lvlJc w:val="left"/>
      <w:pPr>
        <w:ind w:left="3292" w:hanging="360"/>
      </w:pPr>
    </w:lvl>
    <w:lvl w:ilvl="5" w:tplc="1809001B" w:tentative="1">
      <w:start w:val="1"/>
      <w:numFmt w:val="lowerRoman"/>
      <w:lvlText w:val="%6."/>
      <w:lvlJc w:val="right"/>
      <w:pPr>
        <w:ind w:left="4012" w:hanging="180"/>
      </w:pPr>
    </w:lvl>
    <w:lvl w:ilvl="6" w:tplc="1809000F" w:tentative="1">
      <w:start w:val="1"/>
      <w:numFmt w:val="decimal"/>
      <w:lvlText w:val="%7."/>
      <w:lvlJc w:val="left"/>
      <w:pPr>
        <w:ind w:left="4732" w:hanging="360"/>
      </w:pPr>
    </w:lvl>
    <w:lvl w:ilvl="7" w:tplc="18090019" w:tentative="1">
      <w:start w:val="1"/>
      <w:numFmt w:val="lowerLetter"/>
      <w:lvlText w:val="%8."/>
      <w:lvlJc w:val="left"/>
      <w:pPr>
        <w:ind w:left="5452" w:hanging="360"/>
      </w:pPr>
    </w:lvl>
    <w:lvl w:ilvl="8" w:tplc="1809001B" w:tentative="1">
      <w:start w:val="1"/>
      <w:numFmt w:val="lowerRoman"/>
      <w:lvlText w:val="%9."/>
      <w:lvlJc w:val="right"/>
      <w:pPr>
        <w:ind w:left="6172" w:hanging="180"/>
      </w:pPr>
    </w:lvl>
  </w:abstractNum>
  <w:abstractNum w:abstractNumId="23" w15:restartNumberingAfterBreak="0">
    <w:nsid w:val="0AB45F4A"/>
    <w:multiLevelType w:val="hybridMultilevel"/>
    <w:tmpl w:val="D1B8F5C0"/>
    <w:lvl w:ilvl="0" w:tplc="05028048">
      <w:start w:val="1"/>
      <w:numFmt w:val="lowerRoman"/>
      <w:lvlText w:val="%1)"/>
      <w:lvlJc w:val="left"/>
      <w:pPr>
        <w:ind w:left="772" w:hanging="720"/>
      </w:pPr>
      <w:rPr>
        <w:rFonts w:hint="default"/>
      </w:rPr>
    </w:lvl>
    <w:lvl w:ilvl="1" w:tplc="18090019" w:tentative="1">
      <w:start w:val="1"/>
      <w:numFmt w:val="lowerLetter"/>
      <w:lvlText w:val="%2."/>
      <w:lvlJc w:val="left"/>
      <w:pPr>
        <w:ind w:left="1132" w:hanging="360"/>
      </w:pPr>
    </w:lvl>
    <w:lvl w:ilvl="2" w:tplc="1809001B" w:tentative="1">
      <w:start w:val="1"/>
      <w:numFmt w:val="lowerRoman"/>
      <w:lvlText w:val="%3."/>
      <w:lvlJc w:val="right"/>
      <w:pPr>
        <w:ind w:left="1852" w:hanging="180"/>
      </w:pPr>
    </w:lvl>
    <w:lvl w:ilvl="3" w:tplc="1809000F" w:tentative="1">
      <w:start w:val="1"/>
      <w:numFmt w:val="decimal"/>
      <w:lvlText w:val="%4."/>
      <w:lvlJc w:val="left"/>
      <w:pPr>
        <w:ind w:left="2572" w:hanging="360"/>
      </w:pPr>
    </w:lvl>
    <w:lvl w:ilvl="4" w:tplc="18090019" w:tentative="1">
      <w:start w:val="1"/>
      <w:numFmt w:val="lowerLetter"/>
      <w:lvlText w:val="%5."/>
      <w:lvlJc w:val="left"/>
      <w:pPr>
        <w:ind w:left="3292" w:hanging="360"/>
      </w:pPr>
    </w:lvl>
    <w:lvl w:ilvl="5" w:tplc="1809001B" w:tentative="1">
      <w:start w:val="1"/>
      <w:numFmt w:val="lowerRoman"/>
      <w:lvlText w:val="%6."/>
      <w:lvlJc w:val="right"/>
      <w:pPr>
        <w:ind w:left="4012" w:hanging="180"/>
      </w:pPr>
    </w:lvl>
    <w:lvl w:ilvl="6" w:tplc="1809000F" w:tentative="1">
      <w:start w:val="1"/>
      <w:numFmt w:val="decimal"/>
      <w:lvlText w:val="%7."/>
      <w:lvlJc w:val="left"/>
      <w:pPr>
        <w:ind w:left="4732" w:hanging="360"/>
      </w:pPr>
    </w:lvl>
    <w:lvl w:ilvl="7" w:tplc="18090019" w:tentative="1">
      <w:start w:val="1"/>
      <w:numFmt w:val="lowerLetter"/>
      <w:lvlText w:val="%8."/>
      <w:lvlJc w:val="left"/>
      <w:pPr>
        <w:ind w:left="5452" w:hanging="360"/>
      </w:pPr>
    </w:lvl>
    <w:lvl w:ilvl="8" w:tplc="1809001B" w:tentative="1">
      <w:start w:val="1"/>
      <w:numFmt w:val="lowerRoman"/>
      <w:lvlText w:val="%9."/>
      <w:lvlJc w:val="right"/>
      <w:pPr>
        <w:ind w:left="6172" w:hanging="180"/>
      </w:pPr>
    </w:lvl>
  </w:abstractNum>
  <w:abstractNum w:abstractNumId="24" w15:restartNumberingAfterBreak="0">
    <w:nsid w:val="0AE52F8A"/>
    <w:multiLevelType w:val="hybridMultilevel"/>
    <w:tmpl w:val="C8387EE4"/>
    <w:lvl w:ilvl="0" w:tplc="53B25C9E">
      <w:start w:val="1"/>
      <w:numFmt w:val="lowerRoman"/>
      <w:lvlText w:val="%1)"/>
      <w:lvlJc w:val="left"/>
      <w:pPr>
        <w:ind w:left="720" w:hanging="360"/>
      </w:pPr>
      <w:rPr>
        <w:rFonts w:ascii="Times New Roman" w:eastAsia="Calibri" w:hAnsi="Times New Roman" w:cs="Times New Roman" w:hint="default"/>
        <w:b w:val="0"/>
        <w:bCs w:val="0"/>
        <w:i w:val="0"/>
        <w:iCs w:val="0"/>
        <w:spacing w:val="-1"/>
        <w:w w:val="100"/>
        <w:sz w:val="18"/>
        <w:szCs w:val="18"/>
        <w:lang w:val="en-IE" w:eastAsia="en-US" w:bidi="ar-SA"/>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26" w15:restartNumberingAfterBreak="0">
    <w:nsid w:val="0C3F0A51"/>
    <w:multiLevelType w:val="hybridMultilevel"/>
    <w:tmpl w:val="C67CFD02"/>
    <w:lvl w:ilvl="0" w:tplc="CFE4D666">
      <w:start w:val="1"/>
      <w:numFmt w:val="lowerRoman"/>
      <w:lvlText w:val="(%1)"/>
      <w:lvlJc w:val="left"/>
      <w:pPr>
        <w:ind w:left="720" w:hanging="720"/>
      </w:pPr>
      <w:rPr>
        <w:rFonts w:ascii="Times New Roman" w:eastAsiaTheme="minorEastAsia" w:hAnsi="Times New Roman" w:cs="Times New Roman" w:hint="default"/>
        <w:sz w:val="18"/>
        <w:szCs w:val="18"/>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0E5C1040"/>
    <w:multiLevelType w:val="multilevel"/>
    <w:tmpl w:val="A5507D3C"/>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0EB32A3A"/>
    <w:multiLevelType w:val="hybridMultilevel"/>
    <w:tmpl w:val="8046A0C2"/>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0ED9491A"/>
    <w:multiLevelType w:val="hybridMultilevel"/>
    <w:tmpl w:val="37F2A17A"/>
    <w:lvl w:ilvl="0" w:tplc="5A36237A">
      <w:start w:val="1"/>
      <w:numFmt w:val="decimal"/>
      <w:lvlText w:val="%1."/>
      <w:lvlJc w:val="left"/>
      <w:pPr>
        <w:ind w:left="1020" w:hanging="360"/>
      </w:pPr>
    </w:lvl>
    <w:lvl w:ilvl="1" w:tplc="86865B30">
      <w:start w:val="1"/>
      <w:numFmt w:val="decimal"/>
      <w:lvlText w:val="%2."/>
      <w:lvlJc w:val="left"/>
      <w:pPr>
        <w:ind w:left="1020" w:hanging="360"/>
      </w:pPr>
    </w:lvl>
    <w:lvl w:ilvl="2" w:tplc="DD76B6F0">
      <w:start w:val="1"/>
      <w:numFmt w:val="decimal"/>
      <w:lvlText w:val="%3."/>
      <w:lvlJc w:val="left"/>
      <w:pPr>
        <w:ind w:left="1020" w:hanging="360"/>
      </w:pPr>
    </w:lvl>
    <w:lvl w:ilvl="3" w:tplc="BFD62E80">
      <w:start w:val="1"/>
      <w:numFmt w:val="decimal"/>
      <w:lvlText w:val="%4."/>
      <w:lvlJc w:val="left"/>
      <w:pPr>
        <w:ind w:left="1020" w:hanging="360"/>
      </w:pPr>
    </w:lvl>
    <w:lvl w:ilvl="4" w:tplc="2E049EB8">
      <w:start w:val="1"/>
      <w:numFmt w:val="decimal"/>
      <w:lvlText w:val="%5."/>
      <w:lvlJc w:val="left"/>
      <w:pPr>
        <w:ind w:left="1020" w:hanging="360"/>
      </w:pPr>
    </w:lvl>
    <w:lvl w:ilvl="5" w:tplc="6484B9C0">
      <w:start w:val="1"/>
      <w:numFmt w:val="decimal"/>
      <w:lvlText w:val="%6."/>
      <w:lvlJc w:val="left"/>
      <w:pPr>
        <w:ind w:left="1020" w:hanging="360"/>
      </w:pPr>
    </w:lvl>
    <w:lvl w:ilvl="6" w:tplc="ADEA5C9C">
      <w:start w:val="1"/>
      <w:numFmt w:val="decimal"/>
      <w:lvlText w:val="%7."/>
      <w:lvlJc w:val="left"/>
      <w:pPr>
        <w:ind w:left="1020" w:hanging="360"/>
      </w:pPr>
    </w:lvl>
    <w:lvl w:ilvl="7" w:tplc="3DC075A8">
      <w:start w:val="1"/>
      <w:numFmt w:val="decimal"/>
      <w:lvlText w:val="%8."/>
      <w:lvlJc w:val="left"/>
      <w:pPr>
        <w:ind w:left="1020" w:hanging="360"/>
      </w:pPr>
    </w:lvl>
    <w:lvl w:ilvl="8" w:tplc="44840672">
      <w:start w:val="1"/>
      <w:numFmt w:val="decimal"/>
      <w:lvlText w:val="%9."/>
      <w:lvlJc w:val="left"/>
      <w:pPr>
        <w:ind w:left="1020" w:hanging="360"/>
      </w:pPr>
    </w:lvl>
  </w:abstractNum>
  <w:abstractNum w:abstractNumId="30" w15:restartNumberingAfterBreak="0">
    <w:nsid w:val="0F54349C"/>
    <w:multiLevelType w:val="hybridMultilevel"/>
    <w:tmpl w:val="29BED774"/>
    <w:lvl w:ilvl="0" w:tplc="B8CE3706">
      <w:start w:val="1"/>
      <w:numFmt w:val="lowerRoman"/>
      <w:lvlText w:val="(%1)"/>
      <w:lvlJc w:val="left"/>
      <w:pPr>
        <w:ind w:left="412" w:hanging="360"/>
      </w:pPr>
      <w:rPr>
        <w:rFonts w:ascii="Times New Roman" w:hAnsi="Times New Roman" w:cs="Times New Roman" w:hint="default"/>
        <w:color w:val="auto"/>
        <w:sz w:val="18"/>
        <w:szCs w:val="18"/>
      </w:rPr>
    </w:lvl>
    <w:lvl w:ilvl="1" w:tplc="08090003" w:tentative="1">
      <w:start w:val="1"/>
      <w:numFmt w:val="bullet"/>
      <w:lvlText w:val="o"/>
      <w:lvlJc w:val="left"/>
      <w:pPr>
        <w:ind w:left="1132" w:hanging="360"/>
      </w:pPr>
      <w:rPr>
        <w:rFonts w:ascii="Courier New" w:hAnsi="Courier New" w:cs="Courier New" w:hint="default"/>
      </w:rPr>
    </w:lvl>
    <w:lvl w:ilvl="2" w:tplc="08090005" w:tentative="1">
      <w:start w:val="1"/>
      <w:numFmt w:val="bullet"/>
      <w:lvlText w:val=""/>
      <w:lvlJc w:val="left"/>
      <w:pPr>
        <w:ind w:left="1852" w:hanging="360"/>
      </w:pPr>
      <w:rPr>
        <w:rFonts w:ascii="Wingdings" w:hAnsi="Wingdings" w:hint="default"/>
      </w:rPr>
    </w:lvl>
    <w:lvl w:ilvl="3" w:tplc="08090001" w:tentative="1">
      <w:start w:val="1"/>
      <w:numFmt w:val="bullet"/>
      <w:lvlText w:val=""/>
      <w:lvlJc w:val="left"/>
      <w:pPr>
        <w:ind w:left="2572" w:hanging="360"/>
      </w:pPr>
      <w:rPr>
        <w:rFonts w:ascii="Symbol" w:hAnsi="Symbol" w:hint="default"/>
      </w:rPr>
    </w:lvl>
    <w:lvl w:ilvl="4" w:tplc="08090003" w:tentative="1">
      <w:start w:val="1"/>
      <w:numFmt w:val="bullet"/>
      <w:lvlText w:val="o"/>
      <w:lvlJc w:val="left"/>
      <w:pPr>
        <w:ind w:left="3292" w:hanging="360"/>
      </w:pPr>
      <w:rPr>
        <w:rFonts w:ascii="Courier New" w:hAnsi="Courier New" w:cs="Courier New" w:hint="default"/>
      </w:rPr>
    </w:lvl>
    <w:lvl w:ilvl="5" w:tplc="08090005" w:tentative="1">
      <w:start w:val="1"/>
      <w:numFmt w:val="bullet"/>
      <w:lvlText w:val=""/>
      <w:lvlJc w:val="left"/>
      <w:pPr>
        <w:ind w:left="4012" w:hanging="360"/>
      </w:pPr>
      <w:rPr>
        <w:rFonts w:ascii="Wingdings" w:hAnsi="Wingdings" w:hint="default"/>
      </w:rPr>
    </w:lvl>
    <w:lvl w:ilvl="6" w:tplc="08090001" w:tentative="1">
      <w:start w:val="1"/>
      <w:numFmt w:val="bullet"/>
      <w:lvlText w:val=""/>
      <w:lvlJc w:val="left"/>
      <w:pPr>
        <w:ind w:left="4732" w:hanging="360"/>
      </w:pPr>
      <w:rPr>
        <w:rFonts w:ascii="Symbol" w:hAnsi="Symbol" w:hint="default"/>
      </w:rPr>
    </w:lvl>
    <w:lvl w:ilvl="7" w:tplc="08090003" w:tentative="1">
      <w:start w:val="1"/>
      <w:numFmt w:val="bullet"/>
      <w:lvlText w:val="o"/>
      <w:lvlJc w:val="left"/>
      <w:pPr>
        <w:ind w:left="5452" w:hanging="360"/>
      </w:pPr>
      <w:rPr>
        <w:rFonts w:ascii="Courier New" w:hAnsi="Courier New" w:cs="Courier New" w:hint="default"/>
      </w:rPr>
    </w:lvl>
    <w:lvl w:ilvl="8" w:tplc="08090005" w:tentative="1">
      <w:start w:val="1"/>
      <w:numFmt w:val="bullet"/>
      <w:lvlText w:val=""/>
      <w:lvlJc w:val="left"/>
      <w:pPr>
        <w:ind w:left="6172" w:hanging="360"/>
      </w:pPr>
      <w:rPr>
        <w:rFonts w:ascii="Wingdings" w:hAnsi="Wingdings" w:hint="default"/>
      </w:rPr>
    </w:lvl>
  </w:abstractNum>
  <w:abstractNum w:abstractNumId="31" w15:restartNumberingAfterBreak="0">
    <w:nsid w:val="0FB3065F"/>
    <w:multiLevelType w:val="hybridMultilevel"/>
    <w:tmpl w:val="FFFFFFFF"/>
    <w:lvl w:ilvl="0" w:tplc="DB4A215E">
      <w:start w:val="1"/>
      <w:numFmt w:val="lowerLetter"/>
      <w:lvlText w:val="(%1)"/>
      <w:lvlJc w:val="left"/>
      <w:pPr>
        <w:ind w:left="1440" w:hanging="360"/>
      </w:pPr>
    </w:lvl>
    <w:lvl w:ilvl="1" w:tplc="942E3434">
      <w:start w:val="1"/>
      <w:numFmt w:val="lowerLetter"/>
      <w:lvlText w:val="%2."/>
      <w:lvlJc w:val="left"/>
      <w:pPr>
        <w:ind w:left="2160" w:hanging="360"/>
      </w:pPr>
    </w:lvl>
    <w:lvl w:ilvl="2" w:tplc="2BA25704">
      <w:start w:val="1"/>
      <w:numFmt w:val="lowerRoman"/>
      <w:lvlText w:val="%3."/>
      <w:lvlJc w:val="right"/>
      <w:pPr>
        <w:ind w:left="2880" w:hanging="180"/>
      </w:pPr>
    </w:lvl>
    <w:lvl w:ilvl="3" w:tplc="AA923AD0">
      <w:start w:val="1"/>
      <w:numFmt w:val="decimal"/>
      <w:lvlText w:val="%4."/>
      <w:lvlJc w:val="left"/>
      <w:pPr>
        <w:ind w:left="3600" w:hanging="360"/>
      </w:pPr>
    </w:lvl>
    <w:lvl w:ilvl="4" w:tplc="8F483DE8">
      <w:start w:val="1"/>
      <w:numFmt w:val="lowerLetter"/>
      <w:lvlText w:val="%5."/>
      <w:lvlJc w:val="left"/>
      <w:pPr>
        <w:ind w:left="4320" w:hanging="360"/>
      </w:pPr>
    </w:lvl>
    <w:lvl w:ilvl="5" w:tplc="732CE638">
      <w:start w:val="1"/>
      <w:numFmt w:val="lowerRoman"/>
      <w:lvlText w:val="%6."/>
      <w:lvlJc w:val="right"/>
      <w:pPr>
        <w:ind w:left="5040" w:hanging="180"/>
      </w:pPr>
    </w:lvl>
    <w:lvl w:ilvl="6" w:tplc="977C1B6A">
      <w:start w:val="1"/>
      <w:numFmt w:val="decimal"/>
      <w:lvlText w:val="%7."/>
      <w:lvlJc w:val="left"/>
      <w:pPr>
        <w:ind w:left="5760" w:hanging="360"/>
      </w:pPr>
    </w:lvl>
    <w:lvl w:ilvl="7" w:tplc="0696EFF2">
      <w:start w:val="1"/>
      <w:numFmt w:val="lowerLetter"/>
      <w:lvlText w:val="%8."/>
      <w:lvlJc w:val="left"/>
      <w:pPr>
        <w:ind w:left="6480" w:hanging="360"/>
      </w:pPr>
    </w:lvl>
    <w:lvl w:ilvl="8" w:tplc="D542E396">
      <w:start w:val="1"/>
      <w:numFmt w:val="lowerRoman"/>
      <w:lvlText w:val="%9."/>
      <w:lvlJc w:val="right"/>
      <w:pPr>
        <w:ind w:left="7200" w:hanging="180"/>
      </w:pPr>
    </w:lvl>
  </w:abstractNum>
  <w:abstractNum w:abstractNumId="32" w15:restartNumberingAfterBreak="0">
    <w:nsid w:val="106E0F83"/>
    <w:multiLevelType w:val="multilevel"/>
    <w:tmpl w:val="A5507D3C"/>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1139773A"/>
    <w:multiLevelType w:val="hybridMultilevel"/>
    <w:tmpl w:val="9B267DEC"/>
    <w:lvl w:ilvl="0" w:tplc="FFFFFFFF">
      <w:start w:val="1"/>
      <w:numFmt w:val="lowerRoman"/>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148A2338"/>
    <w:multiLevelType w:val="hybridMultilevel"/>
    <w:tmpl w:val="3B86D608"/>
    <w:lvl w:ilvl="0" w:tplc="FFFFFFFF">
      <w:start w:val="1"/>
      <w:numFmt w:val="lowerLetter"/>
      <w:lvlText w:val="%1)"/>
      <w:lvlJc w:val="left"/>
      <w:pPr>
        <w:ind w:left="515" w:hanging="360"/>
      </w:pPr>
      <w:rPr>
        <w:rFonts w:ascii="Calibri" w:hAnsi="Calibri" w:cs="Calibri" w:hint="default"/>
      </w:rPr>
    </w:lvl>
    <w:lvl w:ilvl="1" w:tplc="FFFFFFFF">
      <w:start w:val="1"/>
      <w:numFmt w:val="lowerLetter"/>
      <w:lvlText w:val="%2."/>
      <w:lvlJc w:val="left"/>
      <w:pPr>
        <w:ind w:left="1235" w:hanging="360"/>
      </w:pPr>
    </w:lvl>
    <w:lvl w:ilvl="2" w:tplc="FFFFFFFF">
      <w:start w:val="1"/>
      <w:numFmt w:val="lowerRoman"/>
      <w:lvlText w:val="%3."/>
      <w:lvlJc w:val="right"/>
      <w:pPr>
        <w:ind w:left="1955" w:hanging="180"/>
      </w:pPr>
    </w:lvl>
    <w:lvl w:ilvl="3" w:tplc="FFFFFFFF">
      <w:start w:val="1"/>
      <w:numFmt w:val="decimal"/>
      <w:lvlText w:val="%4."/>
      <w:lvlJc w:val="left"/>
      <w:pPr>
        <w:ind w:left="2675" w:hanging="360"/>
      </w:pPr>
    </w:lvl>
    <w:lvl w:ilvl="4" w:tplc="FFFFFFFF">
      <w:start w:val="1"/>
      <w:numFmt w:val="lowerLetter"/>
      <w:lvlText w:val="%5."/>
      <w:lvlJc w:val="left"/>
      <w:pPr>
        <w:ind w:left="3395" w:hanging="360"/>
      </w:pPr>
    </w:lvl>
    <w:lvl w:ilvl="5" w:tplc="FFFFFFFF">
      <w:start w:val="1"/>
      <w:numFmt w:val="lowerRoman"/>
      <w:lvlText w:val="%6."/>
      <w:lvlJc w:val="right"/>
      <w:pPr>
        <w:ind w:left="4115" w:hanging="180"/>
      </w:pPr>
    </w:lvl>
    <w:lvl w:ilvl="6" w:tplc="FFFFFFFF">
      <w:start w:val="1"/>
      <w:numFmt w:val="decimal"/>
      <w:lvlText w:val="%7."/>
      <w:lvlJc w:val="left"/>
      <w:pPr>
        <w:ind w:left="4835" w:hanging="360"/>
      </w:pPr>
    </w:lvl>
    <w:lvl w:ilvl="7" w:tplc="FFFFFFFF">
      <w:start w:val="1"/>
      <w:numFmt w:val="lowerLetter"/>
      <w:lvlText w:val="%8."/>
      <w:lvlJc w:val="left"/>
      <w:pPr>
        <w:ind w:left="5555" w:hanging="360"/>
      </w:pPr>
    </w:lvl>
    <w:lvl w:ilvl="8" w:tplc="FFFFFFFF">
      <w:start w:val="1"/>
      <w:numFmt w:val="lowerRoman"/>
      <w:lvlText w:val="%9."/>
      <w:lvlJc w:val="right"/>
      <w:pPr>
        <w:ind w:left="6275" w:hanging="180"/>
      </w:pPr>
    </w:lvl>
  </w:abstractNum>
  <w:abstractNum w:abstractNumId="35" w15:restartNumberingAfterBreak="0">
    <w:nsid w:val="14C6357F"/>
    <w:multiLevelType w:val="hybridMultilevel"/>
    <w:tmpl w:val="29E47ABC"/>
    <w:lvl w:ilvl="0" w:tplc="E9F4FA6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151F72E6"/>
    <w:multiLevelType w:val="hybridMultilevel"/>
    <w:tmpl w:val="4704D86E"/>
    <w:lvl w:ilvl="0" w:tplc="1809000F">
      <w:start w:val="1"/>
      <w:numFmt w:val="decimal"/>
      <w:lvlText w:val="%1."/>
      <w:lvlJc w:val="left"/>
      <w:pPr>
        <w:ind w:left="144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15E948EA"/>
    <w:multiLevelType w:val="hybridMultilevel"/>
    <w:tmpl w:val="F376A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6377DFB"/>
    <w:multiLevelType w:val="hybridMultilevel"/>
    <w:tmpl w:val="CA0CB422"/>
    <w:lvl w:ilvl="0" w:tplc="1DB62B90">
      <w:start w:val="1"/>
      <w:numFmt w:val="decimal"/>
      <w:lvlText w:val="%1)"/>
      <w:lvlJc w:val="left"/>
      <w:pPr>
        <w:ind w:left="1020" w:hanging="360"/>
      </w:pPr>
    </w:lvl>
    <w:lvl w:ilvl="1" w:tplc="77A69332">
      <w:start w:val="1"/>
      <w:numFmt w:val="decimal"/>
      <w:lvlText w:val="%2)"/>
      <w:lvlJc w:val="left"/>
      <w:pPr>
        <w:ind w:left="1020" w:hanging="360"/>
      </w:pPr>
    </w:lvl>
    <w:lvl w:ilvl="2" w:tplc="545E2DFA">
      <w:start w:val="1"/>
      <w:numFmt w:val="decimal"/>
      <w:lvlText w:val="%3)"/>
      <w:lvlJc w:val="left"/>
      <w:pPr>
        <w:ind w:left="1020" w:hanging="360"/>
      </w:pPr>
    </w:lvl>
    <w:lvl w:ilvl="3" w:tplc="1F36B93A">
      <w:start w:val="1"/>
      <w:numFmt w:val="decimal"/>
      <w:lvlText w:val="%4)"/>
      <w:lvlJc w:val="left"/>
      <w:pPr>
        <w:ind w:left="1020" w:hanging="360"/>
      </w:pPr>
    </w:lvl>
    <w:lvl w:ilvl="4" w:tplc="91862C80">
      <w:start w:val="1"/>
      <w:numFmt w:val="decimal"/>
      <w:lvlText w:val="%5)"/>
      <w:lvlJc w:val="left"/>
      <w:pPr>
        <w:ind w:left="1020" w:hanging="360"/>
      </w:pPr>
    </w:lvl>
    <w:lvl w:ilvl="5" w:tplc="A3D22564">
      <w:start w:val="1"/>
      <w:numFmt w:val="decimal"/>
      <w:lvlText w:val="%6)"/>
      <w:lvlJc w:val="left"/>
      <w:pPr>
        <w:ind w:left="1020" w:hanging="360"/>
      </w:pPr>
    </w:lvl>
    <w:lvl w:ilvl="6" w:tplc="F69C859C">
      <w:start w:val="1"/>
      <w:numFmt w:val="decimal"/>
      <w:lvlText w:val="%7)"/>
      <w:lvlJc w:val="left"/>
      <w:pPr>
        <w:ind w:left="1020" w:hanging="360"/>
      </w:pPr>
    </w:lvl>
    <w:lvl w:ilvl="7" w:tplc="25BA9942">
      <w:start w:val="1"/>
      <w:numFmt w:val="decimal"/>
      <w:lvlText w:val="%8)"/>
      <w:lvlJc w:val="left"/>
      <w:pPr>
        <w:ind w:left="1020" w:hanging="360"/>
      </w:pPr>
    </w:lvl>
    <w:lvl w:ilvl="8" w:tplc="EC96DCB0">
      <w:start w:val="1"/>
      <w:numFmt w:val="decimal"/>
      <w:lvlText w:val="%9)"/>
      <w:lvlJc w:val="left"/>
      <w:pPr>
        <w:ind w:left="1020" w:hanging="360"/>
      </w:pPr>
    </w:lvl>
  </w:abstractNum>
  <w:abstractNum w:abstractNumId="39" w15:restartNumberingAfterBreak="0">
    <w:nsid w:val="17056000"/>
    <w:multiLevelType w:val="hybridMultilevel"/>
    <w:tmpl w:val="B9CA1CD2"/>
    <w:lvl w:ilvl="0" w:tplc="FFFFFFFF">
      <w:start w:val="1"/>
      <w:numFmt w:val="bullet"/>
      <w:lvlText w:val="•"/>
      <w:lvlJc w:val="left"/>
      <w:pPr>
        <w:ind w:left="720" w:hanging="360"/>
      </w:pPr>
      <w:rPr>
        <w:rFonts w:ascii="Times New Roman" w:hAnsi="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17095C46"/>
    <w:multiLevelType w:val="hybridMultilevel"/>
    <w:tmpl w:val="B1580190"/>
    <w:lvl w:ilvl="0" w:tplc="EDD82E6E">
      <w:start w:val="5"/>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18220F9B"/>
    <w:multiLevelType w:val="multilevel"/>
    <w:tmpl w:val="ADE22D72"/>
    <w:lvl w:ilvl="0">
      <w:start w:val="1"/>
      <w:numFmt w:val="decimal"/>
      <w:lvlText w:val="%1."/>
      <w:lvlJc w:val="left"/>
      <w:pPr>
        <w:ind w:left="1440" w:hanging="360"/>
      </w:pPr>
    </w:lvl>
    <w:lvl w:ilvl="1">
      <w:start w:val="1"/>
      <w:numFmt w:val="decimal"/>
      <w:isLgl/>
      <w:lvlText w:val="%1.%2."/>
      <w:lvlJc w:val="left"/>
      <w:pPr>
        <w:ind w:left="180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040" w:hanging="1440"/>
      </w:pPr>
      <w:rPr>
        <w:rFonts w:hint="default"/>
      </w:rPr>
    </w:lvl>
    <w:lvl w:ilvl="8">
      <w:start w:val="1"/>
      <w:numFmt w:val="decimal"/>
      <w:isLgl/>
      <w:lvlText w:val="%1.%2.%3.%4.%5.%6.%7.%8.%9."/>
      <w:lvlJc w:val="left"/>
      <w:pPr>
        <w:ind w:left="5760" w:hanging="1800"/>
      </w:pPr>
      <w:rPr>
        <w:rFonts w:hint="default"/>
      </w:rPr>
    </w:lvl>
  </w:abstractNum>
  <w:abstractNum w:abstractNumId="42" w15:restartNumberingAfterBreak="0">
    <w:nsid w:val="198007D6"/>
    <w:multiLevelType w:val="hybridMultilevel"/>
    <w:tmpl w:val="B66CC486"/>
    <w:lvl w:ilvl="0" w:tplc="F5708EC2">
      <w:start w:val="1"/>
      <w:numFmt w:val="decimal"/>
      <w:lvlText w:val="%1."/>
      <w:lvlJc w:val="left"/>
      <w:pPr>
        <w:ind w:left="1020" w:hanging="360"/>
      </w:pPr>
    </w:lvl>
    <w:lvl w:ilvl="1" w:tplc="16901636">
      <w:start w:val="1"/>
      <w:numFmt w:val="decimal"/>
      <w:lvlText w:val="%2."/>
      <w:lvlJc w:val="left"/>
      <w:pPr>
        <w:ind w:left="1020" w:hanging="360"/>
      </w:pPr>
    </w:lvl>
    <w:lvl w:ilvl="2" w:tplc="8F40FA72">
      <w:start w:val="1"/>
      <w:numFmt w:val="decimal"/>
      <w:lvlText w:val="%3."/>
      <w:lvlJc w:val="left"/>
      <w:pPr>
        <w:ind w:left="1020" w:hanging="360"/>
      </w:pPr>
    </w:lvl>
    <w:lvl w:ilvl="3" w:tplc="6E401D26">
      <w:start w:val="1"/>
      <w:numFmt w:val="decimal"/>
      <w:lvlText w:val="%4."/>
      <w:lvlJc w:val="left"/>
      <w:pPr>
        <w:ind w:left="1020" w:hanging="360"/>
      </w:pPr>
    </w:lvl>
    <w:lvl w:ilvl="4" w:tplc="7CFC659C">
      <w:start w:val="1"/>
      <w:numFmt w:val="decimal"/>
      <w:lvlText w:val="%5."/>
      <w:lvlJc w:val="left"/>
      <w:pPr>
        <w:ind w:left="1020" w:hanging="360"/>
      </w:pPr>
    </w:lvl>
    <w:lvl w:ilvl="5" w:tplc="A3162520">
      <w:start w:val="1"/>
      <w:numFmt w:val="decimal"/>
      <w:lvlText w:val="%6."/>
      <w:lvlJc w:val="left"/>
      <w:pPr>
        <w:ind w:left="1020" w:hanging="360"/>
      </w:pPr>
    </w:lvl>
    <w:lvl w:ilvl="6" w:tplc="A29E2E72">
      <w:start w:val="1"/>
      <w:numFmt w:val="decimal"/>
      <w:lvlText w:val="%7."/>
      <w:lvlJc w:val="left"/>
      <w:pPr>
        <w:ind w:left="1020" w:hanging="360"/>
      </w:pPr>
    </w:lvl>
    <w:lvl w:ilvl="7" w:tplc="1C0A326E">
      <w:start w:val="1"/>
      <w:numFmt w:val="decimal"/>
      <w:lvlText w:val="%8."/>
      <w:lvlJc w:val="left"/>
      <w:pPr>
        <w:ind w:left="1020" w:hanging="360"/>
      </w:pPr>
    </w:lvl>
    <w:lvl w:ilvl="8" w:tplc="FC283A3E">
      <w:start w:val="1"/>
      <w:numFmt w:val="decimal"/>
      <w:lvlText w:val="%9."/>
      <w:lvlJc w:val="left"/>
      <w:pPr>
        <w:ind w:left="1020" w:hanging="360"/>
      </w:pPr>
    </w:lvl>
  </w:abstractNum>
  <w:abstractNum w:abstractNumId="43" w15:restartNumberingAfterBreak="0">
    <w:nsid w:val="19C55B21"/>
    <w:multiLevelType w:val="hybridMultilevel"/>
    <w:tmpl w:val="9DB2660A"/>
    <w:lvl w:ilvl="0" w:tplc="E77E5008">
      <w:start w:val="1"/>
      <w:numFmt w:val="bullet"/>
      <w:lvlText w:val=""/>
      <w:lvlJc w:val="left"/>
      <w:pPr>
        <w:ind w:left="720" w:hanging="360"/>
      </w:pPr>
      <w:rPr>
        <w:rFonts w:ascii="Symbol" w:hAnsi="Symbol"/>
      </w:rPr>
    </w:lvl>
    <w:lvl w:ilvl="1" w:tplc="958248A4">
      <w:start w:val="1"/>
      <w:numFmt w:val="bullet"/>
      <w:lvlText w:val=""/>
      <w:lvlJc w:val="left"/>
      <w:pPr>
        <w:ind w:left="720" w:hanging="360"/>
      </w:pPr>
      <w:rPr>
        <w:rFonts w:ascii="Symbol" w:hAnsi="Symbol"/>
      </w:rPr>
    </w:lvl>
    <w:lvl w:ilvl="2" w:tplc="199AA188">
      <w:start w:val="1"/>
      <w:numFmt w:val="bullet"/>
      <w:lvlText w:val=""/>
      <w:lvlJc w:val="left"/>
      <w:pPr>
        <w:ind w:left="720" w:hanging="360"/>
      </w:pPr>
      <w:rPr>
        <w:rFonts w:ascii="Symbol" w:hAnsi="Symbol"/>
      </w:rPr>
    </w:lvl>
    <w:lvl w:ilvl="3" w:tplc="639CD994">
      <w:start w:val="1"/>
      <w:numFmt w:val="bullet"/>
      <w:lvlText w:val=""/>
      <w:lvlJc w:val="left"/>
      <w:pPr>
        <w:ind w:left="720" w:hanging="360"/>
      </w:pPr>
      <w:rPr>
        <w:rFonts w:ascii="Symbol" w:hAnsi="Symbol"/>
      </w:rPr>
    </w:lvl>
    <w:lvl w:ilvl="4" w:tplc="BBA8C25E">
      <w:start w:val="1"/>
      <w:numFmt w:val="bullet"/>
      <w:lvlText w:val=""/>
      <w:lvlJc w:val="left"/>
      <w:pPr>
        <w:ind w:left="720" w:hanging="360"/>
      </w:pPr>
      <w:rPr>
        <w:rFonts w:ascii="Symbol" w:hAnsi="Symbol"/>
      </w:rPr>
    </w:lvl>
    <w:lvl w:ilvl="5" w:tplc="358C821A">
      <w:start w:val="1"/>
      <w:numFmt w:val="bullet"/>
      <w:lvlText w:val=""/>
      <w:lvlJc w:val="left"/>
      <w:pPr>
        <w:ind w:left="720" w:hanging="360"/>
      </w:pPr>
      <w:rPr>
        <w:rFonts w:ascii="Symbol" w:hAnsi="Symbol"/>
      </w:rPr>
    </w:lvl>
    <w:lvl w:ilvl="6" w:tplc="A9942DD6">
      <w:start w:val="1"/>
      <w:numFmt w:val="bullet"/>
      <w:lvlText w:val=""/>
      <w:lvlJc w:val="left"/>
      <w:pPr>
        <w:ind w:left="720" w:hanging="360"/>
      </w:pPr>
      <w:rPr>
        <w:rFonts w:ascii="Symbol" w:hAnsi="Symbol"/>
      </w:rPr>
    </w:lvl>
    <w:lvl w:ilvl="7" w:tplc="D38AD4CC">
      <w:start w:val="1"/>
      <w:numFmt w:val="bullet"/>
      <w:lvlText w:val=""/>
      <w:lvlJc w:val="left"/>
      <w:pPr>
        <w:ind w:left="720" w:hanging="360"/>
      </w:pPr>
      <w:rPr>
        <w:rFonts w:ascii="Symbol" w:hAnsi="Symbol"/>
      </w:rPr>
    </w:lvl>
    <w:lvl w:ilvl="8" w:tplc="0D605F68">
      <w:start w:val="1"/>
      <w:numFmt w:val="bullet"/>
      <w:lvlText w:val=""/>
      <w:lvlJc w:val="left"/>
      <w:pPr>
        <w:ind w:left="720" w:hanging="360"/>
      </w:pPr>
      <w:rPr>
        <w:rFonts w:ascii="Symbol" w:hAnsi="Symbol"/>
      </w:rPr>
    </w:lvl>
  </w:abstractNum>
  <w:abstractNum w:abstractNumId="44" w15:restartNumberingAfterBreak="0">
    <w:nsid w:val="1B1355FE"/>
    <w:multiLevelType w:val="hybridMultilevel"/>
    <w:tmpl w:val="6944CAAE"/>
    <w:lvl w:ilvl="0" w:tplc="87900F7C">
      <w:start w:val="1"/>
      <w:numFmt w:val="lowerRoman"/>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6" w15:restartNumberingAfterBreak="0">
    <w:nsid w:val="1BE7C9D1"/>
    <w:multiLevelType w:val="hybridMultilevel"/>
    <w:tmpl w:val="FFFFFFFF"/>
    <w:lvl w:ilvl="0" w:tplc="021C64B8">
      <w:start w:val="1"/>
      <w:numFmt w:val="bullet"/>
      <w:lvlText w:val=""/>
      <w:lvlJc w:val="left"/>
      <w:pPr>
        <w:ind w:left="720" w:hanging="360"/>
      </w:pPr>
      <w:rPr>
        <w:rFonts w:ascii="Symbol" w:hAnsi="Symbol" w:hint="default"/>
      </w:rPr>
    </w:lvl>
    <w:lvl w:ilvl="1" w:tplc="4C5611E8">
      <w:start w:val="1"/>
      <w:numFmt w:val="bullet"/>
      <w:lvlText w:val="o"/>
      <w:lvlJc w:val="left"/>
      <w:pPr>
        <w:ind w:left="1440" w:hanging="360"/>
      </w:pPr>
      <w:rPr>
        <w:rFonts w:ascii="Courier New" w:hAnsi="Courier New" w:hint="default"/>
      </w:rPr>
    </w:lvl>
    <w:lvl w:ilvl="2" w:tplc="5292FCDA">
      <w:start w:val="1"/>
      <w:numFmt w:val="bullet"/>
      <w:lvlText w:val=""/>
      <w:lvlJc w:val="left"/>
      <w:pPr>
        <w:ind w:left="2160" w:hanging="360"/>
      </w:pPr>
      <w:rPr>
        <w:rFonts w:ascii="Wingdings" w:hAnsi="Wingdings" w:hint="default"/>
      </w:rPr>
    </w:lvl>
    <w:lvl w:ilvl="3" w:tplc="D6C288CC">
      <w:start w:val="1"/>
      <w:numFmt w:val="bullet"/>
      <w:lvlText w:val=""/>
      <w:lvlJc w:val="left"/>
      <w:pPr>
        <w:ind w:left="2880" w:hanging="360"/>
      </w:pPr>
      <w:rPr>
        <w:rFonts w:ascii="Symbol" w:hAnsi="Symbol" w:hint="default"/>
      </w:rPr>
    </w:lvl>
    <w:lvl w:ilvl="4" w:tplc="9C66A140">
      <w:start w:val="1"/>
      <w:numFmt w:val="bullet"/>
      <w:lvlText w:val="o"/>
      <w:lvlJc w:val="left"/>
      <w:pPr>
        <w:ind w:left="3600" w:hanging="360"/>
      </w:pPr>
      <w:rPr>
        <w:rFonts w:ascii="Courier New" w:hAnsi="Courier New" w:hint="default"/>
      </w:rPr>
    </w:lvl>
    <w:lvl w:ilvl="5" w:tplc="A08216B8">
      <w:start w:val="1"/>
      <w:numFmt w:val="bullet"/>
      <w:lvlText w:val=""/>
      <w:lvlJc w:val="left"/>
      <w:pPr>
        <w:ind w:left="4320" w:hanging="360"/>
      </w:pPr>
      <w:rPr>
        <w:rFonts w:ascii="Wingdings" w:hAnsi="Wingdings" w:hint="default"/>
      </w:rPr>
    </w:lvl>
    <w:lvl w:ilvl="6" w:tplc="DC146BEE">
      <w:start w:val="1"/>
      <w:numFmt w:val="bullet"/>
      <w:lvlText w:val=""/>
      <w:lvlJc w:val="left"/>
      <w:pPr>
        <w:ind w:left="5040" w:hanging="360"/>
      </w:pPr>
      <w:rPr>
        <w:rFonts w:ascii="Symbol" w:hAnsi="Symbol" w:hint="default"/>
      </w:rPr>
    </w:lvl>
    <w:lvl w:ilvl="7" w:tplc="2886E438">
      <w:start w:val="1"/>
      <w:numFmt w:val="bullet"/>
      <w:lvlText w:val="o"/>
      <w:lvlJc w:val="left"/>
      <w:pPr>
        <w:ind w:left="5760" w:hanging="360"/>
      </w:pPr>
      <w:rPr>
        <w:rFonts w:ascii="Courier New" w:hAnsi="Courier New" w:hint="default"/>
      </w:rPr>
    </w:lvl>
    <w:lvl w:ilvl="8" w:tplc="DF7AE31E">
      <w:start w:val="1"/>
      <w:numFmt w:val="bullet"/>
      <w:lvlText w:val=""/>
      <w:lvlJc w:val="left"/>
      <w:pPr>
        <w:ind w:left="6480" w:hanging="360"/>
      </w:pPr>
      <w:rPr>
        <w:rFonts w:ascii="Wingdings" w:hAnsi="Wingdings" w:hint="default"/>
      </w:rPr>
    </w:lvl>
  </w:abstractNum>
  <w:abstractNum w:abstractNumId="47" w15:restartNumberingAfterBreak="0">
    <w:nsid w:val="1C2C754A"/>
    <w:multiLevelType w:val="multilevel"/>
    <w:tmpl w:val="E752DD88"/>
    <w:lvl w:ilvl="0">
      <w:start w:val="1"/>
      <w:numFmt w:val="decimal"/>
      <w:lvlText w:val="%1."/>
      <w:lvlJc w:val="left"/>
      <w:pPr>
        <w:ind w:left="476" w:hanging="476"/>
      </w:pPr>
      <w:rPr>
        <w:rFonts w:hint="default"/>
        <w:b w:val="0"/>
        <w:bCs w:val="0"/>
      </w:rPr>
    </w:lvl>
    <w:lvl w:ilvl="1">
      <w:start w:val="1"/>
      <w:numFmt w:val="lowerLetter"/>
      <w:lvlText w:val="%2."/>
      <w:lvlJc w:val="left"/>
      <w:pPr>
        <w:ind w:left="953" w:hanging="477"/>
      </w:pPr>
      <w:rPr>
        <w:rFonts w:hint="default"/>
      </w:rPr>
    </w:lvl>
    <w:lvl w:ilvl="2">
      <w:start w:val="1"/>
      <w:numFmt w:val="lowerRoman"/>
      <w:lvlText w:val="%3."/>
      <w:lvlJc w:val="left"/>
      <w:pPr>
        <w:ind w:left="1429" w:hanging="476"/>
      </w:pPr>
      <w:rPr>
        <w:rFonts w:ascii="Times New Roman" w:eastAsiaTheme="minorHAnsi" w:hAnsi="Times New Roman" w:cs="Times New Roman"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8" w15:restartNumberingAfterBreak="0">
    <w:nsid w:val="1DC42A60"/>
    <w:multiLevelType w:val="hybridMultilevel"/>
    <w:tmpl w:val="7F00B8C8"/>
    <w:lvl w:ilvl="0" w:tplc="98AA2F5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9" w15:restartNumberingAfterBreak="0">
    <w:nsid w:val="1DEE79D2"/>
    <w:multiLevelType w:val="hybridMultilevel"/>
    <w:tmpl w:val="3B86D608"/>
    <w:lvl w:ilvl="0" w:tplc="9C9A4DC4">
      <w:start w:val="1"/>
      <w:numFmt w:val="lowerLetter"/>
      <w:lvlText w:val="%1)"/>
      <w:lvlJc w:val="left"/>
      <w:pPr>
        <w:ind w:left="515" w:hanging="360"/>
      </w:pPr>
      <w:rPr>
        <w:rFonts w:ascii="Calibri" w:hAnsi="Calibri" w:cs="Calibri" w:hint="default"/>
      </w:rPr>
    </w:lvl>
    <w:lvl w:ilvl="1" w:tplc="FFFFFFFF">
      <w:start w:val="1"/>
      <w:numFmt w:val="lowerLetter"/>
      <w:lvlText w:val="%2."/>
      <w:lvlJc w:val="left"/>
      <w:pPr>
        <w:ind w:left="1235" w:hanging="360"/>
      </w:pPr>
    </w:lvl>
    <w:lvl w:ilvl="2" w:tplc="FFFFFFFF">
      <w:start w:val="1"/>
      <w:numFmt w:val="lowerRoman"/>
      <w:lvlText w:val="%3."/>
      <w:lvlJc w:val="right"/>
      <w:pPr>
        <w:ind w:left="1955" w:hanging="180"/>
      </w:pPr>
    </w:lvl>
    <w:lvl w:ilvl="3" w:tplc="FFFFFFFF">
      <w:start w:val="1"/>
      <w:numFmt w:val="decimal"/>
      <w:lvlText w:val="%4."/>
      <w:lvlJc w:val="left"/>
      <w:pPr>
        <w:ind w:left="2675" w:hanging="360"/>
      </w:pPr>
    </w:lvl>
    <w:lvl w:ilvl="4" w:tplc="FFFFFFFF">
      <w:start w:val="1"/>
      <w:numFmt w:val="lowerLetter"/>
      <w:lvlText w:val="%5."/>
      <w:lvlJc w:val="left"/>
      <w:pPr>
        <w:ind w:left="3395" w:hanging="360"/>
      </w:pPr>
    </w:lvl>
    <w:lvl w:ilvl="5" w:tplc="FFFFFFFF">
      <w:start w:val="1"/>
      <w:numFmt w:val="lowerRoman"/>
      <w:lvlText w:val="%6."/>
      <w:lvlJc w:val="right"/>
      <w:pPr>
        <w:ind w:left="4115" w:hanging="180"/>
      </w:pPr>
    </w:lvl>
    <w:lvl w:ilvl="6" w:tplc="FFFFFFFF">
      <w:start w:val="1"/>
      <w:numFmt w:val="decimal"/>
      <w:lvlText w:val="%7."/>
      <w:lvlJc w:val="left"/>
      <w:pPr>
        <w:ind w:left="4835" w:hanging="360"/>
      </w:pPr>
    </w:lvl>
    <w:lvl w:ilvl="7" w:tplc="FFFFFFFF">
      <w:start w:val="1"/>
      <w:numFmt w:val="lowerLetter"/>
      <w:lvlText w:val="%8."/>
      <w:lvlJc w:val="left"/>
      <w:pPr>
        <w:ind w:left="5555" w:hanging="360"/>
      </w:pPr>
    </w:lvl>
    <w:lvl w:ilvl="8" w:tplc="FFFFFFFF">
      <w:start w:val="1"/>
      <w:numFmt w:val="lowerRoman"/>
      <w:lvlText w:val="%9."/>
      <w:lvlJc w:val="right"/>
      <w:pPr>
        <w:ind w:left="6275" w:hanging="180"/>
      </w:pPr>
    </w:lvl>
  </w:abstractNum>
  <w:abstractNum w:abstractNumId="50" w15:restartNumberingAfterBreak="0">
    <w:nsid w:val="20476A4D"/>
    <w:multiLevelType w:val="hybridMultilevel"/>
    <w:tmpl w:val="D8A81E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213235A0"/>
    <w:multiLevelType w:val="hybridMultilevel"/>
    <w:tmpl w:val="ADB43F48"/>
    <w:lvl w:ilvl="0" w:tplc="FFFFFFFF">
      <w:start w:val="1"/>
      <w:numFmt w:val="lowerRoman"/>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2" w15:restartNumberingAfterBreak="0">
    <w:nsid w:val="21515FC5"/>
    <w:multiLevelType w:val="hybridMultilevel"/>
    <w:tmpl w:val="8534A802"/>
    <w:lvl w:ilvl="0" w:tplc="F1165A34">
      <w:start w:val="1"/>
      <w:numFmt w:val="decimal"/>
      <w:lvlText w:val="%1)"/>
      <w:lvlJc w:val="left"/>
      <w:pPr>
        <w:ind w:left="1020" w:hanging="360"/>
      </w:pPr>
    </w:lvl>
    <w:lvl w:ilvl="1" w:tplc="CF6A8F1E">
      <w:start w:val="1"/>
      <w:numFmt w:val="decimal"/>
      <w:lvlText w:val="%2)"/>
      <w:lvlJc w:val="left"/>
      <w:pPr>
        <w:ind w:left="1020" w:hanging="360"/>
      </w:pPr>
    </w:lvl>
    <w:lvl w:ilvl="2" w:tplc="152E052C">
      <w:start w:val="1"/>
      <w:numFmt w:val="decimal"/>
      <w:lvlText w:val="%3)"/>
      <w:lvlJc w:val="left"/>
      <w:pPr>
        <w:ind w:left="1020" w:hanging="360"/>
      </w:pPr>
    </w:lvl>
    <w:lvl w:ilvl="3" w:tplc="BFEA28F0">
      <w:start w:val="1"/>
      <w:numFmt w:val="decimal"/>
      <w:lvlText w:val="%4)"/>
      <w:lvlJc w:val="left"/>
      <w:pPr>
        <w:ind w:left="1020" w:hanging="360"/>
      </w:pPr>
    </w:lvl>
    <w:lvl w:ilvl="4" w:tplc="0BC859CC">
      <w:start w:val="1"/>
      <w:numFmt w:val="decimal"/>
      <w:lvlText w:val="%5)"/>
      <w:lvlJc w:val="left"/>
      <w:pPr>
        <w:ind w:left="1020" w:hanging="360"/>
      </w:pPr>
    </w:lvl>
    <w:lvl w:ilvl="5" w:tplc="43CC5D4A">
      <w:start w:val="1"/>
      <w:numFmt w:val="decimal"/>
      <w:lvlText w:val="%6)"/>
      <w:lvlJc w:val="left"/>
      <w:pPr>
        <w:ind w:left="1020" w:hanging="360"/>
      </w:pPr>
    </w:lvl>
    <w:lvl w:ilvl="6" w:tplc="47E22A80">
      <w:start w:val="1"/>
      <w:numFmt w:val="decimal"/>
      <w:lvlText w:val="%7)"/>
      <w:lvlJc w:val="left"/>
      <w:pPr>
        <w:ind w:left="1020" w:hanging="360"/>
      </w:pPr>
    </w:lvl>
    <w:lvl w:ilvl="7" w:tplc="E8B85C54">
      <w:start w:val="1"/>
      <w:numFmt w:val="decimal"/>
      <w:lvlText w:val="%8)"/>
      <w:lvlJc w:val="left"/>
      <w:pPr>
        <w:ind w:left="1020" w:hanging="360"/>
      </w:pPr>
    </w:lvl>
    <w:lvl w:ilvl="8" w:tplc="5AA83914">
      <w:start w:val="1"/>
      <w:numFmt w:val="decimal"/>
      <w:lvlText w:val="%9)"/>
      <w:lvlJc w:val="left"/>
      <w:pPr>
        <w:ind w:left="1020" w:hanging="360"/>
      </w:pPr>
    </w:lvl>
  </w:abstractNum>
  <w:abstractNum w:abstractNumId="53"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5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5" w15:restartNumberingAfterBreak="0">
    <w:nsid w:val="243F2C43"/>
    <w:multiLevelType w:val="hybridMultilevel"/>
    <w:tmpl w:val="FF10A39C"/>
    <w:lvl w:ilvl="0" w:tplc="FFFFFFFF">
      <w:start w:val="1"/>
      <w:numFmt w:val="lowerRoman"/>
      <w:lvlText w:val="(%1)"/>
      <w:lvlJc w:val="left"/>
      <w:pPr>
        <w:ind w:left="1080" w:hanging="720"/>
      </w:pPr>
      <w:rPr>
        <w:rFonts w:eastAsiaTheme="minorEastAsia"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260A02CF"/>
    <w:multiLevelType w:val="hybridMultilevel"/>
    <w:tmpl w:val="BF48C61C"/>
    <w:lvl w:ilvl="0" w:tplc="A42EFFDA">
      <w:start w:val="1"/>
      <w:numFmt w:val="bullet"/>
      <w:lvlText w:val=""/>
      <w:lvlJc w:val="left"/>
      <w:pPr>
        <w:ind w:left="1080" w:hanging="360"/>
      </w:pPr>
      <w:rPr>
        <w:rFonts w:ascii="Symbol" w:hAnsi="Symbol"/>
      </w:rPr>
    </w:lvl>
    <w:lvl w:ilvl="1" w:tplc="D40A0BCA">
      <w:start w:val="1"/>
      <w:numFmt w:val="bullet"/>
      <w:lvlText w:val=""/>
      <w:lvlJc w:val="left"/>
      <w:pPr>
        <w:ind w:left="1080" w:hanging="360"/>
      </w:pPr>
      <w:rPr>
        <w:rFonts w:ascii="Symbol" w:hAnsi="Symbol"/>
      </w:rPr>
    </w:lvl>
    <w:lvl w:ilvl="2" w:tplc="86A2617A">
      <w:start w:val="1"/>
      <w:numFmt w:val="bullet"/>
      <w:lvlText w:val=""/>
      <w:lvlJc w:val="left"/>
      <w:pPr>
        <w:ind w:left="1080" w:hanging="360"/>
      </w:pPr>
      <w:rPr>
        <w:rFonts w:ascii="Symbol" w:hAnsi="Symbol"/>
      </w:rPr>
    </w:lvl>
    <w:lvl w:ilvl="3" w:tplc="E892B582">
      <w:start w:val="1"/>
      <w:numFmt w:val="bullet"/>
      <w:lvlText w:val=""/>
      <w:lvlJc w:val="left"/>
      <w:pPr>
        <w:ind w:left="1080" w:hanging="360"/>
      </w:pPr>
      <w:rPr>
        <w:rFonts w:ascii="Symbol" w:hAnsi="Symbol"/>
      </w:rPr>
    </w:lvl>
    <w:lvl w:ilvl="4" w:tplc="C06C705E">
      <w:start w:val="1"/>
      <w:numFmt w:val="bullet"/>
      <w:lvlText w:val=""/>
      <w:lvlJc w:val="left"/>
      <w:pPr>
        <w:ind w:left="1080" w:hanging="360"/>
      </w:pPr>
      <w:rPr>
        <w:rFonts w:ascii="Symbol" w:hAnsi="Symbol"/>
      </w:rPr>
    </w:lvl>
    <w:lvl w:ilvl="5" w:tplc="65CA71E2">
      <w:start w:val="1"/>
      <w:numFmt w:val="bullet"/>
      <w:lvlText w:val=""/>
      <w:lvlJc w:val="left"/>
      <w:pPr>
        <w:ind w:left="1080" w:hanging="360"/>
      </w:pPr>
      <w:rPr>
        <w:rFonts w:ascii="Symbol" w:hAnsi="Symbol"/>
      </w:rPr>
    </w:lvl>
    <w:lvl w:ilvl="6" w:tplc="60F2A99A">
      <w:start w:val="1"/>
      <w:numFmt w:val="bullet"/>
      <w:lvlText w:val=""/>
      <w:lvlJc w:val="left"/>
      <w:pPr>
        <w:ind w:left="1080" w:hanging="360"/>
      </w:pPr>
      <w:rPr>
        <w:rFonts w:ascii="Symbol" w:hAnsi="Symbol"/>
      </w:rPr>
    </w:lvl>
    <w:lvl w:ilvl="7" w:tplc="1C7E954E">
      <w:start w:val="1"/>
      <w:numFmt w:val="bullet"/>
      <w:lvlText w:val=""/>
      <w:lvlJc w:val="left"/>
      <w:pPr>
        <w:ind w:left="1080" w:hanging="360"/>
      </w:pPr>
      <w:rPr>
        <w:rFonts w:ascii="Symbol" w:hAnsi="Symbol"/>
      </w:rPr>
    </w:lvl>
    <w:lvl w:ilvl="8" w:tplc="58F41382">
      <w:start w:val="1"/>
      <w:numFmt w:val="bullet"/>
      <w:lvlText w:val=""/>
      <w:lvlJc w:val="left"/>
      <w:pPr>
        <w:ind w:left="1080" w:hanging="360"/>
      </w:pPr>
      <w:rPr>
        <w:rFonts w:ascii="Symbol" w:hAnsi="Symbol"/>
      </w:rPr>
    </w:lvl>
  </w:abstractNum>
  <w:abstractNum w:abstractNumId="57" w15:restartNumberingAfterBreak="0">
    <w:nsid w:val="26734684"/>
    <w:multiLevelType w:val="multilevel"/>
    <w:tmpl w:val="A5507D3C"/>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8" w15:restartNumberingAfterBreak="0">
    <w:nsid w:val="282C67BF"/>
    <w:multiLevelType w:val="hybridMultilevel"/>
    <w:tmpl w:val="FC8E59E0"/>
    <w:lvl w:ilvl="0" w:tplc="FFFFFFFF">
      <w:start w:val="1"/>
      <w:numFmt w:val="lowerLetter"/>
      <w:lvlText w:val="%1."/>
      <w:lvlJc w:val="left"/>
      <w:pPr>
        <w:ind w:left="720" w:hanging="360"/>
      </w:pPr>
    </w:lvl>
    <w:lvl w:ilvl="1" w:tplc="1809000F">
      <w:start w:val="1"/>
      <w:numFmt w:val="decimal"/>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395275F8">
      <w:start w:val="1"/>
      <w:numFmt w:val="lowerRoman"/>
      <w:lvlText w:val="%4)"/>
      <w:lvlJc w:val="left"/>
      <w:pPr>
        <w:ind w:left="3240" w:hanging="720"/>
      </w:pPr>
      <w:rPr>
        <w:rFonts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9" w15:restartNumberingAfterBreak="0">
    <w:nsid w:val="2A2E70CA"/>
    <w:multiLevelType w:val="multilevel"/>
    <w:tmpl w:val="0409001D"/>
    <w:styleLink w:val="1ai"/>
    <w:lvl w:ilvl="0">
      <w:start w:val="1"/>
      <w:numFmt w:val="decimal"/>
      <w:lvlText w:val="%1)"/>
      <w:lvlJc w:val="left"/>
      <w:pPr>
        <w:ind w:left="360" w:hanging="360"/>
      </w:pPr>
      <w:rPr>
        <w:rFonts w:ascii="Arial" w:hAnsi="Arial" w:cs="Arial"/>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0" w15:restartNumberingAfterBreak="0">
    <w:nsid w:val="2BC27D6D"/>
    <w:multiLevelType w:val="hybridMultilevel"/>
    <w:tmpl w:val="44387BF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2"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63"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4"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65" w15:restartNumberingAfterBreak="0">
    <w:nsid w:val="2D584D8E"/>
    <w:multiLevelType w:val="multilevel"/>
    <w:tmpl w:val="65D05AB2"/>
    <w:lvl w:ilvl="0">
      <w:start w:val="1"/>
      <w:numFmt w:val="decimal"/>
      <w:lvlText w:val="%1."/>
      <w:lvlJc w:val="left"/>
      <w:pPr>
        <w:ind w:left="476" w:hanging="476"/>
      </w:pPr>
      <w:rPr>
        <w:rFonts w:hint="default"/>
        <w:b w:val="0"/>
        <w:bCs w:val="0"/>
      </w:rPr>
    </w:lvl>
    <w:lvl w:ilvl="1">
      <w:start w:val="1"/>
      <w:numFmt w:val="lowerLetter"/>
      <w:lvlText w:val="%2."/>
      <w:lvlJc w:val="left"/>
      <w:pPr>
        <w:ind w:left="953" w:hanging="477"/>
      </w:pPr>
      <w:rPr>
        <w:rFonts w:hint="default"/>
      </w:rPr>
    </w:lvl>
    <w:lvl w:ilvl="2">
      <w:start w:val="1"/>
      <w:numFmt w:val="lowerRoman"/>
      <w:lvlText w:val="%3."/>
      <w:lvlJc w:val="left"/>
      <w:pPr>
        <w:ind w:left="1429" w:hanging="476"/>
      </w:pPr>
      <w:rPr>
        <w:rFonts w:ascii="Times New Roman" w:eastAsiaTheme="minorHAnsi" w:hAnsi="Times New Roman" w:cs="Times New Roman"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6"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67" w15:restartNumberingAfterBreak="0">
    <w:nsid w:val="2E246628"/>
    <w:multiLevelType w:val="hybridMultilevel"/>
    <w:tmpl w:val="8E3AC5EE"/>
    <w:lvl w:ilvl="0" w:tplc="08090001">
      <w:start w:val="1"/>
      <w:numFmt w:val="bullet"/>
      <w:lvlText w:val=""/>
      <w:lvlJc w:val="left"/>
      <w:pPr>
        <w:ind w:left="720" w:hanging="360"/>
      </w:pPr>
      <w:rPr>
        <w:rFonts w:ascii="Symbol" w:hAnsi="Symbol" w:hint="default"/>
      </w:rPr>
    </w:lvl>
    <w:lvl w:ilvl="1" w:tplc="08090003" w:tentative="1">
      <w:start w:val="1"/>
      <w:numFmt w:val="bullet"/>
      <w:pStyle w:val="Heading21"/>
      <w:lvlText w:val="o"/>
      <w:lvlJc w:val="left"/>
      <w:pPr>
        <w:ind w:left="1440" w:hanging="360"/>
      </w:pPr>
      <w:rPr>
        <w:rFonts w:ascii="Courier New" w:hAnsi="Courier New" w:cs="Courier New" w:hint="default"/>
      </w:rPr>
    </w:lvl>
    <w:lvl w:ilvl="2" w:tplc="08090005" w:tentative="1">
      <w:start w:val="1"/>
      <w:numFmt w:val="bullet"/>
      <w:pStyle w:val="Heading31"/>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2F8D66B4"/>
    <w:multiLevelType w:val="hybridMultilevel"/>
    <w:tmpl w:val="BCACA684"/>
    <w:lvl w:ilvl="0" w:tplc="FFFFFFFF">
      <w:start w:val="1"/>
      <w:numFmt w:val="decimal"/>
      <w:lvlText w:val="%1."/>
      <w:lvlJc w:val="left"/>
      <w:pPr>
        <w:ind w:left="144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30F555C2"/>
    <w:multiLevelType w:val="hybridMultilevel"/>
    <w:tmpl w:val="FF10A39C"/>
    <w:lvl w:ilvl="0" w:tplc="FFFFFFFF">
      <w:start w:val="1"/>
      <w:numFmt w:val="lowerRoman"/>
      <w:lvlText w:val="(%1)"/>
      <w:lvlJc w:val="left"/>
      <w:pPr>
        <w:ind w:left="1080" w:hanging="720"/>
      </w:pPr>
      <w:rPr>
        <w:rFonts w:eastAsiaTheme="minorEastAsia"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35B94142"/>
    <w:multiLevelType w:val="hybridMultilevel"/>
    <w:tmpl w:val="C2B8C4FE"/>
    <w:lvl w:ilvl="0" w:tplc="040E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36D0193F"/>
    <w:multiLevelType w:val="hybridMultilevel"/>
    <w:tmpl w:val="800235E0"/>
    <w:lvl w:ilvl="0" w:tplc="18090017">
      <w:start w:val="1"/>
      <w:numFmt w:val="lowerLetter"/>
      <w:lvlText w:val="%1)"/>
      <w:lvlJc w:val="left"/>
      <w:pPr>
        <w:ind w:left="788" w:hanging="360"/>
      </w:pPr>
      <w:rPr>
        <w:rFonts w:hint="default"/>
      </w:rPr>
    </w:lvl>
    <w:lvl w:ilvl="1" w:tplc="FFFFFFFF" w:tentative="1">
      <w:start w:val="1"/>
      <w:numFmt w:val="bullet"/>
      <w:lvlText w:val="o"/>
      <w:lvlJc w:val="left"/>
      <w:pPr>
        <w:ind w:left="1508" w:hanging="360"/>
      </w:pPr>
      <w:rPr>
        <w:rFonts w:ascii="Courier New" w:hAnsi="Courier New" w:cs="Courier New" w:hint="default"/>
      </w:rPr>
    </w:lvl>
    <w:lvl w:ilvl="2" w:tplc="FFFFFFFF" w:tentative="1">
      <w:start w:val="1"/>
      <w:numFmt w:val="bullet"/>
      <w:lvlText w:val=""/>
      <w:lvlJc w:val="left"/>
      <w:pPr>
        <w:ind w:left="2228" w:hanging="360"/>
      </w:pPr>
      <w:rPr>
        <w:rFonts w:ascii="Wingdings" w:hAnsi="Wingdings" w:hint="default"/>
      </w:rPr>
    </w:lvl>
    <w:lvl w:ilvl="3" w:tplc="FFFFFFFF" w:tentative="1">
      <w:start w:val="1"/>
      <w:numFmt w:val="bullet"/>
      <w:lvlText w:val=""/>
      <w:lvlJc w:val="left"/>
      <w:pPr>
        <w:ind w:left="2948" w:hanging="360"/>
      </w:pPr>
      <w:rPr>
        <w:rFonts w:ascii="Symbol" w:hAnsi="Symbol" w:hint="default"/>
      </w:rPr>
    </w:lvl>
    <w:lvl w:ilvl="4" w:tplc="FFFFFFFF" w:tentative="1">
      <w:start w:val="1"/>
      <w:numFmt w:val="bullet"/>
      <w:lvlText w:val="o"/>
      <w:lvlJc w:val="left"/>
      <w:pPr>
        <w:ind w:left="3668" w:hanging="360"/>
      </w:pPr>
      <w:rPr>
        <w:rFonts w:ascii="Courier New" w:hAnsi="Courier New" w:cs="Courier New" w:hint="default"/>
      </w:rPr>
    </w:lvl>
    <w:lvl w:ilvl="5" w:tplc="FFFFFFFF" w:tentative="1">
      <w:start w:val="1"/>
      <w:numFmt w:val="bullet"/>
      <w:lvlText w:val=""/>
      <w:lvlJc w:val="left"/>
      <w:pPr>
        <w:ind w:left="4388" w:hanging="360"/>
      </w:pPr>
      <w:rPr>
        <w:rFonts w:ascii="Wingdings" w:hAnsi="Wingdings" w:hint="default"/>
      </w:rPr>
    </w:lvl>
    <w:lvl w:ilvl="6" w:tplc="FFFFFFFF" w:tentative="1">
      <w:start w:val="1"/>
      <w:numFmt w:val="bullet"/>
      <w:lvlText w:val=""/>
      <w:lvlJc w:val="left"/>
      <w:pPr>
        <w:ind w:left="5108" w:hanging="360"/>
      </w:pPr>
      <w:rPr>
        <w:rFonts w:ascii="Symbol" w:hAnsi="Symbol" w:hint="default"/>
      </w:rPr>
    </w:lvl>
    <w:lvl w:ilvl="7" w:tplc="FFFFFFFF" w:tentative="1">
      <w:start w:val="1"/>
      <w:numFmt w:val="bullet"/>
      <w:lvlText w:val="o"/>
      <w:lvlJc w:val="left"/>
      <w:pPr>
        <w:ind w:left="5828" w:hanging="360"/>
      </w:pPr>
      <w:rPr>
        <w:rFonts w:ascii="Courier New" w:hAnsi="Courier New" w:cs="Courier New" w:hint="default"/>
      </w:rPr>
    </w:lvl>
    <w:lvl w:ilvl="8" w:tplc="FFFFFFFF" w:tentative="1">
      <w:start w:val="1"/>
      <w:numFmt w:val="bullet"/>
      <w:lvlText w:val=""/>
      <w:lvlJc w:val="left"/>
      <w:pPr>
        <w:ind w:left="6548" w:hanging="360"/>
      </w:pPr>
      <w:rPr>
        <w:rFonts w:ascii="Wingdings" w:hAnsi="Wingdings" w:hint="default"/>
      </w:rPr>
    </w:lvl>
  </w:abstractNum>
  <w:abstractNum w:abstractNumId="72" w15:restartNumberingAfterBreak="0">
    <w:nsid w:val="37BA08AD"/>
    <w:multiLevelType w:val="hybridMultilevel"/>
    <w:tmpl w:val="038C7A16"/>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73" w15:restartNumberingAfterBreak="0">
    <w:nsid w:val="38E55C55"/>
    <w:multiLevelType w:val="hybridMultilevel"/>
    <w:tmpl w:val="4D809F9C"/>
    <w:lvl w:ilvl="0" w:tplc="E702ECD0">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4"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75" w15:restartNumberingAfterBreak="0">
    <w:nsid w:val="395264BE"/>
    <w:multiLevelType w:val="hybridMultilevel"/>
    <w:tmpl w:val="54C8D48C"/>
    <w:lvl w:ilvl="0" w:tplc="FFFFFFFF">
      <w:start w:val="1"/>
      <w:numFmt w:val="lowerRoman"/>
      <w:lvlText w:val="%1)"/>
      <w:lvlJc w:val="left"/>
      <w:pPr>
        <w:ind w:left="1080" w:hanging="360"/>
      </w:pPr>
    </w:lvl>
    <w:lvl w:ilvl="1" w:tplc="5E926BE6">
      <w:start w:val="1"/>
      <w:numFmt w:val="lowerLetter"/>
      <w:lvlText w:val="%2."/>
      <w:lvlJc w:val="left"/>
      <w:pPr>
        <w:ind w:left="1440" w:hanging="360"/>
      </w:pPr>
    </w:lvl>
    <w:lvl w:ilvl="2" w:tplc="E1A2BFC2">
      <w:start w:val="1"/>
      <w:numFmt w:val="lowerRoman"/>
      <w:lvlText w:val="%3."/>
      <w:lvlJc w:val="right"/>
      <w:pPr>
        <w:ind w:left="2160" w:hanging="180"/>
      </w:pPr>
    </w:lvl>
    <w:lvl w:ilvl="3" w:tplc="07C68370">
      <w:start w:val="1"/>
      <w:numFmt w:val="decimal"/>
      <w:lvlText w:val="%4."/>
      <w:lvlJc w:val="left"/>
      <w:pPr>
        <w:ind w:left="2880" w:hanging="360"/>
      </w:pPr>
    </w:lvl>
    <w:lvl w:ilvl="4" w:tplc="C6BC9BBE">
      <w:start w:val="1"/>
      <w:numFmt w:val="lowerLetter"/>
      <w:lvlText w:val="%5."/>
      <w:lvlJc w:val="left"/>
      <w:pPr>
        <w:ind w:left="3600" w:hanging="360"/>
      </w:pPr>
    </w:lvl>
    <w:lvl w:ilvl="5" w:tplc="6268C47A">
      <w:start w:val="1"/>
      <w:numFmt w:val="lowerRoman"/>
      <w:lvlText w:val="%6."/>
      <w:lvlJc w:val="right"/>
      <w:pPr>
        <w:ind w:left="4320" w:hanging="180"/>
      </w:pPr>
    </w:lvl>
    <w:lvl w:ilvl="6" w:tplc="078013DC">
      <w:start w:val="1"/>
      <w:numFmt w:val="decimal"/>
      <w:lvlText w:val="%7."/>
      <w:lvlJc w:val="left"/>
      <w:pPr>
        <w:ind w:left="5040" w:hanging="360"/>
      </w:pPr>
    </w:lvl>
    <w:lvl w:ilvl="7" w:tplc="5E88E316">
      <w:start w:val="1"/>
      <w:numFmt w:val="lowerLetter"/>
      <w:lvlText w:val="%8."/>
      <w:lvlJc w:val="left"/>
      <w:pPr>
        <w:ind w:left="5760" w:hanging="360"/>
      </w:pPr>
    </w:lvl>
    <w:lvl w:ilvl="8" w:tplc="89201066">
      <w:start w:val="1"/>
      <w:numFmt w:val="lowerRoman"/>
      <w:lvlText w:val="%9."/>
      <w:lvlJc w:val="right"/>
      <w:pPr>
        <w:ind w:left="6480" w:hanging="180"/>
      </w:pPr>
    </w:lvl>
  </w:abstractNum>
  <w:abstractNum w:abstractNumId="76" w15:restartNumberingAfterBreak="0">
    <w:nsid w:val="3A534033"/>
    <w:multiLevelType w:val="hybridMultilevel"/>
    <w:tmpl w:val="B73C0D8C"/>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7" w15:restartNumberingAfterBreak="0">
    <w:nsid w:val="3AE1050D"/>
    <w:multiLevelType w:val="hybridMultilevel"/>
    <w:tmpl w:val="A92C86DE"/>
    <w:lvl w:ilvl="0" w:tplc="A64093C0">
      <w:start w:val="1"/>
      <w:numFmt w:val="lowerRoman"/>
      <w:lvlText w:val="%1)"/>
      <w:lvlJc w:val="left"/>
      <w:pPr>
        <w:ind w:left="1080" w:hanging="720"/>
      </w:pPr>
      <w:rPr>
        <w:rFonts w:eastAsiaTheme="minorEastAsia"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8" w15:restartNumberingAfterBreak="0">
    <w:nsid w:val="3C037935"/>
    <w:multiLevelType w:val="hybridMultilevel"/>
    <w:tmpl w:val="892283D2"/>
    <w:lvl w:ilvl="0" w:tplc="CF4AC1D4">
      <w:start w:val="1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3C500C07"/>
    <w:multiLevelType w:val="hybridMultilevel"/>
    <w:tmpl w:val="5AC0F1F6"/>
    <w:lvl w:ilvl="0" w:tplc="C576E85E">
      <w:start w:val="1"/>
      <w:numFmt w:val="lowerRoman"/>
      <w:lvlText w:val="%1)"/>
      <w:lvlJc w:val="left"/>
      <w:pPr>
        <w:ind w:left="1800" w:hanging="360"/>
      </w:pPr>
    </w:lvl>
    <w:lvl w:ilvl="1" w:tplc="E4F2B198">
      <w:start w:val="1"/>
      <w:numFmt w:val="lowerLetter"/>
      <w:lvlText w:val="%2."/>
      <w:lvlJc w:val="left"/>
      <w:pPr>
        <w:ind w:left="2520" w:hanging="360"/>
      </w:pPr>
    </w:lvl>
    <w:lvl w:ilvl="2" w:tplc="B8F2CBDA">
      <w:start w:val="1"/>
      <w:numFmt w:val="lowerRoman"/>
      <w:lvlText w:val="%3."/>
      <w:lvlJc w:val="right"/>
      <w:pPr>
        <w:ind w:left="3240" w:hanging="180"/>
      </w:pPr>
    </w:lvl>
    <w:lvl w:ilvl="3" w:tplc="025E36F2">
      <w:start w:val="1"/>
      <w:numFmt w:val="decimal"/>
      <w:lvlText w:val="%4."/>
      <w:lvlJc w:val="left"/>
      <w:pPr>
        <w:ind w:left="3960" w:hanging="360"/>
      </w:pPr>
    </w:lvl>
    <w:lvl w:ilvl="4" w:tplc="32BA79D4">
      <w:start w:val="1"/>
      <w:numFmt w:val="lowerLetter"/>
      <w:lvlText w:val="%5."/>
      <w:lvlJc w:val="left"/>
      <w:pPr>
        <w:ind w:left="4680" w:hanging="360"/>
      </w:pPr>
    </w:lvl>
    <w:lvl w:ilvl="5" w:tplc="49FCDC34">
      <w:start w:val="1"/>
      <w:numFmt w:val="lowerRoman"/>
      <w:lvlText w:val="%6."/>
      <w:lvlJc w:val="right"/>
      <w:pPr>
        <w:ind w:left="5400" w:hanging="180"/>
      </w:pPr>
    </w:lvl>
    <w:lvl w:ilvl="6" w:tplc="48CE59FA">
      <w:start w:val="1"/>
      <w:numFmt w:val="decimal"/>
      <w:lvlText w:val="%7."/>
      <w:lvlJc w:val="left"/>
      <w:pPr>
        <w:ind w:left="6120" w:hanging="360"/>
      </w:pPr>
    </w:lvl>
    <w:lvl w:ilvl="7" w:tplc="40488804">
      <w:start w:val="1"/>
      <w:numFmt w:val="lowerLetter"/>
      <w:lvlText w:val="%8."/>
      <w:lvlJc w:val="left"/>
      <w:pPr>
        <w:ind w:left="6840" w:hanging="360"/>
      </w:pPr>
    </w:lvl>
    <w:lvl w:ilvl="8" w:tplc="82A8CF7C">
      <w:start w:val="1"/>
      <w:numFmt w:val="lowerRoman"/>
      <w:lvlText w:val="%9."/>
      <w:lvlJc w:val="right"/>
      <w:pPr>
        <w:ind w:left="7560" w:hanging="180"/>
      </w:pPr>
    </w:lvl>
  </w:abstractNum>
  <w:abstractNum w:abstractNumId="80" w15:restartNumberingAfterBreak="0">
    <w:nsid w:val="3CA718AE"/>
    <w:multiLevelType w:val="hybridMultilevel"/>
    <w:tmpl w:val="25CAFE60"/>
    <w:lvl w:ilvl="0" w:tplc="3DF09560">
      <w:start w:val="1"/>
      <w:numFmt w:val="bullet"/>
      <w:lvlText w:val=""/>
      <w:lvlJc w:val="left"/>
      <w:pPr>
        <w:ind w:left="720" w:hanging="360"/>
      </w:pPr>
      <w:rPr>
        <w:rFonts w:ascii="Symbol" w:hAnsi="Symbol"/>
      </w:rPr>
    </w:lvl>
    <w:lvl w:ilvl="1" w:tplc="F146B046">
      <w:start w:val="1"/>
      <w:numFmt w:val="bullet"/>
      <w:lvlText w:val=""/>
      <w:lvlJc w:val="left"/>
      <w:pPr>
        <w:ind w:left="720" w:hanging="360"/>
      </w:pPr>
      <w:rPr>
        <w:rFonts w:ascii="Symbol" w:hAnsi="Symbol"/>
      </w:rPr>
    </w:lvl>
    <w:lvl w:ilvl="2" w:tplc="2086F58A">
      <w:start w:val="1"/>
      <w:numFmt w:val="bullet"/>
      <w:lvlText w:val=""/>
      <w:lvlJc w:val="left"/>
      <w:pPr>
        <w:ind w:left="720" w:hanging="360"/>
      </w:pPr>
      <w:rPr>
        <w:rFonts w:ascii="Symbol" w:hAnsi="Symbol"/>
      </w:rPr>
    </w:lvl>
    <w:lvl w:ilvl="3" w:tplc="78A84600">
      <w:start w:val="1"/>
      <w:numFmt w:val="bullet"/>
      <w:lvlText w:val=""/>
      <w:lvlJc w:val="left"/>
      <w:pPr>
        <w:ind w:left="720" w:hanging="360"/>
      </w:pPr>
      <w:rPr>
        <w:rFonts w:ascii="Symbol" w:hAnsi="Symbol"/>
      </w:rPr>
    </w:lvl>
    <w:lvl w:ilvl="4" w:tplc="E8EEB696">
      <w:start w:val="1"/>
      <w:numFmt w:val="bullet"/>
      <w:lvlText w:val=""/>
      <w:lvlJc w:val="left"/>
      <w:pPr>
        <w:ind w:left="720" w:hanging="360"/>
      </w:pPr>
      <w:rPr>
        <w:rFonts w:ascii="Symbol" w:hAnsi="Symbol"/>
      </w:rPr>
    </w:lvl>
    <w:lvl w:ilvl="5" w:tplc="1D2A421E">
      <w:start w:val="1"/>
      <w:numFmt w:val="bullet"/>
      <w:lvlText w:val=""/>
      <w:lvlJc w:val="left"/>
      <w:pPr>
        <w:ind w:left="720" w:hanging="360"/>
      </w:pPr>
      <w:rPr>
        <w:rFonts w:ascii="Symbol" w:hAnsi="Symbol"/>
      </w:rPr>
    </w:lvl>
    <w:lvl w:ilvl="6" w:tplc="C3FC4A68">
      <w:start w:val="1"/>
      <w:numFmt w:val="bullet"/>
      <w:lvlText w:val=""/>
      <w:lvlJc w:val="left"/>
      <w:pPr>
        <w:ind w:left="720" w:hanging="360"/>
      </w:pPr>
      <w:rPr>
        <w:rFonts w:ascii="Symbol" w:hAnsi="Symbol"/>
      </w:rPr>
    </w:lvl>
    <w:lvl w:ilvl="7" w:tplc="EF1EDEF0">
      <w:start w:val="1"/>
      <w:numFmt w:val="bullet"/>
      <w:lvlText w:val=""/>
      <w:lvlJc w:val="left"/>
      <w:pPr>
        <w:ind w:left="720" w:hanging="360"/>
      </w:pPr>
      <w:rPr>
        <w:rFonts w:ascii="Symbol" w:hAnsi="Symbol"/>
      </w:rPr>
    </w:lvl>
    <w:lvl w:ilvl="8" w:tplc="3A9018EC">
      <w:start w:val="1"/>
      <w:numFmt w:val="bullet"/>
      <w:lvlText w:val=""/>
      <w:lvlJc w:val="left"/>
      <w:pPr>
        <w:ind w:left="720" w:hanging="360"/>
      </w:pPr>
      <w:rPr>
        <w:rFonts w:ascii="Symbol" w:hAnsi="Symbol"/>
      </w:rPr>
    </w:lvl>
  </w:abstractNum>
  <w:abstractNum w:abstractNumId="81"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82" w15:restartNumberingAfterBreak="0">
    <w:nsid w:val="3E5A3354"/>
    <w:multiLevelType w:val="hybridMultilevel"/>
    <w:tmpl w:val="52D87BB4"/>
    <w:lvl w:ilvl="0" w:tplc="E3BC3294">
      <w:start w:val="4"/>
      <w:numFmt w:val="bullet"/>
      <w:lvlText w:val="-"/>
      <w:lvlJc w:val="left"/>
      <w:pPr>
        <w:ind w:left="360" w:hanging="360"/>
      </w:pPr>
      <w:rPr>
        <w:rFonts w:ascii="Times New Roman" w:eastAsia="Times New Roman"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3" w15:restartNumberingAfterBreak="0">
    <w:nsid w:val="3E836F05"/>
    <w:multiLevelType w:val="multilevel"/>
    <w:tmpl w:val="04090023"/>
    <w:styleLink w:val="ArticleSection"/>
    <w:lvl w:ilvl="0">
      <w:start w:val="1"/>
      <w:numFmt w:val="upperRoman"/>
      <w:lvlText w:val="Article %1."/>
      <w:lvlJc w:val="left"/>
      <w:pPr>
        <w:ind w:left="0" w:firstLine="0"/>
      </w:pPr>
      <w:rPr>
        <w:rFonts w:ascii="Arial" w:hAnsi="Arial" w:cs="Arial"/>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84"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85" w15:restartNumberingAfterBreak="0">
    <w:nsid w:val="407A4ACB"/>
    <w:multiLevelType w:val="multilevel"/>
    <w:tmpl w:val="A5507D3C"/>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6" w15:restartNumberingAfterBreak="0">
    <w:nsid w:val="413C5769"/>
    <w:multiLevelType w:val="hybridMultilevel"/>
    <w:tmpl w:val="DB1E94DC"/>
    <w:lvl w:ilvl="0" w:tplc="B67AD618">
      <w:start w:val="1"/>
      <w:numFmt w:val="lowerRoman"/>
      <w:lvlText w:val="(%1)"/>
      <w:lvlJc w:val="left"/>
      <w:pPr>
        <w:ind w:left="1080" w:hanging="720"/>
      </w:pPr>
      <w:rPr>
        <w:rFonts w:eastAsia="Calibri"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7"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88"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89" w15:restartNumberingAfterBreak="0">
    <w:nsid w:val="42FC077D"/>
    <w:multiLevelType w:val="singleLevel"/>
    <w:tmpl w:val="4128FD03"/>
    <w:lvl w:ilvl="0">
      <w:start w:val="1"/>
      <w:numFmt w:val="bullet"/>
      <w:lvlRestart w:val="0"/>
      <w:pStyle w:val="Tiret5"/>
      <w:lvlText w:val="–"/>
      <w:lvlJc w:val="left"/>
      <w:pPr>
        <w:tabs>
          <w:tab w:val="num" w:pos="3685"/>
        </w:tabs>
        <w:ind w:left="3685" w:hanging="567"/>
      </w:pPr>
    </w:lvl>
  </w:abstractNum>
  <w:abstractNum w:abstractNumId="90" w15:restartNumberingAfterBreak="0">
    <w:nsid w:val="42FD2264"/>
    <w:multiLevelType w:val="hybridMultilevel"/>
    <w:tmpl w:val="34F65000"/>
    <w:lvl w:ilvl="0" w:tplc="6B7A90AC">
      <w:start w:val="1"/>
      <w:numFmt w:val="lowerRoman"/>
      <w:lvlText w:val="%1)"/>
      <w:lvlJc w:val="left"/>
      <w:pPr>
        <w:ind w:left="1080" w:hanging="720"/>
      </w:pPr>
      <w:rPr>
        <w:rFonts w:hint="default"/>
        <w:sz w:val="18"/>
        <w:szCs w:val="18"/>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1" w15:restartNumberingAfterBreak="0">
    <w:nsid w:val="42FF7318"/>
    <w:multiLevelType w:val="hybridMultilevel"/>
    <w:tmpl w:val="6EECC6C4"/>
    <w:lvl w:ilvl="0" w:tplc="F6C20E62">
      <w:start w:val="1"/>
      <w:numFmt w:val="lowerRoman"/>
      <w:lvlText w:val="%1)"/>
      <w:lvlJc w:val="left"/>
      <w:pPr>
        <w:ind w:left="1080" w:hanging="360"/>
      </w:pPr>
      <w:rPr>
        <w:rFonts w:asciiTheme="minorHAnsi" w:eastAsiaTheme="minorHAnsi" w:hAnsiTheme="minorHAnsi" w:cstheme="minorBidi"/>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92" w15:restartNumberingAfterBreak="0">
    <w:nsid w:val="4322BE20"/>
    <w:multiLevelType w:val="hybridMultilevel"/>
    <w:tmpl w:val="33CA1446"/>
    <w:lvl w:ilvl="0" w:tplc="34EA6F6E">
      <w:start w:val="1"/>
      <w:numFmt w:val="bullet"/>
      <w:lvlText w:val="-"/>
      <w:lvlJc w:val="left"/>
      <w:pPr>
        <w:ind w:left="720" w:hanging="360"/>
      </w:pPr>
      <w:rPr>
        <w:rFonts w:ascii="Aptos" w:hAnsi="Aptos" w:hint="default"/>
      </w:rPr>
    </w:lvl>
    <w:lvl w:ilvl="1" w:tplc="693A5B3A">
      <w:start w:val="1"/>
      <w:numFmt w:val="bullet"/>
      <w:lvlText w:val="o"/>
      <w:lvlJc w:val="left"/>
      <w:pPr>
        <w:ind w:left="1440" w:hanging="360"/>
      </w:pPr>
      <w:rPr>
        <w:rFonts w:ascii="Courier New" w:hAnsi="Courier New" w:hint="default"/>
      </w:rPr>
    </w:lvl>
    <w:lvl w:ilvl="2" w:tplc="40DA6172">
      <w:start w:val="1"/>
      <w:numFmt w:val="bullet"/>
      <w:lvlText w:val=""/>
      <w:lvlJc w:val="left"/>
      <w:pPr>
        <w:ind w:left="2160" w:hanging="360"/>
      </w:pPr>
      <w:rPr>
        <w:rFonts w:ascii="Wingdings" w:hAnsi="Wingdings" w:hint="default"/>
      </w:rPr>
    </w:lvl>
    <w:lvl w:ilvl="3" w:tplc="E8D4A6BE">
      <w:start w:val="1"/>
      <w:numFmt w:val="bullet"/>
      <w:lvlText w:val=""/>
      <w:lvlJc w:val="left"/>
      <w:pPr>
        <w:ind w:left="2880" w:hanging="360"/>
      </w:pPr>
      <w:rPr>
        <w:rFonts w:ascii="Symbol" w:hAnsi="Symbol" w:hint="default"/>
      </w:rPr>
    </w:lvl>
    <w:lvl w:ilvl="4" w:tplc="4432AB2A">
      <w:start w:val="1"/>
      <w:numFmt w:val="bullet"/>
      <w:lvlText w:val="o"/>
      <w:lvlJc w:val="left"/>
      <w:pPr>
        <w:ind w:left="3600" w:hanging="360"/>
      </w:pPr>
      <w:rPr>
        <w:rFonts w:ascii="Courier New" w:hAnsi="Courier New" w:hint="default"/>
      </w:rPr>
    </w:lvl>
    <w:lvl w:ilvl="5" w:tplc="EB6C18D4">
      <w:start w:val="1"/>
      <w:numFmt w:val="bullet"/>
      <w:lvlText w:val=""/>
      <w:lvlJc w:val="left"/>
      <w:pPr>
        <w:ind w:left="4320" w:hanging="360"/>
      </w:pPr>
      <w:rPr>
        <w:rFonts w:ascii="Wingdings" w:hAnsi="Wingdings" w:hint="default"/>
      </w:rPr>
    </w:lvl>
    <w:lvl w:ilvl="6" w:tplc="CDE6731C">
      <w:start w:val="1"/>
      <w:numFmt w:val="bullet"/>
      <w:lvlText w:val=""/>
      <w:lvlJc w:val="left"/>
      <w:pPr>
        <w:ind w:left="5040" w:hanging="360"/>
      </w:pPr>
      <w:rPr>
        <w:rFonts w:ascii="Symbol" w:hAnsi="Symbol" w:hint="default"/>
      </w:rPr>
    </w:lvl>
    <w:lvl w:ilvl="7" w:tplc="63843FA8">
      <w:start w:val="1"/>
      <w:numFmt w:val="bullet"/>
      <w:lvlText w:val="o"/>
      <w:lvlJc w:val="left"/>
      <w:pPr>
        <w:ind w:left="5760" w:hanging="360"/>
      </w:pPr>
      <w:rPr>
        <w:rFonts w:ascii="Courier New" w:hAnsi="Courier New" w:hint="default"/>
      </w:rPr>
    </w:lvl>
    <w:lvl w:ilvl="8" w:tplc="68F4E8E4">
      <w:start w:val="1"/>
      <w:numFmt w:val="bullet"/>
      <w:lvlText w:val=""/>
      <w:lvlJc w:val="left"/>
      <w:pPr>
        <w:ind w:left="6480" w:hanging="360"/>
      </w:pPr>
      <w:rPr>
        <w:rFonts w:ascii="Wingdings" w:hAnsi="Wingdings" w:hint="default"/>
      </w:rPr>
    </w:lvl>
  </w:abstractNum>
  <w:abstractNum w:abstractNumId="93" w15:restartNumberingAfterBreak="0">
    <w:nsid w:val="43641013"/>
    <w:multiLevelType w:val="hybridMultilevel"/>
    <w:tmpl w:val="DC844BC8"/>
    <w:lvl w:ilvl="0" w:tplc="0478D9DC">
      <w:start w:val="1"/>
      <w:numFmt w:val="lowerRoman"/>
      <w:lvlText w:val="%1)"/>
      <w:lvlJc w:val="left"/>
      <w:pPr>
        <w:ind w:left="1080" w:hanging="360"/>
      </w:pPr>
    </w:lvl>
    <w:lvl w:ilvl="1" w:tplc="5BD0C87A">
      <w:start w:val="1"/>
      <w:numFmt w:val="lowerLetter"/>
      <w:lvlText w:val="%2."/>
      <w:lvlJc w:val="left"/>
      <w:pPr>
        <w:ind w:left="1800" w:hanging="360"/>
      </w:pPr>
    </w:lvl>
    <w:lvl w:ilvl="2" w:tplc="93082E8A">
      <w:start w:val="1"/>
      <w:numFmt w:val="lowerRoman"/>
      <w:lvlText w:val="%3."/>
      <w:lvlJc w:val="right"/>
      <w:pPr>
        <w:ind w:left="2520" w:hanging="180"/>
      </w:pPr>
    </w:lvl>
    <w:lvl w:ilvl="3" w:tplc="C64CDA6C">
      <w:start w:val="1"/>
      <w:numFmt w:val="decimal"/>
      <w:lvlText w:val="%4."/>
      <w:lvlJc w:val="left"/>
      <w:pPr>
        <w:ind w:left="3240" w:hanging="360"/>
      </w:pPr>
    </w:lvl>
    <w:lvl w:ilvl="4" w:tplc="1EA272D2">
      <w:start w:val="1"/>
      <w:numFmt w:val="lowerLetter"/>
      <w:lvlText w:val="%5."/>
      <w:lvlJc w:val="left"/>
      <w:pPr>
        <w:ind w:left="3960" w:hanging="360"/>
      </w:pPr>
    </w:lvl>
    <w:lvl w:ilvl="5" w:tplc="5922FC6E">
      <w:start w:val="1"/>
      <w:numFmt w:val="lowerRoman"/>
      <w:lvlText w:val="%6."/>
      <w:lvlJc w:val="right"/>
      <w:pPr>
        <w:ind w:left="4680" w:hanging="180"/>
      </w:pPr>
    </w:lvl>
    <w:lvl w:ilvl="6" w:tplc="AA76F890">
      <w:start w:val="1"/>
      <w:numFmt w:val="decimal"/>
      <w:lvlText w:val="%7."/>
      <w:lvlJc w:val="left"/>
      <w:pPr>
        <w:ind w:left="5400" w:hanging="360"/>
      </w:pPr>
    </w:lvl>
    <w:lvl w:ilvl="7" w:tplc="52FAB330">
      <w:start w:val="1"/>
      <w:numFmt w:val="lowerLetter"/>
      <w:lvlText w:val="%8."/>
      <w:lvlJc w:val="left"/>
      <w:pPr>
        <w:ind w:left="6120" w:hanging="360"/>
      </w:pPr>
    </w:lvl>
    <w:lvl w:ilvl="8" w:tplc="A7785018">
      <w:start w:val="1"/>
      <w:numFmt w:val="lowerRoman"/>
      <w:lvlText w:val="%9."/>
      <w:lvlJc w:val="right"/>
      <w:pPr>
        <w:ind w:left="6840" w:hanging="180"/>
      </w:pPr>
    </w:lvl>
  </w:abstractNum>
  <w:abstractNum w:abstractNumId="94" w15:restartNumberingAfterBreak="0">
    <w:nsid w:val="436E0A5D"/>
    <w:multiLevelType w:val="singleLevel"/>
    <w:tmpl w:val="9C807126"/>
    <w:lvl w:ilvl="0">
      <w:start w:val="1"/>
      <w:numFmt w:val="bullet"/>
      <w:pStyle w:val="Heading91"/>
      <w:lvlText w:val=""/>
      <w:lvlJc w:val="left"/>
      <w:pPr>
        <w:tabs>
          <w:tab w:val="num" w:pos="567"/>
        </w:tabs>
        <w:ind w:left="567" w:hanging="567"/>
      </w:pPr>
      <w:rPr>
        <w:rFonts w:ascii="Symbol" w:hAnsi="Symbol" w:hint="default"/>
      </w:rPr>
    </w:lvl>
  </w:abstractNum>
  <w:abstractNum w:abstractNumId="95" w15:restartNumberingAfterBreak="0">
    <w:nsid w:val="451904EB"/>
    <w:multiLevelType w:val="hybridMultilevel"/>
    <w:tmpl w:val="948C3092"/>
    <w:lvl w:ilvl="0" w:tplc="D1764C74">
      <w:start w:val="3"/>
      <w:numFmt w:val="decimal"/>
      <w:lvlText w:val="%1."/>
      <w:lvlJc w:val="left"/>
      <w:pPr>
        <w:ind w:left="360" w:hanging="360"/>
      </w:pPr>
      <w:rPr>
        <w:rFonts w:ascii="Times New Roman" w:eastAsiaTheme="minorEastAsia" w:hAnsi="Times New Roman" w:cs="Times New Roman"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97" w15:restartNumberingAfterBreak="0">
    <w:nsid w:val="468F2093"/>
    <w:multiLevelType w:val="multilevel"/>
    <w:tmpl w:val="C99AB46E"/>
    <w:name w:val="NumPar2"/>
    <w:lvl w:ilvl="0">
      <w:start w:val="1"/>
      <w:numFmt w:val="decimal"/>
      <w:lvlRestart w:val="0"/>
      <w:lvlText w:val="%1."/>
      <w:lvlJc w:val="left"/>
      <w:pPr>
        <w:tabs>
          <w:tab w:val="num" w:pos="850"/>
        </w:tabs>
        <w:ind w:left="850" w:hanging="850"/>
      </w:pPr>
      <w:rPr>
        <w:rFonts w:hint="default"/>
      </w:rPr>
    </w:lvl>
    <w:lvl w:ilvl="1">
      <w:start w:val="1"/>
      <w:numFmt w:val="decimal"/>
      <w:lvlText w:val="%1.%2."/>
      <w:lvlJc w:val="left"/>
      <w:pPr>
        <w:tabs>
          <w:tab w:val="num" w:pos="850"/>
        </w:tabs>
        <w:ind w:left="850"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8" w15:restartNumberingAfterBreak="0">
    <w:nsid w:val="486FE229"/>
    <w:multiLevelType w:val="hybridMultilevel"/>
    <w:tmpl w:val="FFFFFFFF"/>
    <w:lvl w:ilvl="0" w:tplc="BF2458E0">
      <w:start w:val="1"/>
      <w:numFmt w:val="bullet"/>
      <w:lvlText w:val="-"/>
      <w:lvlJc w:val="left"/>
      <w:pPr>
        <w:ind w:left="720" w:hanging="360"/>
      </w:pPr>
      <w:rPr>
        <w:rFonts w:ascii="Calibri" w:hAnsi="Calibri" w:hint="default"/>
      </w:rPr>
    </w:lvl>
    <w:lvl w:ilvl="1" w:tplc="221CE3FA">
      <w:start w:val="1"/>
      <w:numFmt w:val="bullet"/>
      <w:lvlText w:val="o"/>
      <w:lvlJc w:val="left"/>
      <w:pPr>
        <w:ind w:left="1440" w:hanging="360"/>
      </w:pPr>
      <w:rPr>
        <w:rFonts w:ascii="Courier New" w:hAnsi="Courier New" w:hint="default"/>
      </w:rPr>
    </w:lvl>
    <w:lvl w:ilvl="2" w:tplc="90603DB2">
      <w:start w:val="1"/>
      <w:numFmt w:val="bullet"/>
      <w:lvlText w:val=""/>
      <w:lvlJc w:val="left"/>
      <w:pPr>
        <w:ind w:left="2160" w:hanging="360"/>
      </w:pPr>
      <w:rPr>
        <w:rFonts w:ascii="Wingdings" w:hAnsi="Wingdings" w:hint="default"/>
      </w:rPr>
    </w:lvl>
    <w:lvl w:ilvl="3" w:tplc="2D8CBC90">
      <w:start w:val="1"/>
      <w:numFmt w:val="bullet"/>
      <w:lvlText w:val=""/>
      <w:lvlJc w:val="left"/>
      <w:pPr>
        <w:ind w:left="2880" w:hanging="360"/>
      </w:pPr>
      <w:rPr>
        <w:rFonts w:ascii="Symbol" w:hAnsi="Symbol" w:hint="default"/>
      </w:rPr>
    </w:lvl>
    <w:lvl w:ilvl="4" w:tplc="817C02DE">
      <w:start w:val="1"/>
      <w:numFmt w:val="bullet"/>
      <w:lvlText w:val="o"/>
      <w:lvlJc w:val="left"/>
      <w:pPr>
        <w:ind w:left="3600" w:hanging="360"/>
      </w:pPr>
      <w:rPr>
        <w:rFonts w:ascii="Courier New" w:hAnsi="Courier New" w:hint="default"/>
      </w:rPr>
    </w:lvl>
    <w:lvl w:ilvl="5" w:tplc="69020254">
      <w:start w:val="1"/>
      <w:numFmt w:val="bullet"/>
      <w:lvlText w:val=""/>
      <w:lvlJc w:val="left"/>
      <w:pPr>
        <w:ind w:left="4320" w:hanging="360"/>
      </w:pPr>
      <w:rPr>
        <w:rFonts w:ascii="Wingdings" w:hAnsi="Wingdings" w:hint="default"/>
      </w:rPr>
    </w:lvl>
    <w:lvl w:ilvl="6" w:tplc="8818A5A6">
      <w:start w:val="1"/>
      <w:numFmt w:val="bullet"/>
      <w:lvlText w:val=""/>
      <w:lvlJc w:val="left"/>
      <w:pPr>
        <w:ind w:left="5040" w:hanging="360"/>
      </w:pPr>
      <w:rPr>
        <w:rFonts w:ascii="Symbol" w:hAnsi="Symbol" w:hint="default"/>
      </w:rPr>
    </w:lvl>
    <w:lvl w:ilvl="7" w:tplc="81B0E61A">
      <w:start w:val="1"/>
      <w:numFmt w:val="bullet"/>
      <w:lvlText w:val="o"/>
      <w:lvlJc w:val="left"/>
      <w:pPr>
        <w:ind w:left="5760" w:hanging="360"/>
      </w:pPr>
      <w:rPr>
        <w:rFonts w:ascii="Courier New" w:hAnsi="Courier New" w:hint="default"/>
      </w:rPr>
    </w:lvl>
    <w:lvl w:ilvl="8" w:tplc="F5EE461A">
      <w:start w:val="1"/>
      <w:numFmt w:val="bullet"/>
      <w:lvlText w:val=""/>
      <w:lvlJc w:val="left"/>
      <w:pPr>
        <w:ind w:left="6480" w:hanging="360"/>
      </w:pPr>
      <w:rPr>
        <w:rFonts w:ascii="Wingdings" w:hAnsi="Wingdings" w:hint="default"/>
      </w:rPr>
    </w:lvl>
  </w:abstractNum>
  <w:abstractNum w:abstractNumId="99" w15:restartNumberingAfterBreak="0">
    <w:nsid w:val="48A77BA5"/>
    <w:multiLevelType w:val="hybridMultilevel"/>
    <w:tmpl w:val="408244CC"/>
    <w:lvl w:ilvl="0" w:tplc="B8CE3706">
      <w:start w:val="1"/>
      <w:numFmt w:val="lowerRoman"/>
      <w:lvlText w:val="(%1)"/>
      <w:lvlJc w:val="left"/>
      <w:pPr>
        <w:ind w:left="1080" w:hanging="720"/>
      </w:pPr>
      <w:rPr>
        <w:rFonts w:ascii="Times New Roman" w:hAnsi="Times New Roman" w:cs="Times New Roman" w:hint="default"/>
        <w:color w:val="auto"/>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48B16EBA"/>
    <w:multiLevelType w:val="hybridMultilevel"/>
    <w:tmpl w:val="372607E4"/>
    <w:lvl w:ilvl="0" w:tplc="379E1BC0">
      <w:start w:val="1"/>
      <w:numFmt w:val="decimal"/>
      <w:lvlText w:val="%1)"/>
      <w:lvlJc w:val="left"/>
      <w:pPr>
        <w:ind w:left="1020" w:hanging="360"/>
      </w:pPr>
    </w:lvl>
    <w:lvl w:ilvl="1" w:tplc="D7B0FF58">
      <w:start w:val="1"/>
      <w:numFmt w:val="decimal"/>
      <w:lvlText w:val="%2)"/>
      <w:lvlJc w:val="left"/>
      <w:pPr>
        <w:ind w:left="1020" w:hanging="360"/>
      </w:pPr>
    </w:lvl>
    <w:lvl w:ilvl="2" w:tplc="6284F41A">
      <w:start w:val="1"/>
      <w:numFmt w:val="decimal"/>
      <w:lvlText w:val="%3)"/>
      <w:lvlJc w:val="left"/>
      <w:pPr>
        <w:ind w:left="1020" w:hanging="360"/>
      </w:pPr>
    </w:lvl>
    <w:lvl w:ilvl="3" w:tplc="28CEDBB2">
      <w:start w:val="1"/>
      <w:numFmt w:val="decimal"/>
      <w:lvlText w:val="%4)"/>
      <w:lvlJc w:val="left"/>
      <w:pPr>
        <w:ind w:left="1020" w:hanging="360"/>
      </w:pPr>
    </w:lvl>
    <w:lvl w:ilvl="4" w:tplc="F754091A">
      <w:start w:val="1"/>
      <w:numFmt w:val="decimal"/>
      <w:lvlText w:val="%5)"/>
      <w:lvlJc w:val="left"/>
      <w:pPr>
        <w:ind w:left="1020" w:hanging="360"/>
      </w:pPr>
    </w:lvl>
    <w:lvl w:ilvl="5" w:tplc="96FCD6EE">
      <w:start w:val="1"/>
      <w:numFmt w:val="decimal"/>
      <w:lvlText w:val="%6)"/>
      <w:lvlJc w:val="left"/>
      <w:pPr>
        <w:ind w:left="1020" w:hanging="360"/>
      </w:pPr>
    </w:lvl>
    <w:lvl w:ilvl="6" w:tplc="2396B4CE">
      <w:start w:val="1"/>
      <w:numFmt w:val="decimal"/>
      <w:lvlText w:val="%7)"/>
      <w:lvlJc w:val="left"/>
      <w:pPr>
        <w:ind w:left="1020" w:hanging="360"/>
      </w:pPr>
    </w:lvl>
    <w:lvl w:ilvl="7" w:tplc="CDA0F1CC">
      <w:start w:val="1"/>
      <w:numFmt w:val="decimal"/>
      <w:lvlText w:val="%8)"/>
      <w:lvlJc w:val="left"/>
      <w:pPr>
        <w:ind w:left="1020" w:hanging="360"/>
      </w:pPr>
    </w:lvl>
    <w:lvl w:ilvl="8" w:tplc="A6FEE148">
      <w:start w:val="1"/>
      <w:numFmt w:val="decimal"/>
      <w:lvlText w:val="%9)"/>
      <w:lvlJc w:val="left"/>
      <w:pPr>
        <w:ind w:left="1020" w:hanging="360"/>
      </w:pPr>
    </w:lvl>
  </w:abstractNum>
  <w:abstractNum w:abstractNumId="101" w15:restartNumberingAfterBreak="0">
    <w:nsid w:val="4A014D2D"/>
    <w:multiLevelType w:val="hybridMultilevel"/>
    <w:tmpl w:val="374CEF74"/>
    <w:lvl w:ilvl="0" w:tplc="FDDECD86">
      <w:start w:val="1"/>
      <w:numFmt w:val="lowerRoman"/>
      <w:lvlText w:val="(%1)"/>
      <w:lvlJc w:val="left"/>
      <w:pPr>
        <w:ind w:left="1080" w:hanging="720"/>
      </w:pPr>
      <w:rPr>
        <w:rFonts w:ascii="Times New Roman" w:hAnsi="Times New Roman" w:cs="Times New Roman" w:hint="default"/>
        <w:color w:val="auto"/>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4AF31D79"/>
    <w:multiLevelType w:val="hybridMultilevel"/>
    <w:tmpl w:val="CB2A7D70"/>
    <w:lvl w:ilvl="0" w:tplc="A2C2623E">
      <w:start w:val="1"/>
      <w:numFmt w:val="bullet"/>
      <w:lvlText w:val=""/>
      <w:lvlJc w:val="left"/>
      <w:pPr>
        <w:ind w:left="720" w:hanging="360"/>
      </w:pPr>
      <w:rPr>
        <w:rFonts w:ascii="Symbol" w:hAnsi="Symbol"/>
      </w:rPr>
    </w:lvl>
    <w:lvl w:ilvl="1" w:tplc="5D366B6A">
      <w:start w:val="1"/>
      <w:numFmt w:val="bullet"/>
      <w:lvlText w:val=""/>
      <w:lvlJc w:val="left"/>
      <w:pPr>
        <w:ind w:left="720" w:hanging="360"/>
      </w:pPr>
      <w:rPr>
        <w:rFonts w:ascii="Symbol" w:hAnsi="Symbol"/>
      </w:rPr>
    </w:lvl>
    <w:lvl w:ilvl="2" w:tplc="5B4CE0B6">
      <w:start w:val="1"/>
      <w:numFmt w:val="bullet"/>
      <w:lvlText w:val=""/>
      <w:lvlJc w:val="left"/>
      <w:pPr>
        <w:ind w:left="720" w:hanging="360"/>
      </w:pPr>
      <w:rPr>
        <w:rFonts w:ascii="Symbol" w:hAnsi="Symbol"/>
      </w:rPr>
    </w:lvl>
    <w:lvl w:ilvl="3" w:tplc="5B040128">
      <w:start w:val="1"/>
      <w:numFmt w:val="bullet"/>
      <w:lvlText w:val=""/>
      <w:lvlJc w:val="left"/>
      <w:pPr>
        <w:ind w:left="720" w:hanging="360"/>
      </w:pPr>
      <w:rPr>
        <w:rFonts w:ascii="Symbol" w:hAnsi="Symbol"/>
      </w:rPr>
    </w:lvl>
    <w:lvl w:ilvl="4" w:tplc="C5DAD28E">
      <w:start w:val="1"/>
      <w:numFmt w:val="bullet"/>
      <w:lvlText w:val=""/>
      <w:lvlJc w:val="left"/>
      <w:pPr>
        <w:ind w:left="720" w:hanging="360"/>
      </w:pPr>
      <w:rPr>
        <w:rFonts w:ascii="Symbol" w:hAnsi="Symbol"/>
      </w:rPr>
    </w:lvl>
    <w:lvl w:ilvl="5" w:tplc="4F747A70">
      <w:start w:val="1"/>
      <w:numFmt w:val="bullet"/>
      <w:lvlText w:val=""/>
      <w:lvlJc w:val="left"/>
      <w:pPr>
        <w:ind w:left="720" w:hanging="360"/>
      </w:pPr>
      <w:rPr>
        <w:rFonts w:ascii="Symbol" w:hAnsi="Symbol"/>
      </w:rPr>
    </w:lvl>
    <w:lvl w:ilvl="6" w:tplc="86D63202">
      <w:start w:val="1"/>
      <w:numFmt w:val="bullet"/>
      <w:lvlText w:val=""/>
      <w:lvlJc w:val="left"/>
      <w:pPr>
        <w:ind w:left="720" w:hanging="360"/>
      </w:pPr>
      <w:rPr>
        <w:rFonts w:ascii="Symbol" w:hAnsi="Symbol"/>
      </w:rPr>
    </w:lvl>
    <w:lvl w:ilvl="7" w:tplc="FF32DD20">
      <w:start w:val="1"/>
      <w:numFmt w:val="bullet"/>
      <w:lvlText w:val=""/>
      <w:lvlJc w:val="left"/>
      <w:pPr>
        <w:ind w:left="720" w:hanging="360"/>
      </w:pPr>
      <w:rPr>
        <w:rFonts w:ascii="Symbol" w:hAnsi="Symbol"/>
      </w:rPr>
    </w:lvl>
    <w:lvl w:ilvl="8" w:tplc="B8A6663A">
      <w:start w:val="1"/>
      <w:numFmt w:val="bullet"/>
      <w:lvlText w:val=""/>
      <w:lvlJc w:val="left"/>
      <w:pPr>
        <w:ind w:left="720" w:hanging="360"/>
      </w:pPr>
      <w:rPr>
        <w:rFonts w:ascii="Symbol" w:hAnsi="Symbol"/>
      </w:rPr>
    </w:lvl>
  </w:abstractNum>
  <w:abstractNum w:abstractNumId="103" w15:restartNumberingAfterBreak="0">
    <w:nsid w:val="4BE97960"/>
    <w:multiLevelType w:val="hybridMultilevel"/>
    <w:tmpl w:val="6D724774"/>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04" w15:restartNumberingAfterBreak="0">
    <w:nsid w:val="4C162D09"/>
    <w:multiLevelType w:val="hybridMultilevel"/>
    <w:tmpl w:val="083E6EC6"/>
    <w:lvl w:ilvl="0" w:tplc="9984EA60">
      <w:start w:val="1"/>
      <w:numFmt w:val="bullet"/>
      <w:lvlText w:val="-"/>
      <w:lvlJc w:val="left"/>
      <w:pPr>
        <w:ind w:left="360" w:hanging="360"/>
      </w:pPr>
      <w:rPr>
        <w:rFonts w:ascii="Times New Roman" w:eastAsiaTheme="minorHAnsi"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5" w15:restartNumberingAfterBreak="0">
    <w:nsid w:val="4D080266"/>
    <w:multiLevelType w:val="hybridMultilevel"/>
    <w:tmpl w:val="7AE2C4BA"/>
    <w:lvl w:ilvl="0" w:tplc="1809000F">
      <w:start w:val="1"/>
      <w:numFmt w:val="decimal"/>
      <w:lvlText w:val="%1."/>
      <w:lvlJc w:val="left"/>
      <w:pPr>
        <w:ind w:left="144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6" w15:restartNumberingAfterBreak="0">
    <w:nsid w:val="4E4F6309"/>
    <w:multiLevelType w:val="hybridMultilevel"/>
    <w:tmpl w:val="E3C0EAAC"/>
    <w:lvl w:ilvl="0" w:tplc="7CAC5CBA">
      <w:numFmt w:val="bullet"/>
      <w:lvlText w:val="-"/>
      <w:lvlJc w:val="left"/>
      <w:pPr>
        <w:ind w:left="360" w:hanging="360"/>
      </w:pPr>
      <w:rPr>
        <w:rFonts w:ascii="Calibri" w:eastAsia="Calibr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7" w15:restartNumberingAfterBreak="0">
    <w:nsid w:val="5001729E"/>
    <w:multiLevelType w:val="hybridMultilevel"/>
    <w:tmpl w:val="C7FEEEAC"/>
    <w:lvl w:ilvl="0" w:tplc="16F28D62">
      <w:start w:val="14"/>
      <w:numFmt w:val="bullet"/>
      <w:lvlText w:val="-"/>
      <w:lvlJc w:val="left"/>
      <w:pPr>
        <w:ind w:left="360" w:hanging="360"/>
      </w:pPr>
      <w:rPr>
        <w:rFonts w:ascii="Aptos" w:eastAsiaTheme="minorHAnsi" w:hAnsi="Aptos" w:cstheme="minorBid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8" w15:restartNumberingAfterBreak="0">
    <w:nsid w:val="51463B43"/>
    <w:multiLevelType w:val="hybridMultilevel"/>
    <w:tmpl w:val="7750BDD8"/>
    <w:lvl w:ilvl="0" w:tplc="AEB839BA">
      <w:start w:val="1"/>
      <w:numFmt w:val="lowerRoman"/>
      <w:lvlText w:val="%1)"/>
      <w:lvlJc w:val="left"/>
      <w:pPr>
        <w:ind w:left="720" w:hanging="720"/>
      </w:pPr>
      <w:rPr>
        <w:rFonts w:ascii="Calibri" w:hAnsi="Calibri" w:cs="Calibri" w:hint="default"/>
        <w:sz w:val="18"/>
        <w:szCs w:val="18"/>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9" w15:restartNumberingAfterBreak="0">
    <w:nsid w:val="5271705A"/>
    <w:multiLevelType w:val="multilevel"/>
    <w:tmpl w:val="A5507D3C"/>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0" w15:restartNumberingAfterBreak="0">
    <w:nsid w:val="529B3B21"/>
    <w:multiLevelType w:val="multilevel"/>
    <w:tmpl w:val="65D05AB2"/>
    <w:lvl w:ilvl="0">
      <w:start w:val="1"/>
      <w:numFmt w:val="decimal"/>
      <w:lvlText w:val="%1."/>
      <w:lvlJc w:val="left"/>
      <w:pPr>
        <w:ind w:left="476" w:hanging="476"/>
      </w:pPr>
      <w:rPr>
        <w:rFonts w:hint="default"/>
        <w:b w:val="0"/>
        <w:bCs w:val="0"/>
      </w:rPr>
    </w:lvl>
    <w:lvl w:ilvl="1">
      <w:start w:val="1"/>
      <w:numFmt w:val="lowerLetter"/>
      <w:lvlText w:val="%2."/>
      <w:lvlJc w:val="left"/>
      <w:pPr>
        <w:ind w:left="953" w:hanging="477"/>
      </w:pPr>
      <w:rPr>
        <w:rFonts w:hint="default"/>
      </w:rPr>
    </w:lvl>
    <w:lvl w:ilvl="2">
      <w:start w:val="1"/>
      <w:numFmt w:val="lowerRoman"/>
      <w:lvlText w:val="%3."/>
      <w:lvlJc w:val="left"/>
      <w:pPr>
        <w:ind w:left="1429" w:hanging="476"/>
      </w:pPr>
      <w:rPr>
        <w:rFonts w:ascii="Times New Roman" w:eastAsiaTheme="minorHAnsi" w:hAnsi="Times New Roman" w:cs="Times New Roman"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12" w15:restartNumberingAfterBreak="0">
    <w:nsid w:val="55C10E65"/>
    <w:multiLevelType w:val="multilevel"/>
    <w:tmpl w:val="65D05AB2"/>
    <w:lvl w:ilvl="0">
      <w:start w:val="1"/>
      <w:numFmt w:val="decimal"/>
      <w:lvlText w:val="%1."/>
      <w:lvlJc w:val="left"/>
      <w:pPr>
        <w:ind w:left="476" w:hanging="476"/>
      </w:pPr>
      <w:rPr>
        <w:rFonts w:hint="default"/>
        <w:b w:val="0"/>
        <w:bCs w:val="0"/>
      </w:rPr>
    </w:lvl>
    <w:lvl w:ilvl="1">
      <w:start w:val="1"/>
      <w:numFmt w:val="lowerLetter"/>
      <w:lvlText w:val="%2."/>
      <w:lvlJc w:val="left"/>
      <w:pPr>
        <w:ind w:left="953" w:hanging="477"/>
      </w:pPr>
      <w:rPr>
        <w:rFonts w:hint="default"/>
      </w:rPr>
    </w:lvl>
    <w:lvl w:ilvl="2">
      <w:start w:val="1"/>
      <w:numFmt w:val="lowerRoman"/>
      <w:lvlText w:val="%3."/>
      <w:lvlJc w:val="left"/>
      <w:pPr>
        <w:ind w:left="1429" w:hanging="476"/>
      </w:pPr>
      <w:rPr>
        <w:rFonts w:ascii="Times New Roman" w:eastAsiaTheme="minorHAnsi" w:hAnsi="Times New Roman" w:cs="Times New Roman"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3" w15:restartNumberingAfterBreak="0">
    <w:nsid w:val="58270A06"/>
    <w:multiLevelType w:val="multilevel"/>
    <w:tmpl w:val="0409001F"/>
    <w:styleLink w:val="111111"/>
    <w:lvl w:ilvl="0">
      <w:start w:val="1"/>
      <w:numFmt w:val="decimal"/>
      <w:lvlText w:val="%1."/>
      <w:lvlJc w:val="left"/>
      <w:pPr>
        <w:ind w:left="360" w:hanging="360"/>
      </w:pPr>
      <w:rPr>
        <w:rFonts w:ascii="Arial" w:hAnsi="Arial" w:cs="Arial"/>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4" w15:restartNumberingAfterBreak="0">
    <w:nsid w:val="583107B0"/>
    <w:multiLevelType w:val="hybridMultilevel"/>
    <w:tmpl w:val="39B680BC"/>
    <w:lvl w:ilvl="0" w:tplc="1809000F">
      <w:start w:val="1"/>
      <w:numFmt w:val="decimal"/>
      <w:lvlText w:val="%1."/>
      <w:lvlJc w:val="left"/>
      <w:pPr>
        <w:ind w:left="144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5" w15:restartNumberingAfterBreak="0">
    <w:nsid w:val="59DC0AE4"/>
    <w:multiLevelType w:val="hybridMultilevel"/>
    <w:tmpl w:val="CB9E24FA"/>
    <w:lvl w:ilvl="0" w:tplc="A8F09C6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5B1C13DB"/>
    <w:multiLevelType w:val="hybridMultilevel"/>
    <w:tmpl w:val="95E4DEFA"/>
    <w:lvl w:ilvl="0" w:tplc="3800E1F8">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18" w15:restartNumberingAfterBreak="0">
    <w:nsid w:val="5BE708DE"/>
    <w:multiLevelType w:val="hybridMultilevel"/>
    <w:tmpl w:val="A6B60094"/>
    <w:lvl w:ilvl="0" w:tplc="F68E2E8E">
      <w:start w:val="3"/>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9" w15:restartNumberingAfterBreak="0">
    <w:nsid w:val="5BEF197E"/>
    <w:multiLevelType w:val="hybridMultilevel"/>
    <w:tmpl w:val="61FC58FA"/>
    <w:lvl w:ilvl="0" w:tplc="1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0"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2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22" w15:restartNumberingAfterBreak="0">
    <w:nsid w:val="5CEC061A"/>
    <w:multiLevelType w:val="hybridMultilevel"/>
    <w:tmpl w:val="A8044D64"/>
    <w:lvl w:ilvl="0" w:tplc="7688CABC">
      <w:start w:val="1"/>
      <w:numFmt w:val="bullet"/>
      <w:lvlText w:val=""/>
      <w:lvlJc w:val="left"/>
      <w:pPr>
        <w:ind w:left="720" w:hanging="360"/>
      </w:pPr>
      <w:rPr>
        <w:rFonts w:ascii="Symbol" w:hAnsi="Symbol"/>
      </w:rPr>
    </w:lvl>
    <w:lvl w:ilvl="1" w:tplc="20A83EEE">
      <w:start w:val="1"/>
      <w:numFmt w:val="bullet"/>
      <w:lvlText w:val=""/>
      <w:lvlJc w:val="left"/>
      <w:pPr>
        <w:ind w:left="720" w:hanging="360"/>
      </w:pPr>
      <w:rPr>
        <w:rFonts w:ascii="Symbol" w:hAnsi="Symbol"/>
      </w:rPr>
    </w:lvl>
    <w:lvl w:ilvl="2" w:tplc="C59A5462">
      <w:start w:val="1"/>
      <w:numFmt w:val="bullet"/>
      <w:lvlText w:val=""/>
      <w:lvlJc w:val="left"/>
      <w:pPr>
        <w:ind w:left="720" w:hanging="360"/>
      </w:pPr>
      <w:rPr>
        <w:rFonts w:ascii="Symbol" w:hAnsi="Symbol"/>
      </w:rPr>
    </w:lvl>
    <w:lvl w:ilvl="3" w:tplc="C1F2D5E0">
      <w:start w:val="1"/>
      <w:numFmt w:val="bullet"/>
      <w:lvlText w:val=""/>
      <w:lvlJc w:val="left"/>
      <w:pPr>
        <w:ind w:left="720" w:hanging="360"/>
      </w:pPr>
      <w:rPr>
        <w:rFonts w:ascii="Symbol" w:hAnsi="Symbol"/>
      </w:rPr>
    </w:lvl>
    <w:lvl w:ilvl="4" w:tplc="B4FCCE50">
      <w:start w:val="1"/>
      <w:numFmt w:val="bullet"/>
      <w:lvlText w:val=""/>
      <w:lvlJc w:val="left"/>
      <w:pPr>
        <w:ind w:left="720" w:hanging="360"/>
      </w:pPr>
      <w:rPr>
        <w:rFonts w:ascii="Symbol" w:hAnsi="Symbol"/>
      </w:rPr>
    </w:lvl>
    <w:lvl w:ilvl="5" w:tplc="804A34E6">
      <w:start w:val="1"/>
      <w:numFmt w:val="bullet"/>
      <w:lvlText w:val=""/>
      <w:lvlJc w:val="left"/>
      <w:pPr>
        <w:ind w:left="720" w:hanging="360"/>
      </w:pPr>
      <w:rPr>
        <w:rFonts w:ascii="Symbol" w:hAnsi="Symbol"/>
      </w:rPr>
    </w:lvl>
    <w:lvl w:ilvl="6" w:tplc="D8828D76">
      <w:start w:val="1"/>
      <w:numFmt w:val="bullet"/>
      <w:lvlText w:val=""/>
      <w:lvlJc w:val="left"/>
      <w:pPr>
        <w:ind w:left="720" w:hanging="360"/>
      </w:pPr>
      <w:rPr>
        <w:rFonts w:ascii="Symbol" w:hAnsi="Symbol"/>
      </w:rPr>
    </w:lvl>
    <w:lvl w:ilvl="7" w:tplc="526C70A2">
      <w:start w:val="1"/>
      <w:numFmt w:val="bullet"/>
      <w:lvlText w:val=""/>
      <w:lvlJc w:val="left"/>
      <w:pPr>
        <w:ind w:left="720" w:hanging="360"/>
      </w:pPr>
      <w:rPr>
        <w:rFonts w:ascii="Symbol" w:hAnsi="Symbol"/>
      </w:rPr>
    </w:lvl>
    <w:lvl w:ilvl="8" w:tplc="6B32DD94">
      <w:start w:val="1"/>
      <w:numFmt w:val="bullet"/>
      <w:lvlText w:val=""/>
      <w:lvlJc w:val="left"/>
      <w:pPr>
        <w:ind w:left="720" w:hanging="360"/>
      </w:pPr>
      <w:rPr>
        <w:rFonts w:ascii="Symbol" w:hAnsi="Symbol"/>
      </w:rPr>
    </w:lvl>
  </w:abstractNum>
  <w:abstractNum w:abstractNumId="123" w15:restartNumberingAfterBreak="0">
    <w:nsid w:val="5E22085C"/>
    <w:multiLevelType w:val="hybridMultilevel"/>
    <w:tmpl w:val="FF10A39C"/>
    <w:lvl w:ilvl="0" w:tplc="FFFFFFFF">
      <w:start w:val="1"/>
      <w:numFmt w:val="lowerRoman"/>
      <w:lvlText w:val="(%1)"/>
      <w:lvlJc w:val="left"/>
      <w:pPr>
        <w:ind w:left="1080" w:hanging="720"/>
      </w:pPr>
      <w:rPr>
        <w:rFonts w:eastAsiaTheme="minorEastAsia"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4" w15:restartNumberingAfterBreak="0">
    <w:nsid w:val="61E42B25"/>
    <w:multiLevelType w:val="hybridMultilevel"/>
    <w:tmpl w:val="24261472"/>
    <w:lvl w:ilvl="0" w:tplc="C4CC6FC4">
      <w:start w:val="1"/>
      <w:numFmt w:val="lowerLetter"/>
      <w:lvlText w:val="%1)"/>
      <w:lvlJc w:val="left"/>
      <w:pPr>
        <w:ind w:left="515" w:hanging="360"/>
      </w:pPr>
    </w:lvl>
    <w:lvl w:ilvl="1" w:tplc="18090019">
      <w:start w:val="1"/>
      <w:numFmt w:val="lowerLetter"/>
      <w:lvlText w:val="%2."/>
      <w:lvlJc w:val="left"/>
      <w:pPr>
        <w:ind w:left="1235" w:hanging="360"/>
      </w:pPr>
    </w:lvl>
    <w:lvl w:ilvl="2" w:tplc="1809001B">
      <w:start w:val="1"/>
      <w:numFmt w:val="lowerRoman"/>
      <w:lvlText w:val="%3."/>
      <w:lvlJc w:val="right"/>
      <w:pPr>
        <w:ind w:left="1955" w:hanging="180"/>
      </w:pPr>
    </w:lvl>
    <w:lvl w:ilvl="3" w:tplc="1809000F">
      <w:start w:val="1"/>
      <w:numFmt w:val="decimal"/>
      <w:lvlText w:val="%4."/>
      <w:lvlJc w:val="left"/>
      <w:pPr>
        <w:ind w:left="2675" w:hanging="360"/>
      </w:pPr>
    </w:lvl>
    <w:lvl w:ilvl="4" w:tplc="18090019">
      <w:start w:val="1"/>
      <w:numFmt w:val="lowerLetter"/>
      <w:lvlText w:val="%5."/>
      <w:lvlJc w:val="left"/>
      <w:pPr>
        <w:ind w:left="3395" w:hanging="360"/>
      </w:pPr>
    </w:lvl>
    <w:lvl w:ilvl="5" w:tplc="1809001B">
      <w:start w:val="1"/>
      <w:numFmt w:val="lowerRoman"/>
      <w:lvlText w:val="%6."/>
      <w:lvlJc w:val="right"/>
      <w:pPr>
        <w:ind w:left="4115" w:hanging="180"/>
      </w:pPr>
    </w:lvl>
    <w:lvl w:ilvl="6" w:tplc="1809000F">
      <w:start w:val="1"/>
      <w:numFmt w:val="decimal"/>
      <w:lvlText w:val="%7."/>
      <w:lvlJc w:val="left"/>
      <w:pPr>
        <w:ind w:left="4835" w:hanging="360"/>
      </w:pPr>
    </w:lvl>
    <w:lvl w:ilvl="7" w:tplc="18090019">
      <w:start w:val="1"/>
      <w:numFmt w:val="lowerLetter"/>
      <w:lvlText w:val="%8."/>
      <w:lvlJc w:val="left"/>
      <w:pPr>
        <w:ind w:left="5555" w:hanging="360"/>
      </w:pPr>
    </w:lvl>
    <w:lvl w:ilvl="8" w:tplc="1809001B">
      <w:start w:val="1"/>
      <w:numFmt w:val="lowerRoman"/>
      <w:lvlText w:val="%9."/>
      <w:lvlJc w:val="right"/>
      <w:pPr>
        <w:ind w:left="6275" w:hanging="180"/>
      </w:pPr>
    </w:lvl>
  </w:abstractNum>
  <w:abstractNum w:abstractNumId="125" w15:restartNumberingAfterBreak="0">
    <w:nsid w:val="64E26C23"/>
    <w:multiLevelType w:val="hybridMultilevel"/>
    <w:tmpl w:val="0FA0C5AE"/>
    <w:lvl w:ilvl="0" w:tplc="794CB974">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669AEF6E"/>
    <w:multiLevelType w:val="hybridMultilevel"/>
    <w:tmpl w:val="FFFFFFFF"/>
    <w:lvl w:ilvl="0" w:tplc="B91C17A8">
      <w:start w:val="1"/>
      <w:numFmt w:val="bullet"/>
      <w:lvlText w:val="-"/>
      <w:lvlJc w:val="left"/>
      <w:pPr>
        <w:ind w:left="412" w:hanging="360"/>
      </w:pPr>
      <w:rPr>
        <w:rFonts w:ascii="Aptos" w:hAnsi="Aptos" w:hint="default"/>
      </w:rPr>
    </w:lvl>
    <w:lvl w:ilvl="1" w:tplc="F5820A96">
      <w:start w:val="1"/>
      <w:numFmt w:val="bullet"/>
      <w:lvlText w:val="o"/>
      <w:lvlJc w:val="left"/>
      <w:pPr>
        <w:ind w:left="1132" w:hanging="360"/>
      </w:pPr>
      <w:rPr>
        <w:rFonts w:ascii="Courier New" w:hAnsi="Courier New" w:hint="default"/>
      </w:rPr>
    </w:lvl>
    <w:lvl w:ilvl="2" w:tplc="9774AC64">
      <w:start w:val="1"/>
      <w:numFmt w:val="bullet"/>
      <w:lvlText w:val=""/>
      <w:lvlJc w:val="left"/>
      <w:pPr>
        <w:ind w:left="1852" w:hanging="360"/>
      </w:pPr>
      <w:rPr>
        <w:rFonts w:ascii="Wingdings" w:hAnsi="Wingdings" w:hint="default"/>
      </w:rPr>
    </w:lvl>
    <w:lvl w:ilvl="3" w:tplc="0700DB28">
      <w:start w:val="1"/>
      <w:numFmt w:val="bullet"/>
      <w:lvlText w:val=""/>
      <w:lvlJc w:val="left"/>
      <w:pPr>
        <w:ind w:left="2572" w:hanging="360"/>
      </w:pPr>
      <w:rPr>
        <w:rFonts w:ascii="Symbol" w:hAnsi="Symbol" w:hint="default"/>
      </w:rPr>
    </w:lvl>
    <w:lvl w:ilvl="4" w:tplc="0A0AA158">
      <w:start w:val="1"/>
      <w:numFmt w:val="bullet"/>
      <w:lvlText w:val="o"/>
      <w:lvlJc w:val="left"/>
      <w:pPr>
        <w:ind w:left="3292" w:hanging="360"/>
      </w:pPr>
      <w:rPr>
        <w:rFonts w:ascii="Courier New" w:hAnsi="Courier New" w:hint="default"/>
      </w:rPr>
    </w:lvl>
    <w:lvl w:ilvl="5" w:tplc="590441D6">
      <w:start w:val="1"/>
      <w:numFmt w:val="bullet"/>
      <w:lvlText w:val=""/>
      <w:lvlJc w:val="left"/>
      <w:pPr>
        <w:ind w:left="4012" w:hanging="360"/>
      </w:pPr>
      <w:rPr>
        <w:rFonts w:ascii="Wingdings" w:hAnsi="Wingdings" w:hint="default"/>
      </w:rPr>
    </w:lvl>
    <w:lvl w:ilvl="6" w:tplc="2FDC5F50">
      <w:start w:val="1"/>
      <w:numFmt w:val="bullet"/>
      <w:lvlText w:val=""/>
      <w:lvlJc w:val="left"/>
      <w:pPr>
        <w:ind w:left="4732" w:hanging="360"/>
      </w:pPr>
      <w:rPr>
        <w:rFonts w:ascii="Symbol" w:hAnsi="Symbol" w:hint="default"/>
      </w:rPr>
    </w:lvl>
    <w:lvl w:ilvl="7" w:tplc="06AC46D0">
      <w:start w:val="1"/>
      <w:numFmt w:val="bullet"/>
      <w:lvlText w:val="o"/>
      <w:lvlJc w:val="left"/>
      <w:pPr>
        <w:ind w:left="5452" w:hanging="360"/>
      </w:pPr>
      <w:rPr>
        <w:rFonts w:ascii="Courier New" w:hAnsi="Courier New" w:hint="default"/>
      </w:rPr>
    </w:lvl>
    <w:lvl w:ilvl="8" w:tplc="F3CC97AC">
      <w:start w:val="1"/>
      <w:numFmt w:val="bullet"/>
      <w:lvlText w:val=""/>
      <w:lvlJc w:val="left"/>
      <w:pPr>
        <w:ind w:left="6172" w:hanging="360"/>
      </w:pPr>
      <w:rPr>
        <w:rFonts w:ascii="Wingdings" w:hAnsi="Wingdings" w:hint="default"/>
      </w:rPr>
    </w:lvl>
  </w:abstractNum>
  <w:abstractNum w:abstractNumId="12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28" w15:restartNumberingAfterBreak="0">
    <w:nsid w:val="6829EC44"/>
    <w:multiLevelType w:val="hybridMultilevel"/>
    <w:tmpl w:val="FFFFFFFF"/>
    <w:lvl w:ilvl="0" w:tplc="75B4E6B4">
      <w:start w:val="1"/>
      <w:numFmt w:val="bullet"/>
      <w:lvlText w:val="-"/>
      <w:lvlJc w:val="left"/>
      <w:pPr>
        <w:ind w:left="412" w:hanging="360"/>
      </w:pPr>
      <w:rPr>
        <w:rFonts w:ascii="Aptos" w:hAnsi="Aptos" w:hint="default"/>
      </w:rPr>
    </w:lvl>
    <w:lvl w:ilvl="1" w:tplc="303248C8">
      <w:start w:val="1"/>
      <w:numFmt w:val="bullet"/>
      <w:lvlText w:val="o"/>
      <w:lvlJc w:val="left"/>
      <w:pPr>
        <w:ind w:left="1132" w:hanging="360"/>
      </w:pPr>
      <w:rPr>
        <w:rFonts w:ascii="Courier New" w:hAnsi="Courier New" w:hint="default"/>
      </w:rPr>
    </w:lvl>
    <w:lvl w:ilvl="2" w:tplc="A1D047F0">
      <w:start w:val="1"/>
      <w:numFmt w:val="bullet"/>
      <w:lvlText w:val=""/>
      <w:lvlJc w:val="left"/>
      <w:pPr>
        <w:ind w:left="1852" w:hanging="360"/>
      </w:pPr>
      <w:rPr>
        <w:rFonts w:ascii="Wingdings" w:hAnsi="Wingdings" w:hint="default"/>
      </w:rPr>
    </w:lvl>
    <w:lvl w:ilvl="3" w:tplc="43AC83EE">
      <w:start w:val="1"/>
      <w:numFmt w:val="bullet"/>
      <w:lvlText w:val=""/>
      <w:lvlJc w:val="left"/>
      <w:pPr>
        <w:ind w:left="2572" w:hanging="360"/>
      </w:pPr>
      <w:rPr>
        <w:rFonts w:ascii="Symbol" w:hAnsi="Symbol" w:hint="default"/>
      </w:rPr>
    </w:lvl>
    <w:lvl w:ilvl="4" w:tplc="9F9000CA">
      <w:start w:val="1"/>
      <w:numFmt w:val="bullet"/>
      <w:lvlText w:val="o"/>
      <w:lvlJc w:val="left"/>
      <w:pPr>
        <w:ind w:left="3292" w:hanging="360"/>
      </w:pPr>
      <w:rPr>
        <w:rFonts w:ascii="Courier New" w:hAnsi="Courier New" w:hint="default"/>
      </w:rPr>
    </w:lvl>
    <w:lvl w:ilvl="5" w:tplc="B894749C">
      <w:start w:val="1"/>
      <w:numFmt w:val="bullet"/>
      <w:lvlText w:val=""/>
      <w:lvlJc w:val="left"/>
      <w:pPr>
        <w:ind w:left="4012" w:hanging="360"/>
      </w:pPr>
      <w:rPr>
        <w:rFonts w:ascii="Wingdings" w:hAnsi="Wingdings" w:hint="default"/>
      </w:rPr>
    </w:lvl>
    <w:lvl w:ilvl="6" w:tplc="EEC80BF2">
      <w:start w:val="1"/>
      <w:numFmt w:val="bullet"/>
      <w:lvlText w:val=""/>
      <w:lvlJc w:val="left"/>
      <w:pPr>
        <w:ind w:left="4732" w:hanging="360"/>
      </w:pPr>
      <w:rPr>
        <w:rFonts w:ascii="Symbol" w:hAnsi="Symbol" w:hint="default"/>
      </w:rPr>
    </w:lvl>
    <w:lvl w:ilvl="7" w:tplc="AFEC6E52">
      <w:start w:val="1"/>
      <w:numFmt w:val="bullet"/>
      <w:lvlText w:val="o"/>
      <w:lvlJc w:val="left"/>
      <w:pPr>
        <w:ind w:left="5452" w:hanging="360"/>
      </w:pPr>
      <w:rPr>
        <w:rFonts w:ascii="Courier New" w:hAnsi="Courier New" w:hint="default"/>
      </w:rPr>
    </w:lvl>
    <w:lvl w:ilvl="8" w:tplc="AC54A14E">
      <w:start w:val="1"/>
      <w:numFmt w:val="bullet"/>
      <w:lvlText w:val=""/>
      <w:lvlJc w:val="left"/>
      <w:pPr>
        <w:ind w:left="6172" w:hanging="360"/>
      </w:pPr>
      <w:rPr>
        <w:rFonts w:ascii="Wingdings" w:hAnsi="Wingdings" w:hint="default"/>
      </w:rPr>
    </w:lvl>
  </w:abstractNum>
  <w:abstractNum w:abstractNumId="129" w15:restartNumberingAfterBreak="0">
    <w:nsid w:val="6A5F0F4B"/>
    <w:multiLevelType w:val="hybridMultilevel"/>
    <w:tmpl w:val="75C0D73A"/>
    <w:lvl w:ilvl="0" w:tplc="DA78AE1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0" w15:restartNumberingAfterBreak="0">
    <w:nsid w:val="6ADD0160"/>
    <w:multiLevelType w:val="hybridMultilevel"/>
    <w:tmpl w:val="E730C81A"/>
    <w:lvl w:ilvl="0" w:tplc="27E0058A">
      <w:start w:val="1"/>
      <w:numFmt w:val="decimal"/>
      <w:lvlText w:val="%1)"/>
      <w:lvlJc w:val="left"/>
      <w:pPr>
        <w:ind w:left="1020" w:hanging="360"/>
      </w:pPr>
    </w:lvl>
    <w:lvl w:ilvl="1" w:tplc="D7EAD768">
      <w:start w:val="1"/>
      <w:numFmt w:val="decimal"/>
      <w:lvlText w:val="%2)"/>
      <w:lvlJc w:val="left"/>
      <w:pPr>
        <w:ind w:left="1020" w:hanging="360"/>
      </w:pPr>
    </w:lvl>
    <w:lvl w:ilvl="2" w:tplc="5C54793C">
      <w:start w:val="1"/>
      <w:numFmt w:val="decimal"/>
      <w:lvlText w:val="%3)"/>
      <w:lvlJc w:val="left"/>
      <w:pPr>
        <w:ind w:left="1020" w:hanging="360"/>
      </w:pPr>
    </w:lvl>
    <w:lvl w:ilvl="3" w:tplc="641E34FC">
      <w:start w:val="1"/>
      <w:numFmt w:val="decimal"/>
      <w:lvlText w:val="%4)"/>
      <w:lvlJc w:val="left"/>
      <w:pPr>
        <w:ind w:left="1020" w:hanging="360"/>
      </w:pPr>
    </w:lvl>
    <w:lvl w:ilvl="4" w:tplc="3A008F92">
      <w:start w:val="1"/>
      <w:numFmt w:val="decimal"/>
      <w:lvlText w:val="%5)"/>
      <w:lvlJc w:val="left"/>
      <w:pPr>
        <w:ind w:left="1020" w:hanging="360"/>
      </w:pPr>
    </w:lvl>
    <w:lvl w:ilvl="5" w:tplc="74BA9E2A">
      <w:start w:val="1"/>
      <w:numFmt w:val="decimal"/>
      <w:lvlText w:val="%6)"/>
      <w:lvlJc w:val="left"/>
      <w:pPr>
        <w:ind w:left="1020" w:hanging="360"/>
      </w:pPr>
    </w:lvl>
    <w:lvl w:ilvl="6" w:tplc="1ED6385C">
      <w:start w:val="1"/>
      <w:numFmt w:val="decimal"/>
      <w:lvlText w:val="%7)"/>
      <w:lvlJc w:val="left"/>
      <w:pPr>
        <w:ind w:left="1020" w:hanging="360"/>
      </w:pPr>
    </w:lvl>
    <w:lvl w:ilvl="7" w:tplc="A10E072E">
      <w:start w:val="1"/>
      <w:numFmt w:val="decimal"/>
      <w:lvlText w:val="%8)"/>
      <w:lvlJc w:val="left"/>
      <w:pPr>
        <w:ind w:left="1020" w:hanging="360"/>
      </w:pPr>
    </w:lvl>
    <w:lvl w:ilvl="8" w:tplc="E678061A">
      <w:start w:val="1"/>
      <w:numFmt w:val="decimal"/>
      <w:lvlText w:val="%9)"/>
      <w:lvlJc w:val="left"/>
      <w:pPr>
        <w:ind w:left="1020" w:hanging="360"/>
      </w:pPr>
    </w:lvl>
  </w:abstractNum>
  <w:abstractNum w:abstractNumId="131" w15:restartNumberingAfterBreak="0">
    <w:nsid w:val="6ADF3DF3"/>
    <w:multiLevelType w:val="hybridMultilevel"/>
    <w:tmpl w:val="BBD6B2DC"/>
    <w:lvl w:ilvl="0" w:tplc="134210DC">
      <w:start w:val="1"/>
      <w:numFmt w:val="lowerRoman"/>
      <w:lvlText w:val="%1)"/>
      <w:lvlJc w:val="right"/>
      <w:pPr>
        <w:ind w:left="1020" w:hanging="360"/>
      </w:pPr>
    </w:lvl>
    <w:lvl w:ilvl="1" w:tplc="1212AE30">
      <w:start w:val="1"/>
      <w:numFmt w:val="lowerRoman"/>
      <w:lvlText w:val="%2)"/>
      <w:lvlJc w:val="right"/>
      <w:pPr>
        <w:ind w:left="1020" w:hanging="360"/>
      </w:pPr>
    </w:lvl>
    <w:lvl w:ilvl="2" w:tplc="19C4B658">
      <w:start w:val="1"/>
      <w:numFmt w:val="lowerRoman"/>
      <w:lvlText w:val="%3)"/>
      <w:lvlJc w:val="right"/>
      <w:pPr>
        <w:ind w:left="1020" w:hanging="360"/>
      </w:pPr>
    </w:lvl>
    <w:lvl w:ilvl="3" w:tplc="E710E6F8">
      <w:start w:val="1"/>
      <w:numFmt w:val="lowerRoman"/>
      <w:lvlText w:val="%4)"/>
      <w:lvlJc w:val="right"/>
      <w:pPr>
        <w:ind w:left="1020" w:hanging="360"/>
      </w:pPr>
    </w:lvl>
    <w:lvl w:ilvl="4" w:tplc="43C2E880">
      <w:start w:val="1"/>
      <w:numFmt w:val="lowerRoman"/>
      <w:lvlText w:val="%5)"/>
      <w:lvlJc w:val="right"/>
      <w:pPr>
        <w:ind w:left="1020" w:hanging="360"/>
      </w:pPr>
    </w:lvl>
    <w:lvl w:ilvl="5" w:tplc="15DAC00A">
      <w:start w:val="1"/>
      <w:numFmt w:val="lowerRoman"/>
      <w:lvlText w:val="%6)"/>
      <w:lvlJc w:val="right"/>
      <w:pPr>
        <w:ind w:left="1020" w:hanging="360"/>
      </w:pPr>
    </w:lvl>
    <w:lvl w:ilvl="6" w:tplc="D4E61F70">
      <w:start w:val="1"/>
      <w:numFmt w:val="lowerRoman"/>
      <w:lvlText w:val="%7)"/>
      <w:lvlJc w:val="right"/>
      <w:pPr>
        <w:ind w:left="1020" w:hanging="360"/>
      </w:pPr>
    </w:lvl>
    <w:lvl w:ilvl="7" w:tplc="8850C870">
      <w:start w:val="1"/>
      <w:numFmt w:val="lowerRoman"/>
      <w:lvlText w:val="%8)"/>
      <w:lvlJc w:val="right"/>
      <w:pPr>
        <w:ind w:left="1020" w:hanging="360"/>
      </w:pPr>
    </w:lvl>
    <w:lvl w:ilvl="8" w:tplc="EC901832">
      <w:start w:val="1"/>
      <w:numFmt w:val="lowerRoman"/>
      <w:lvlText w:val="%9)"/>
      <w:lvlJc w:val="right"/>
      <w:pPr>
        <w:ind w:left="1020" w:hanging="360"/>
      </w:pPr>
    </w:lvl>
  </w:abstractNum>
  <w:abstractNum w:abstractNumId="132" w15:restartNumberingAfterBreak="0">
    <w:nsid w:val="6AF51219"/>
    <w:multiLevelType w:val="hybridMultilevel"/>
    <w:tmpl w:val="F4BE9E7E"/>
    <w:lvl w:ilvl="0" w:tplc="167C1572">
      <w:start w:val="1"/>
      <w:numFmt w:val="low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3" w15:restartNumberingAfterBreak="0">
    <w:nsid w:val="6CC515E4"/>
    <w:multiLevelType w:val="hybridMultilevel"/>
    <w:tmpl w:val="70281464"/>
    <w:lvl w:ilvl="0" w:tplc="136210C4">
      <w:start w:val="11"/>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4"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135" w15:restartNumberingAfterBreak="0">
    <w:nsid w:val="6EAE5E87"/>
    <w:multiLevelType w:val="hybridMultilevel"/>
    <w:tmpl w:val="5B067C72"/>
    <w:lvl w:ilvl="0" w:tplc="50D44480">
      <w:start w:val="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6" w15:restartNumberingAfterBreak="0">
    <w:nsid w:val="6FEF78F3"/>
    <w:multiLevelType w:val="hybridMultilevel"/>
    <w:tmpl w:val="C4DA8FCC"/>
    <w:lvl w:ilvl="0" w:tplc="35DE1178">
      <w:start w:val="1"/>
      <w:numFmt w:val="bullet"/>
      <w:lvlText w:val=""/>
      <w:lvlJc w:val="left"/>
      <w:pPr>
        <w:ind w:left="1080" w:hanging="360"/>
      </w:pPr>
      <w:rPr>
        <w:rFonts w:ascii="Symbol" w:hAnsi="Symbol" w:hint="default"/>
      </w:rPr>
    </w:lvl>
    <w:lvl w:ilvl="1" w:tplc="8B70BFD0">
      <w:start w:val="1"/>
      <w:numFmt w:val="bullet"/>
      <w:lvlText w:val="o"/>
      <w:lvlJc w:val="left"/>
      <w:pPr>
        <w:ind w:left="1800" w:hanging="360"/>
      </w:pPr>
      <w:rPr>
        <w:rFonts w:ascii="Courier New" w:hAnsi="Courier New" w:hint="default"/>
      </w:rPr>
    </w:lvl>
    <w:lvl w:ilvl="2" w:tplc="2C6A3C50">
      <w:start w:val="1"/>
      <w:numFmt w:val="bullet"/>
      <w:lvlText w:val=""/>
      <w:lvlJc w:val="left"/>
      <w:pPr>
        <w:ind w:left="2520" w:hanging="360"/>
      </w:pPr>
      <w:rPr>
        <w:rFonts w:ascii="Wingdings" w:hAnsi="Wingdings" w:hint="default"/>
      </w:rPr>
    </w:lvl>
    <w:lvl w:ilvl="3" w:tplc="127CA550">
      <w:start w:val="1"/>
      <w:numFmt w:val="bullet"/>
      <w:lvlText w:val=""/>
      <w:lvlJc w:val="left"/>
      <w:pPr>
        <w:ind w:left="3240" w:hanging="360"/>
      </w:pPr>
      <w:rPr>
        <w:rFonts w:ascii="Symbol" w:hAnsi="Symbol" w:hint="default"/>
      </w:rPr>
    </w:lvl>
    <w:lvl w:ilvl="4" w:tplc="6AFA6526">
      <w:start w:val="1"/>
      <w:numFmt w:val="bullet"/>
      <w:lvlText w:val="o"/>
      <w:lvlJc w:val="left"/>
      <w:pPr>
        <w:ind w:left="3960" w:hanging="360"/>
      </w:pPr>
      <w:rPr>
        <w:rFonts w:ascii="Courier New" w:hAnsi="Courier New" w:hint="default"/>
      </w:rPr>
    </w:lvl>
    <w:lvl w:ilvl="5" w:tplc="F69A07AE">
      <w:start w:val="1"/>
      <w:numFmt w:val="bullet"/>
      <w:lvlText w:val=""/>
      <w:lvlJc w:val="left"/>
      <w:pPr>
        <w:ind w:left="4680" w:hanging="360"/>
      </w:pPr>
      <w:rPr>
        <w:rFonts w:ascii="Wingdings" w:hAnsi="Wingdings" w:hint="default"/>
      </w:rPr>
    </w:lvl>
    <w:lvl w:ilvl="6" w:tplc="02525080">
      <w:start w:val="1"/>
      <w:numFmt w:val="bullet"/>
      <w:lvlText w:val=""/>
      <w:lvlJc w:val="left"/>
      <w:pPr>
        <w:ind w:left="5400" w:hanging="360"/>
      </w:pPr>
      <w:rPr>
        <w:rFonts w:ascii="Symbol" w:hAnsi="Symbol" w:hint="default"/>
      </w:rPr>
    </w:lvl>
    <w:lvl w:ilvl="7" w:tplc="D20494C0">
      <w:start w:val="1"/>
      <w:numFmt w:val="bullet"/>
      <w:lvlText w:val="o"/>
      <w:lvlJc w:val="left"/>
      <w:pPr>
        <w:ind w:left="6120" w:hanging="360"/>
      </w:pPr>
      <w:rPr>
        <w:rFonts w:ascii="Courier New" w:hAnsi="Courier New" w:hint="default"/>
      </w:rPr>
    </w:lvl>
    <w:lvl w:ilvl="8" w:tplc="2C0C5662">
      <w:start w:val="1"/>
      <w:numFmt w:val="bullet"/>
      <w:lvlText w:val=""/>
      <w:lvlJc w:val="left"/>
      <w:pPr>
        <w:ind w:left="6840" w:hanging="360"/>
      </w:pPr>
      <w:rPr>
        <w:rFonts w:ascii="Wingdings" w:hAnsi="Wingdings" w:hint="default"/>
      </w:rPr>
    </w:lvl>
  </w:abstractNum>
  <w:abstractNum w:abstractNumId="137" w15:restartNumberingAfterBreak="0">
    <w:nsid w:val="70D27178"/>
    <w:multiLevelType w:val="hybridMultilevel"/>
    <w:tmpl w:val="C8B431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8" w15:restartNumberingAfterBreak="0">
    <w:nsid w:val="71D13DD9"/>
    <w:multiLevelType w:val="hybridMultilevel"/>
    <w:tmpl w:val="9DE29658"/>
    <w:lvl w:ilvl="0" w:tplc="FFFFFFFF">
      <w:start w:val="1"/>
      <w:numFmt w:val="lowerRoman"/>
      <w:lvlText w:val="%1)"/>
      <w:lvlJc w:val="left"/>
      <w:pPr>
        <w:ind w:left="778" w:hanging="360"/>
      </w:pPr>
      <w:rPr>
        <w:rFonts w:hint="default"/>
      </w:rPr>
    </w:lvl>
    <w:lvl w:ilvl="1" w:tplc="FFFFFFFF" w:tentative="1">
      <w:start w:val="1"/>
      <w:numFmt w:val="bullet"/>
      <w:lvlText w:val="o"/>
      <w:lvlJc w:val="left"/>
      <w:pPr>
        <w:ind w:left="1498" w:hanging="360"/>
      </w:pPr>
      <w:rPr>
        <w:rFonts w:ascii="Courier New" w:hAnsi="Courier New" w:cs="Courier New" w:hint="default"/>
      </w:rPr>
    </w:lvl>
    <w:lvl w:ilvl="2" w:tplc="FFFFFFFF" w:tentative="1">
      <w:start w:val="1"/>
      <w:numFmt w:val="bullet"/>
      <w:lvlText w:val=""/>
      <w:lvlJc w:val="left"/>
      <w:pPr>
        <w:ind w:left="2218" w:hanging="360"/>
      </w:pPr>
      <w:rPr>
        <w:rFonts w:ascii="Wingdings" w:hAnsi="Wingdings" w:hint="default"/>
      </w:rPr>
    </w:lvl>
    <w:lvl w:ilvl="3" w:tplc="FFFFFFFF" w:tentative="1">
      <w:start w:val="1"/>
      <w:numFmt w:val="bullet"/>
      <w:lvlText w:val=""/>
      <w:lvlJc w:val="left"/>
      <w:pPr>
        <w:ind w:left="2938" w:hanging="360"/>
      </w:pPr>
      <w:rPr>
        <w:rFonts w:ascii="Symbol" w:hAnsi="Symbol" w:hint="default"/>
      </w:rPr>
    </w:lvl>
    <w:lvl w:ilvl="4" w:tplc="FFFFFFFF" w:tentative="1">
      <w:start w:val="1"/>
      <w:numFmt w:val="bullet"/>
      <w:lvlText w:val="o"/>
      <w:lvlJc w:val="left"/>
      <w:pPr>
        <w:ind w:left="3658" w:hanging="360"/>
      </w:pPr>
      <w:rPr>
        <w:rFonts w:ascii="Courier New" w:hAnsi="Courier New" w:cs="Courier New" w:hint="default"/>
      </w:rPr>
    </w:lvl>
    <w:lvl w:ilvl="5" w:tplc="FFFFFFFF" w:tentative="1">
      <w:start w:val="1"/>
      <w:numFmt w:val="bullet"/>
      <w:lvlText w:val=""/>
      <w:lvlJc w:val="left"/>
      <w:pPr>
        <w:ind w:left="4378" w:hanging="360"/>
      </w:pPr>
      <w:rPr>
        <w:rFonts w:ascii="Wingdings" w:hAnsi="Wingdings" w:hint="default"/>
      </w:rPr>
    </w:lvl>
    <w:lvl w:ilvl="6" w:tplc="FFFFFFFF" w:tentative="1">
      <w:start w:val="1"/>
      <w:numFmt w:val="bullet"/>
      <w:lvlText w:val=""/>
      <w:lvlJc w:val="left"/>
      <w:pPr>
        <w:ind w:left="5098" w:hanging="360"/>
      </w:pPr>
      <w:rPr>
        <w:rFonts w:ascii="Symbol" w:hAnsi="Symbol" w:hint="default"/>
      </w:rPr>
    </w:lvl>
    <w:lvl w:ilvl="7" w:tplc="FFFFFFFF" w:tentative="1">
      <w:start w:val="1"/>
      <w:numFmt w:val="bullet"/>
      <w:lvlText w:val="o"/>
      <w:lvlJc w:val="left"/>
      <w:pPr>
        <w:ind w:left="5818" w:hanging="360"/>
      </w:pPr>
      <w:rPr>
        <w:rFonts w:ascii="Courier New" w:hAnsi="Courier New" w:cs="Courier New" w:hint="default"/>
      </w:rPr>
    </w:lvl>
    <w:lvl w:ilvl="8" w:tplc="FFFFFFFF" w:tentative="1">
      <w:start w:val="1"/>
      <w:numFmt w:val="bullet"/>
      <w:lvlText w:val=""/>
      <w:lvlJc w:val="left"/>
      <w:pPr>
        <w:ind w:left="6538" w:hanging="360"/>
      </w:pPr>
      <w:rPr>
        <w:rFonts w:ascii="Wingdings" w:hAnsi="Wingdings" w:hint="default"/>
      </w:rPr>
    </w:lvl>
  </w:abstractNum>
  <w:abstractNum w:abstractNumId="139" w15:restartNumberingAfterBreak="0">
    <w:nsid w:val="72806182"/>
    <w:multiLevelType w:val="hybridMultilevel"/>
    <w:tmpl w:val="EEF6D806"/>
    <w:lvl w:ilvl="0" w:tplc="1809000F">
      <w:start w:val="1"/>
      <w:numFmt w:val="decimal"/>
      <w:lvlText w:val="%1."/>
      <w:lvlJc w:val="left"/>
      <w:pPr>
        <w:ind w:left="144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0" w15:restartNumberingAfterBreak="0">
    <w:nsid w:val="73427F95"/>
    <w:multiLevelType w:val="hybridMultilevel"/>
    <w:tmpl w:val="B51C95F2"/>
    <w:lvl w:ilvl="0" w:tplc="E2264850">
      <w:start w:val="1"/>
      <w:numFmt w:val="decimal"/>
      <w:lvlText w:val="%1)"/>
      <w:lvlJc w:val="left"/>
      <w:pPr>
        <w:ind w:left="1020" w:hanging="360"/>
      </w:pPr>
    </w:lvl>
    <w:lvl w:ilvl="1" w:tplc="A550992C">
      <w:start w:val="1"/>
      <w:numFmt w:val="decimal"/>
      <w:lvlText w:val="%2)"/>
      <w:lvlJc w:val="left"/>
      <w:pPr>
        <w:ind w:left="1020" w:hanging="360"/>
      </w:pPr>
    </w:lvl>
    <w:lvl w:ilvl="2" w:tplc="C7826F2A">
      <w:start w:val="1"/>
      <w:numFmt w:val="decimal"/>
      <w:lvlText w:val="%3)"/>
      <w:lvlJc w:val="left"/>
      <w:pPr>
        <w:ind w:left="1020" w:hanging="360"/>
      </w:pPr>
    </w:lvl>
    <w:lvl w:ilvl="3" w:tplc="014C0F66">
      <w:start w:val="1"/>
      <w:numFmt w:val="decimal"/>
      <w:lvlText w:val="%4)"/>
      <w:lvlJc w:val="left"/>
      <w:pPr>
        <w:ind w:left="1020" w:hanging="360"/>
      </w:pPr>
    </w:lvl>
    <w:lvl w:ilvl="4" w:tplc="0F7EBF3E">
      <w:start w:val="1"/>
      <w:numFmt w:val="decimal"/>
      <w:lvlText w:val="%5)"/>
      <w:lvlJc w:val="left"/>
      <w:pPr>
        <w:ind w:left="1020" w:hanging="360"/>
      </w:pPr>
    </w:lvl>
    <w:lvl w:ilvl="5" w:tplc="4C84DACE">
      <w:start w:val="1"/>
      <w:numFmt w:val="decimal"/>
      <w:lvlText w:val="%6)"/>
      <w:lvlJc w:val="left"/>
      <w:pPr>
        <w:ind w:left="1020" w:hanging="360"/>
      </w:pPr>
    </w:lvl>
    <w:lvl w:ilvl="6" w:tplc="CDA00220">
      <w:start w:val="1"/>
      <w:numFmt w:val="decimal"/>
      <w:lvlText w:val="%7)"/>
      <w:lvlJc w:val="left"/>
      <w:pPr>
        <w:ind w:left="1020" w:hanging="360"/>
      </w:pPr>
    </w:lvl>
    <w:lvl w:ilvl="7" w:tplc="CB60C426">
      <w:start w:val="1"/>
      <w:numFmt w:val="decimal"/>
      <w:lvlText w:val="%8)"/>
      <w:lvlJc w:val="left"/>
      <w:pPr>
        <w:ind w:left="1020" w:hanging="360"/>
      </w:pPr>
    </w:lvl>
    <w:lvl w:ilvl="8" w:tplc="5FDCFD90">
      <w:start w:val="1"/>
      <w:numFmt w:val="decimal"/>
      <w:lvlText w:val="%9)"/>
      <w:lvlJc w:val="left"/>
      <w:pPr>
        <w:ind w:left="1020" w:hanging="360"/>
      </w:pPr>
    </w:lvl>
  </w:abstractNum>
  <w:abstractNum w:abstractNumId="141" w15:restartNumberingAfterBreak="0">
    <w:nsid w:val="74292CFE"/>
    <w:multiLevelType w:val="hybridMultilevel"/>
    <w:tmpl w:val="A25C559C"/>
    <w:lvl w:ilvl="0" w:tplc="DA162A70">
      <w:start w:val="1"/>
      <w:numFmt w:val="decimal"/>
      <w:lvlText w:val="%1."/>
      <w:lvlJc w:val="left"/>
      <w:pPr>
        <w:ind w:left="1020" w:hanging="360"/>
      </w:pPr>
    </w:lvl>
    <w:lvl w:ilvl="1" w:tplc="55EEF24A">
      <w:start w:val="1"/>
      <w:numFmt w:val="decimal"/>
      <w:lvlText w:val="%2."/>
      <w:lvlJc w:val="left"/>
      <w:pPr>
        <w:ind w:left="1020" w:hanging="360"/>
      </w:pPr>
    </w:lvl>
    <w:lvl w:ilvl="2" w:tplc="81A8686C">
      <w:start w:val="1"/>
      <w:numFmt w:val="decimal"/>
      <w:lvlText w:val="%3."/>
      <w:lvlJc w:val="left"/>
      <w:pPr>
        <w:ind w:left="1020" w:hanging="360"/>
      </w:pPr>
    </w:lvl>
    <w:lvl w:ilvl="3" w:tplc="983CDEFC">
      <w:start w:val="1"/>
      <w:numFmt w:val="decimal"/>
      <w:lvlText w:val="%4."/>
      <w:lvlJc w:val="left"/>
      <w:pPr>
        <w:ind w:left="1020" w:hanging="360"/>
      </w:pPr>
    </w:lvl>
    <w:lvl w:ilvl="4" w:tplc="F46A0E9E">
      <w:start w:val="1"/>
      <w:numFmt w:val="decimal"/>
      <w:lvlText w:val="%5."/>
      <w:lvlJc w:val="left"/>
      <w:pPr>
        <w:ind w:left="1020" w:hanging="360"/>
      </w:pPr>
    </w:lvl>
    <w:lvl w:ilvl="5" w:tplc="13ECB40E">
      <w:start w:val="1"/>
      <w:numFmt w:val="decimal"/>
      <w:lvlText w:val="%6."/>
      <w:lvlJc w:val="left"/>
      <w:pPr>
        <w:ind w:left="1020" w:hanging="360"/>
      </w:pPr>
    </w:lvl>
    <w:lvl w:ilvl="6" w:tplc="00A2946C">
      <w:start w:val="1"/>
      <w:numFmt w:val="decimal"/>
      <w:lvlText w:val="%7."/>
      <w:lvlJc w:val="left"/>
      <w:pPr>
        <w:ind w:left="1020" w:hanging="360"/>
      </w:pPr>
    </w:lvl>
    <w:lvl w:ilvl="7" w:tplc="795EA4CA">
      <w:start w:val="1"/>
      <w:numFmt w:val="decimal"/>
      <w:lvlText w:val="%8."/>
      <w:lvlJc w:val="left"/>
      <w:pPr>
        <w:ind w:left="1020" w:hanging="360"/>
      </w:pPr>
    </w:lvl>
    <w:lvl w:ilvl="8" w:tplc="4F74695A">
      <w:start w:val="1"/>
      <w:numFmt w:val="decimal"/>
      <w:lvlText w:val="%9."/>
      <w:lvlJc w:val="left"/>
      <w:pPr>
        <w:ind w:left="1020" w:hanging="360"/>
      </w:pPr>
    </w:lvl>
  </w:abstractNum>
  <w:abstractNum w:abstractNumId="142" w15:restartNumberingAfterBreak="0">
    <w:nsid w:val="74814AB4"/>
    <w:multiLevelType w:val="hybridMultilevel"/>
    <w:tmpl w:val="55389E68"/>
    <w:lvl w:ilvl="0" w:tplc="646E4144">
      <w:start w:val="1"/>
      <w:numFmt w:val="lowerRoman"/>
      <w:lvlText w:val="%1)"/>
      <w:lvlJc w:val="right"/>
      <w:pPr>
        <w:ind w:left="1020" w:hanging="360"/>
      </w:pPr>
    </w:lvl>
    <w:lvl w:ilvl="1" w:tplc="1DFEE6DC">
      <w:start w:val="1"/>
      <w:numFmt w:val="lowerRoman"/>
      <w:lvlText w:val="%2)"/>
      <w:lvlJc w:val="right"/>
      <w:pPr>
        <w:ind w:left="1020" w:hanging="360"/>
      </w:pPr>
    </w:lvl>
    <w:lvl w:ilvl="2" w:tplc="32CC0366">
      <w:start w:val="1"/>
      <w:numFmt w:val="lowerRoman"/>
      <w:lvlText w:val="%3)"/>
      <w:lvlJc w:val="right"/>
      <w:pPr>
        <w:ind w:left="1020" w:hanging="360"/>
      </w:pPr>
    </w:lvl>
    <w:lvl w:ilvl="3" w:tplc="C986C432">
      <w:start w:val="1"/>
      <w:numFmt w:val="lowerRoman"/>
      <w:lvlText w:val="%4)"/>
      <w:lvlJc w:val="right"/>
      <w:pPr>
        <w:ind w:left="1020" w:hanging="360"/>
      </w:pPr>
    </w:lvl>
    <w:lvl w:ilvl="4" w:tplc="577CBDF2">
      <w:start w:val="1"/>
      <w:numFmt w:val="lowerRoman"/>
      <w:lvlText w:val="%5)"/>
      <w:lvlJc w:val="right"/>
      <w:pPr>
        <w:ind w:left="1020" w:hanging="360"/>
      </w:pPr>
    </w:lvl>
    <w:lvl w:ilvl="5" w:tplc="9F2CDAB0">
      <w:start w:val="1"/>
      <w:numFmt w:val="lowerRoman"/>
      <w:lvlText w:val="%6)"/>
      <w:lvlJc w:val="right"/>
      <w:pPr>
        <w:ind w:left="1020" w:hanging="360"/>
      </w:pPr>
    </w:lvl>
    <w:lvl w:ilvl="6" w:tplc="3678280E">
      <w:start w:val="1"/>
      <w:numFmt w:val="lowerRoman"/>
      <w:lvlText w:val="%7)"/>
      <w:lvlJc w:val="right"/>
      <w:pPr>
        <w:ind w:left="1020" w:hanging="360"/>
      </w:pPr>
    </w:lvl>
    <w:lvl w:ilvl="7" w:tplc="F84C06F0">
      <w:start w:val="1"/>
      <w:numFmt w:val="lowerRoman"/>
      <w:lvlText w:val="%8)"/>
      <w:lvlJc w:val="right"/>
      <w:pPr>
        <w:ind w:left="1020" w:hanging="360"/>
      </w:pPr>
    </w:lvl>
    <w:lvl w:ilvl="8" w:tplc="98D833CA">
      <w:start w:val="1"/>
      <w:numFmt w:val="lowerRoman"/>
      <w:lvlText w:val="%9)"/>
      <w:lvlJc w:val="right"/>
      <w:pPr>
        <w:ind w:left="1020" w:hanging="360"/>
      </w:pPr>
    </w:lvl>
  </w:abstractNum>
  <w:abstractNum w:abstractNumId="143" w15:restartNumberingAfterBreak="0">
    <w:nsid w:val="756A1D1A"/>
    <w:multiLevelType w:val="hybridMultilevel"/>
    <w:tmpl w:val="FFFFFFFF"/>
    <w:lvl w:ilvl="0" w:tplc="AE826486">
      <w:start w:val="1"/>
      <w:numFmt w:val="bullet"/>
      <w:lvlText w:val="-"/>
      <w:lvlJc w:val="left"/>
      <w:pPr>
        <w:ind w:left="720" w:hanging="360"/>
      </w:pPr>
      <w:rPr>
        <w:rFonts w:ascii="Aptos" w:hAnsi="Aptos" w:hint="default"/>
      </w:rPr>
    </w:lvl>
    <w:lvl w:ilvl="1" w:tplc="E66AEDAE">
      <w:start w:val="1"/>
      <w:numFmt w:val="bullet"/>
      <w:lvlText w:val="o"/>
      <w:lvlJc w:val="left"/>
      <w:pPr>
        <w:ind w:left="1440" w:hanging="360"/>
      </w:pPr>
      <w:rPr>
        <w:rFonts w:ascii="Courier New" w:hAnsi="Courier New" w:hint="default"/>
      </w:rPr>
    </w:lvl>
    <w:lvl w:ilvl="2" w:tplc="AE1AB3A6">
      <w:start w:val="1"/>
      <w:numFmt w:val="bullet"/>
      <w:lvlText w:val=""/>
      <w:lvlJc w:val="left"/>
      <w:pPr>
        <w:ind w:left="2160" w:hanging="360"/>
      </w:pPr>
      <w:rPr>
        <w:rFonts w:ascii="Wingdings" w:hAnsi="Wingdings" w:hint="default"/>
      </w:rPr>
    </w:lvl>
    <w:lvl w:ilvl="3" w:tplc="58EA74E2">
      <w:start w:val="1"/>
      <w:numFmt w:val="bullet"/>
      <w:lvlText w:val=""/>
      <w:lvlJc w:val="left"/>
      <w:pPr>
        <w:ind w:left="2880" w:hanging="360"/>
      </w:pPr>
      <w:rPr>
        <w:rFonts w:ascii="Symbol" w:hAnsi="Symbol" w:hint="default"/>
      </w:rPr>
    </w:lvl>
    <w:lvl w:ilvl="4" w:tplc="7B165DC8">
      <w:start w:val="1"/>
      <w:numFmt w:val="bullet"/>
      <w:lvlText w:val="o"/>
      <w:lvlJc w:val="left"/>
      <w:pPr>
        <w:ind w:left="3600" w:hanging="360"/>
      </w:pPr>
      <w:rPr>
        <w:rFonts w:ascii="Courier New" w:hAnsi="Courier New" w:hint="default"/>
      </w:rPr>
    </w:lvl>
    <w:lvl w:ilvl="5" w:tplc="1D18711C">
      <w:start w:val="1"/>
      <w:numFmt w:val="bullet"/>
      <w:lvlText w:val=""/>
      <w:lvlJc w:val="left"/>
      <w:pPr>
        <w:ind w:left="4320" w:hanging="360"/>
      </w:pPr>
      <w:rPr>
        <w:rFonts w:ascii="Wingdings" w:hAnsi="Wingdings" w:hint="default"/>
      </w:rPr>
    </w:lvl>
    <w:lvl w:ilvl="6" w:tplc="DFB23FAC">
      <w:start w:val="1"/>
      <w:numFmt w:val="bullet"/>
      <w:lvlText w:val=""/>
      <w:lvlJc w:val="left"/>
      <w:pPr>
        <w:ind w:left="5040" w:hanging="360"/>
      </w:pPr>
      <w:rPr>
        <w:rFonts w:ascii="Symbol" w:hAnsi="Symbol" w:hint="default"/>
      </w:rPr>
    </w:lvl>
    <w:lvl w:ilvl="7" w:tplc="15D606A8">
      <w:start w:val="1"/>
      <w:numFmt w:val="bullet"/>
      <w:lvlText w:val="o"/>
      <w:lvlJc w:val="left"/>
      <w:pPr>
        <w:ind w:left="5760" w:hanging="360"/>
      </w:pPr>
      <w:rPr>
        <w:rFonts w:ascii="Courier New" w:hAnsi="Courier New" w:hint="default"/>
      </w:rPr>
    </w:lvl>
    <w:lvl w:ilvl="8" w:tplc="D4B0127C">
      <w:start w:val="1"/>
      <w:numFmt w:val="bullet"/>
      <w:lvlText w:val=""/>
      <w:lvlJc w:val="left"/>
      <w:pPr>
        <w:ind w:left="6480" w:hanging="360"/>
      </w:pPr>
      <w:rPr>
        <w:rFonts w:ascii="Wingdings" w:hAnsi="Wingdings" w:hint="default"/>
      </w:rPr>
    </w:lvl>
  </w:abstractNum>
  <w:abstractNum w:abstractNumId="144" w15:restartNumberingAfterBreak="0">
    <w:nsid w:val="758E0820"/>
    <w:multiLevelType w:val="hybridMultilevel"/>
    <w:tmpl w:val="F0F8F9F6"/>
    <w:lvl w:ilvl="0" w:tplc="307A227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5" w15:restartNumberingAfterBreak="0">
    <w:nsid w:val="76794BEC"/>
    <w:multiLevelType w:val="hybridMultilevel"/>
    <w:tmpl w:val="DAD602EA"/>
    <w:lvl w:ilvl="0" w:tplc="303004EC">
      <w:start w:val="1"/>
      <w:numFmt w:val="bullet"/>
      <w:lvlText w:val=""/>
      <w:lvlJc w:val="left"/>
      <w:pPr>
        <w:ind w:left="720" w:hanging="360"/>
      </w:pPr>
      <w:rPr>
        <w:rFonts w:ascii="Symbol" w:hAnsi="Symbol"/>
      </w:rPr>
    </w:lvl>
    <w:lvl w:ilvl="1" w:tplc="1A908D52">
      <w:start w:val="1"/>
      <w:numFmt w:val="bullet"/>
      <w:lvlText w:val=""/>
      <w:lvlJc w:val="left"/>
      <w:pPr>
        <w:ind w:left="720" w:hanging="360"/>
      </w:pPr>
      <w:rPr>
        <w:rFonts w:ascii="Symbol" w:hAnsi="Symbol"/>
      </w:rPr>
    </w:lvl>
    <w:lvl w:ilvl="2" w:tplc="10B2C684">
      <w:start w:val="1"/>
      <w:numFmt w:val="bullet"/>
      <w:lvlText w:val=""/>
      <w:lvlJc w:val="left"/>
      <w:pPr>
        <w:ind w:left="720" w:hanging="360"/>
      </w:pPr>
      <w:rPr>
        <w:rFonts w:ascii="Symbol" w:hAnsi="Symbol"/>
      </w:rPr>
    </w:lvl>
    <w:lvl w:ilvl="3" w:tplc="284E7D1C">
      <w:start w:val="1"/>
      <w:numFmt w:val="bullet"/>
      <w:lvlText w:val=""/>
      <w:lvlJc w:val="left"/>
      <w:pPr>
        <w:ind w:left="720" w:hanging="360"/>
      </w:pPr>
      <w:rPr>
        <w:rFonts w:ascii="Symbol" w:hAnsi="Symbol"/>
      </w:rPr>
    </w:lvl>
    <w:lvl w:ilvl="4" w:tplc="339C6912">
      <w:start w:val="1"/>
      <w:numFmt w:val="bullet"/>
      <w:lvlText w:val=""/>
      <w:lvlJc w:val="left"/>
      <w:pPr>
        <w:ind w:left="720" w:hanging="360"/>
      </w:pPr>
      <w:rPr>
        <w:rFonts w:ascii="Symbol" w:hAnsi="Symbol"/>
      </w:rPr>
    </w:lvl>
    <w:lvl w:ilvl="5" w:tplc="2F7867E8">
      <w:start w:val="1"/>
      <w:numFmt w:val="bullet"/>
      <w:lvlText w:val=""/>
      <w:lvlJc w:val="left"/>
      <w:pPr>
        <w:ind w:left="720" w:hanging="360"/>
      </w:pPr>
      <w:rPr>
        <w:rFonts w:ascii="Symbol" w:hAnsi="Symbol"/>
      </w:rPr>
    </w:lvl>
    <w:lvl w:ilvl="6" w:tplc="962C954C">
      <w:start w:val="1"/>
      <w:numFmt w:val="bullet"/>
      <w:lvlText w:val=""/>
      <w:lvlJc w:val="left"/>
      <w:pPr>
        <w:ind w:left="720" w:hanging="360"/>
      </w:pPr>
      <w:rPr>
        <w:rFonts w:ascii="Symbol" w:hAnsi="Symbol"/>
      </w:rPr>
    </w:lvl>
    <w:lvl w:ilvl="7" w:tplc="1A9E7470">
      <w:start w:val="1"/>
      <w:numFmt w:val="bullet"/>
      <w:lvlText w:val=""/>
      <w:lvlJc w:val="left"/>
      <w:pPr>
        <w:ind w:left="720" w:hanging="360"/>
      </w:pPr>
      <w:rPr>
        <w:rFonts w:ascii="Symbol" w:hAnsi="Symbol"/>
      </w:rPr>
    </w:lvl>
    <w:lvl w:ilvl="8" w:tplc="471A281A">
      <w:start w:val="1"/>
      <w:numFmt w:val="bullet"/>
      <w:lvlText w:val=""/>
      <w:lvlJc w:val="left"/>
      <w:pPr>
        <w:ind w:left="720" w:hanging="360"/>
      </w:pPr>
      <w:rPr>
        <w:rFonts w:ascii="Symbol" w:hAnsi="Symbol"/>
      </w:rPr>
    </w:lvl>
  </w:abstractNum>
  <w:abstractNum w:abstractNumId="146" w15:restartNumberingAfterBreak="0">
    <w:nsid w:val="76BE19F7"/>
    <w:multiLevelType w:val="hybridMultilevel"/>
    <w:tmpl w:val="BFC432FA"/>
    <w:lvl w:ilvl="0" w:tplc="EE62A748">
      <w:start w:val="1"/>
      <w:numFmt w:val="decimal"/>
      <w:lvlText w:val="%1)"/>
      <w:lvlJc w:val="left"/>
      <w:pPr>
        <w:ind w:left="1020" w:hanging="360"/>
      </w:pPr>
    </w:lvl>
    <w:lvl w:ilvl="1" w:tplc="F7DEA7BA">
      <w:start w:val="1"/>
      <w:numFmt w:val="decimal"/>
      <w:lvlText w:val="%2)"/>
      <w:lvlJc w:val="left"/>
      <w:pPr>
        <w:ind w:left="1020" w:hanging="360"/>
      </w:pPr>
    </w:lvl>
    <w:lvl w:ilvl="2" w:tplc="08B2D054">
      <w:start w:val="1"/>
      <w:numFmt w:val="decimal"/>
      <w:lvlText w:val="%3)"/>
      <w:lvlJc w:val="left"/>
      <w:pPr>
        <w:ind w:left="1020" w:hanging="360"/>
      </w:pPr>
    </w:lvl>
    <w:lvl w:ilvl="3" w:tplc="AC280068">
      <w:start w:val="1"/>
      <w:numFmt w:val="decimal"/>
      <w:lvlText w:val="%4)"/>
      <w:lvlJc w:val="left"/>
      <w:pPr>
        <w:ind w:left="1020" w:hanging="360"/>
      </w:pPr>
    </w:lvl>
    <w:lvl w:ilvl="4" w:tplc="025A7656">
      <w:start w:val="1"/>
      <w:numFmt w:val="decimal"/>
      <w:lvlText w:val="%5)"/>
      <w:lvlJc w:val="left"/>
      <w:pPr>
        <w:ind w:left="1020" w:hanging="360"/>
      </w:pPr>
    </w:lvl>
    <w:lvl w:ilvl="5" w:tplc="3190C126">
      <w:start w:val="1"/>
      <w:numFmt w:val="decimal"/>
      <w:lvlText w:val="%6)"/>
      <w:lvlJc w:val="left"/>
      <w:pPr>
        <w:ind w:left="1020" w:hanging="360"/>
      </w:pPr>
    </w:lvl>
    <w:lvl w:ilvl="6" w:tplc="4342897C">
      <w:start w:val="1"/>
      <w:numFmt w:val="decimal"/>
      <w:lvlText w:val="%7)"/>
      <w:lvlJc w:val="left"/>
      <w:pPr>
        <w:ind w:left="1020" w:hanging="360"/>
      </w:pPr>
    </w:lvl>
    <w:lvl w:ilvl="7" w:tplc="FB2C626A">
      <w:start w:val="1"/>
      <w:numFmt w:val="decimal"/>
      <w:lvlText w:val="%8)"/>
      <w:lvlJc w:val="left"/>
      <w:pPr>
        <w:ind w:left="1020" w:hanging="360"/>
      </w:pPr>
    </w:lvl>
    <w:lvl w:ilvl="8" w:tplc="0CA43CF2">
      <w:start w:val="1"/>
      <w:numFmt w:val="decimal"/>
      <w:lvlText w:val="%9)"/>
      <w:lvlJc w:val="left"/>
      <w:pPr>
        <w:ind w:left="1020" w:hanging="360"/>
      </w:pPr>
    </w:lvl>
  </w:abstractNum>
  <w:abstractNum w:abstractNumId="147" w15:restartNumberingAfterBreak="0">
    <w:nsid w:val="76C6BE55"/>
    <w:multiLevelType w:val="hybridMultilevel"/>
    <w:tmpl w:val="8DEAE136"/>
    <w:lvl w:ilvl="0" w:tplc="7910E60C">
      <w:start w:val="1"/>
      <w:numFmt w:val="bullet"/>
      <w:lvlText w:val="-"/>
      <w:lvlJc w:val="left"/>
      <w:pPr>
        <w:ind w:left="1440" w:hanging="360"/>
      </w:pPr>
      <w:rPr>
        <w:rFonts w:ascii="Calibri" w:hAnsi="Calibri" w:hint="default"/>
      </w:rPr>
    </w:lvl>
    <w:lvl w:ilvl="1" w:tplc="EF983430">
      <w:start w:val="1"/>
      <w:numFmt w:val="bullet"/>
      <w:lvlText w:val="o"/>
      <w:lvlJc w:val="left"/>
      <w:pPr>
        <w:ind w:left="1440" w:hanging="360"/>
      </w:pPr>
      <w:rPr>
        <w:rFonts w:ascii="Courier New" w:hAnsi="Courier New" w:hint="default"/>
      </w:rPr>
    </w:lvl>
    <w:lvl w:ilvl="2" w:tplc="757ED408">
      <w:start w:val="1"/>
      <w:numFmt w:val="bullet"/>
      <w:lvlText w:val=""/>
      <w:lvlJc w:val="left"/>
      <w:pPr>
        <w:ind w:left="2160" w:hanging="360"/>
      </w:pPr>
      <w:rPr>
        <w:rFonts w:ascii="Wingdings" w:hAnsi="Wingdings" w:hint="default"/>
      </w:rPr>
    </w:lvl>
    <w:lvl w:ilvl="3" w:tplc="EE70C862">
      <w:start w:val="1"/>
      <w:numFmt w:val="bullet"/>
      <w:lvlText w:val=""/>
      <w:lvlJc w:val="left"/>
      <w:pPr>
        <w:ind w:left="2880" w:hanging="360"/>
      </w:pPr>
      <w:rPr>
        <w:rFonts w:ascii="Symbol" w:hAnsi="Symbol" w:hint="default"/>
      </w:rPr>
    </w:lvl>
    <w:lvl w:ilvl="4" w:tplc="D41E1932">
      <w:start w:val="1"/>
      <w:numFmt w:val="bullet"/>
      <w:lvlText w:val="o"/>
      <w:lvlJc w:val="left"/>
      <w:pPr>
        <w:ind w:left="3600" w:hanging="360"/>
      </w:pPr>
      <w:rPr>
        <w:rFonts w:ascii="Courier New" w:hAnsi="Courier New" w:hint="default"/>
      </w:rPr>
    </w:lvl>
    <w:lvl w:ilvl="5" w:tplc="F3B05806">
      <w:start w:val="1"/>
      <w:numFmt w:val="bullet"/>
      <w:lvlText w:val=""/>
      <w:lvlJc w:val="left"/>
      <w:pPr>
        <w:ind w:left="4320" w:hanging="360"/>
      </w:pPr>
      <w:rPr>
        <w:rFonts w:ascii="Wingdings" w:hAnsi="Wingdings" w:hint="default"/>
      </w:rPr>
    </w:lvl>
    <w:lvl w:ilvl="6" w:tplc="5C84C988">
      <w:start w:val="1"/>
      <w:numFmt w:val="bullet"/>
      <w:lvlText w:val=""/>
      <w:lvlJc w:val="left"/>
      <w:pPr>
        <w:ind w:left="5040" w:hanging="360"/>
      </w:pPr>
      <w:rPr>
        <w:rFonts w:ascii="Symbol" w:hAnsi="Symbol" w:hint="default"/>
      </w:rPr>
    </w:lvl>
    <w:lvl w:ilvl="7" w:tplc="E27E93AA">
      <w:start w:val="1"/>
      <w:numFmt w:val="bullet"/>
      <w:lvlText w:val="o"/>
      <w:lvlJc w:val="left"/>
      <w:pPr>
        <w:ind w:left="5760" w:hanging="360"/>
      </w:pPr>
      <w:rPr>
        <w:rFonts w:ascii="Courier New" w:hAnsi="Courier New" w:hint="default"/>
      </w:rPr>
    </w:lvl>
    <w:lvl w:ilvl="8" w:tplc="4C548F18">
      <w:start w:val="1"/>
      <w:numFmt w:val="bullet"/>
      <w:lvlText w:val=""/>
      <w:lvlJc w:val="left"/>
      <w:pPr>
        <w:ind w:left="6480" w:hanging="360"/>
      </w:pPr>
      <w:rPr>
        <w:rFonts w:ascii="Wingdings" w:hAnsi="Wingdings" w:hint="default"/>
      </w:rPr>
    </w:lvl>
  </w:abstractNum>
  <w:abstractNum w:abstractNumId="148" w15:restartNumberingAfterBreak="0">
    <w:nsid w:val="777C30D1"/>
    <w:multiLevelType w:val="hybridMultilevel"/>
    <w:tmpl w:val="DF4ABE48"/>
    <w:lvl w:ilvl="0" w:tplc="3CA607EA">
      <w:start w:val="1"/>
      <w:numFmt w:val="bullet"/>
      <w:lvlText w:val="-"/>
      <w:lvlJc w:val="left"/>
      <w:pPr>
        <w:ind w:left="1440" w:hanging="360"/>
      </w:pPr>
      <w:rPr>
        <w:rFonts w:ascii="Calibri" w:eastAsiaTheme="minorHAnsi" w:hAnsi="Calibri" w:cs="Calibri"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49" w15:restartNumberingAfterBreak="0">
    <w:nsid w:val="799B07D2"/>
    <w:multiLevelType w:val="hybridMultilevel"/>
    <w:tmpl w:val="FEEEA5EA"/>
    <w:lvl w:ilvl="0" w:tplc="8586EDE4">
      <w:start w:val="1"/>
      <w:numFmt w:val="lowerLetter"/>
      <w:lvlText w:val="%1."/>
      <w:lvlJc w:val="left"/>
      <w:pPr>
        <w:ind w:left="720" w:hanging="360"/>
      </w:pPr>
      <w:rPr>
        <w:rFonts w:ascii="Times New Roman" w:eastAsiaTheme="minorHAnsi" w:hAnsi="Times New Roman" w:cs="Times New Roman" w:hint="default"/>
        <w:b w:val="0"/>
        <w:color w:val="0000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151" w15:restartNumberingAfterBreak="0">
    <w:nsid w:val="7B9E4192"/>
    <w:multiLevelType w:val="hybridMultilevel"/>
    <w:tmpl w:val="04769A02"/>
    <w:lvl w:ilvl="0" w:tplc="BFE4FE7A">
      <w:start w:val="1"/>
      <w:numFmt w:val="lowerRoman"/>
      <w:lvlText w:val="(%1)"/>
      <w:lvlJc w:val="left"/>
      <w:pPr>
        <w:ind w:left="720" w:hanging="720"/>
      </w:pPr>
      <w:rPr>
        <w:rFonts w:ascii="Times New Roman" w:eastAsiaTheme="minorEastAsia" w:hAnsi="Times New Roman" w:cs="Times New Roman" w:hint="default"/>
        <w:sz w:val="18"/>
        <w:szCs w:val="18"/>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2" w15:restartNumberingAfterBreak="0">
    <w:nsid w:val="7CB33AA5"/>
    <w:multiLevelType w:val="hybridMultilevel"/>
    <w:tmpl w:val="326CA2A8"/>
    <w:lvl w:ilvl="0" w:tplc="08090001">
      <w:start w:val="1"/>
      <w:numFmt w:val="bullet"/>
      <w:lvlText w:val=""/>
      <w:lvlJc w:val="left"/>
      <w:pPr>
        <w:ind w:left="451" w:hanging="360"/>
      </w:pPr>
      <w:rPr>
        <w:rFonts w:ascii="Symbol" w:hAnsi="Symbol" w:hint="default"/>
      </w:rPr>
    </w:lvl>
    <w:lvl w:ilvl="1" w:tplc="08090003" w:tentative="1">
      <w:start w:val="1"/>
      <w:numFmt w:val="bullet"/>
      <w:lvlText w:val="o"/>
      <w:lvlJc w:val="left"/>
      <w:pPr>
        <w:ind w:left="1171" w:hanging="360"/>
      </w:pPr>
      <w:rPr>
        <w:rFonts w:ascii="Courier New" w:hAnsi="Courier New" w:cs="Courier New" w:hint="default"/>
      </w:rPr>
    </w:lvl>
    <w:lvl w:ilvl="2" w:tplc="08090005" w:tentative="1">
      <w:start w:val="1"/>
      <w:numFmt w:val="bullet"/>
      <w:lvlText w:val=""/>
      <w:lvlJc w:val="left"/>
      <w:pPr>
        <w:ind w:left="1891" w:hanging="360"/>
      </w:pPr>
      <w:rPr>
        <w:rFonts w:ascii="Wingdings" w:hAnsi="Wingdings" w:hint="default"/>
      </w:rPr>
    </w:lvl>
    <w:lvl w:ilvl="3" w:tplc="08090001" w:tentative="1">
      <w:start w:val="1"/>
      <w:numFmt w:val="bullet"/>
      <w:lvlText w:val=""/>
      <w:lvlJc w:val="left"/>
      <w:pPr>
        <w:ind w:left="2611" w:hanging="360"/>
      </w:pPr>
      <w:rPr>
        <w:rFonts w:ascii="Symbol" w:hAnsi="Symbol" w:hint="default"/>
      </w:rPr>
    </w:lvl>
    <w:lvl w:ilvl="4" w:tplc="08090003" w:tentative="1">
      <w:start w:val="1"/>
      <w:numFmt w:val="bullet"/>
      <w:lvlText w:val="o"/>
      <w:lvlJc w:val="left"/>
      <w:pPr>
        <w:ind w:left="3331" w:hanging="360"/>
      </w:pPr>
      <w:rPr>
        <w:rFonts w:ascii="Courier New" w:hAnsi="Courier New" w:cs="Courier New" w:hint="default"/>
      </w:rPr>
    </w:lvl>
    <w:lvl w:ilvl="5" w:tplc="08090005" w:tentative="1">
      <w:start w:val="1"/>
      <w:numFmt w:val="bullet"/>
      <w:lvlText w:val=""/>
      <w:lvlJc w:val="left"/>
      <w:pPr>
        <w:ind w:left="4051" w:hanging="360"/>
      </w:pPr>
      <w:rPr>
        <w:rFonts w:ascii="Wingdings" w:hAnsi="Wingdings" w:hint="default"/>
      </w:rPr>
    </w:lvl>
    <w:lvl w:ilvl="6" w:tplc="08090001" w:tentative="1">
      <w:start w:val="1"/>
      <w:numFmt w:val="bullet"/>
      <w:lvlText w:val=""/>
      <w:lvlJc w:val="left"/>
      <w:pPr>
        <w:ind w:left="4771" w:hanging="360"/>
      </w:pPr>
      <w:rPr>
        <w:rFonts w:ascii="Symbol" w:hAnsi="Symbol" w:hint="default"/>
      </w:rPr>
    </w:lvl>
    <w:lvl w:ilvl="7" w:tplc="08090003" w:tentative="1">
      <w:start w:val="1"/>
      <w:numFmt w:val="bullet"/>
      <w:lvlText w:val="o"/>
      <w:lvlJc w:val="left"/>
      <w:pPr>
        <w:ind w:left="5491" w:hanging="360"/>
      </w:pPr>
      <w:rPr>
        <w:rFonts w:ascii="Courier New" w:hAnsi="Courier New" w:cs="Courier New" w:hint="default"/>
      </w:rPr>
    </w:lvl>
    <w:lvl w:ilvl="8" w:tplc="08090005" w:tentative="1">
      <w:start w:val="1"/>
      <w:numFmt w:val="bullet"/>
      <w:lvlText w:val=""/>
      <w:lvlJc w:val="left"/>
      <w:pPr>
        <w:ind w:left="6211" w:hanging="360"/>
      </w:pPr>
      <w:rPr>
        <w:rFonts w:ascii="Wingdings" w:hAnsi="Wingdings" w:hint="default"/>
      </w:rPr>
    </w:lvl>
  </w:abstractNum>
  <w:abstractNum w:abstractNumId="153" w15:restartNumberingAfterBreak="0">
    <w:nsid w:val="7CBE4812"/>
    <w:multiLevelType w:val="singleLevel"/>
    <w:tmpl w:val="2D86CAC8"/>
    <w:name w:val="Considérant"/>
    <w:lvl w:ilvl="0">
      <w:start w:val="1"/>
      <w:numFmt w:val="decimal"/>
      <w:lvlRestart w:val="0"/>
      <w:pStyle w:val="Considrant"/>
      <w:lvlText w:val="(%1)"/>
      <w:lvlJc w:val="left"/>
      <w:pPr>
        <w:tabs>
          <w:tab w:val="num" w:pos="709"/>
        </w:tabs>
        <w:ind w:left="709" w:hanging="709"/>
      </w:pPr>
      <w:rPr>
        <w:b w:val="0"/>
        <w:bCs w:val="0"/>
      </w:rPr>
    </w:lvl>
  </w:abstractNum>
  <w:abstractNum w:abstractNumId="154" w15:restartNumberingAfterBreak="0">
    <w:nsid w:val="7D7420B9"/>
    <w:multiLevelType w:val="hybridMultilevel"/>
    <w:tmpl w:val="55DAF0C8"/>
    <w:lvl w:ilvl="0" w:tplc="F68E2E8E">
      <w:start w:val="3"/>
      <w:numFmt w:val="bullet"/>
      <w:lvlText w:val="-"/>
      <w:lvlJc w:val="left"/>
      <w:pPr>
        <w:ind w:left="720" w:hanging="360"/>
      </w:pPr>
      <w:rPr>
        <w:rFonts w:ascii="Calibri" w:eastAsiaTheme="minorHAnsi" w:hAnsi="Calibri" w:cs="Calibri"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55" w15:restartNumberingAfterBreak="0">
    <w:nsid w:val="7D79678F"/>
    <w:multiLevelType w:val="hybridMultilevel"/>
    <w:tmpl w:val="064A8760"/>
    <w:lvl w:ilvl="0" w:tplc="ACEEB76C">
      <w:start w:val="1"/>
      <w:numFmt w:val="lowerRoman"/>
      <w:lvlText w:val="%1)"/>
      <w:lvlJc w:val="left"/>
      <w:pPr>
        <w:ind w:left="1440" w:hanging="720"/>
      </w:pPr>
    </w:lvl>
    <w:lvl w:ilvl="1" w:tplc="4ECAFBDE" w:tentative="1">
      <w:start w:val="1"/>
      <w:numFmt w:val="lowerLetter"/>
      <w:lvlText w:val="%2."/>
      <w:lvlJc w:val="left"/>
      <w:pPr>
        <w:ind w:left="1800" w:hanging="360"/>
      </w:pPr>
    </w:lvl>
    <w:lvl w:ilvl="2" w:tplc="3C7A607A" w:tentative="1">
      <w:start w:val="1"/>
      <w:numFmt w:val="lowerRoman"/>
      <w:lvlText w:val="%3."/>
      <w:lvlJc w:val="right"/>
      <w:pPr>
        <w:ind w:left="2520" w:hanging="180"/>
      </w:pPr>
    </w:lvl>
    <w:lvl w:ilvl="3" w:tplc="C402F77A" w:tentative="1">
      <w:start w:val="1"/>
      <w:numFmt w:val="decimal"/>
      <w:lvlText w:val="%4."/>
      <w:lvlJc w:val="left"/>
      <w:pPr>
        <w:ind w:left="3240" w:hanging="360"/>
      </w:pPr>
    </w:lvl>
    <w:lvl w:ilvl="4" w:tplc="B9429244" w:tentative="1">
      <w:start w:val="1"/>
      <w:numFmt w:val="lowerLetter"/>
      <w:lvlText w:val="%5."/>
      <w:lvlJc w:val="left"/>
      <w:pPr>
        <w:ind w:left="3960" w:hanging="360"/>
      </w:pPr>
    </w:lvl>
    <w:lvl w:ilvl="5" w:tplc="BEAC4012" w:tentative="1">
      <w:start w:val="1"/>
      <w:numFmt w:val="lowerRoman"/>
      <w:lvlText w:val="%6."/>
      <w:lvlJc w:val="right"/>
      <w:pPr>
        <w:ind w:left="4680" w:hanging="180"/>
      </w:pPr>
    </w:lvl>
    <w:lvl w:ilvl="6" w:tplc="44363450" w:tentative="1">
      <w:start w:val="1"/>
      <w:numFmt w:val="decimal"/>
      <w:lvlText w:val="%7."/>
      <w:lvlJc w:val="left"/>
      <w:pPr>
        <w:ind w:left="5400" w:hanging="360"/>
      </w:pPr>
    </w:lvl>
    <w:lvl w:ilvl="7" w:tplc="2F1EF086" w:tentative="1">
      <w:start w:val="1"/>
      <w:numFmt w:val="lowerLetter"/>
      <w:lvlText w:val="%8."/>
      <w:lvlJc w:val="left"/>
      <w:pPr>
        <w:ind w:left="6120" w:hanging="360"/>
      </w:pPr>
    </w:lvl>
    <w:lvl w:ilvl="8" w:tplc="E8103D6C" w:tentative="1">
      <w:start w:val="1"/>
      <w:numFmt w:val="lowerRoman"/>
      <w:lvlText w:val="%9."/>
      <w:lvlJc w:val="right"/>
      <w:pPr>
        <w:ind w:left="6840" w:hanging="180"/>
      </w:pPr>
    </w:lvl>
  </w:abstractNum>
  <w:abstractNum w:abstractNumId="156" w15:restartNumberingAfterBreak="0">
    <w:nsid w:val="7EE270E6"/>
    <w:multiLevelType w:val="hybridMultilevel"/>
    <w:tmpl w:val="39420980"/>
    <w:lvl w:ilvl="0" w:tplc="CF4AC1D4">
      <w:start w:val="12"/>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7" w15:restartNumberingAfterBreak="0">
    <w:nsid w:val="7F727AB9"/>
    <w:multiLevelType w:val="hybridMultilevel"/>
    <w:tmpl w:val="418E646A"/>
    <w:lvl w:ilvl="0" w:tplc="60EE0B42">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47"/>
  </w:num>
  <w:num w:numId="2">
    <w:abstractNumId w:val="75"/>
  </w:num>
  <w:num w:numId="3">
    <w:abstractNumId w:val="67"/>
  </w:num>
  <w:num w:numId="4">
    <w:abstractNumId w:val="135"/>
  </w:num>
  <w:num w:numId="5">
    <w:abstractNumId w:val="149"/>
  </w:num>
  <w:num w:numId="6">
    <w:abstractNumId w:val="144"/>
  </w:num>
  <w:num w:numId="7">
    <w:abstractNumId w:val="37"/>
  </w:num>
  <w:num w:numId="8">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5"/>
  </w:num>
  <w:num w:numId="10">
    <w:abstractNumId w:val="106"/>
  </w:num>
  <w:num w:numId="11">
    <w:abstractNumId w:val="63"/>
  </w:num>
  <w:num w:numId="12">
    <w:abstractNumId w:val="155"/>
  </w:num>
  <w:num w:numId="13">
    <w:abstractNumId w:val="93"/>
  </w:num>
  <w:num w:numId="14">
    <w:abstractNumId w:val="136"/>
  </w:num>
  <w:num w:numId="15">
    <w:abstractNumId w:val="79"/>
  </w:num>
  <w:num w:numId="16">
    <w:abstractNumId w:val="57"/>
  </w:num>
  <w:num w:numId="17">
    <w:abstractNumId w:val="152"/>
  </w:num>
  <w:num w:numId="18">
    <w:abstractNumId w:val="104"/>
  </w:num>
  <w:num w:numId="19">
    <w:abstractNumId w:val="73"/>
  </w:num>
  <w:num w:numId="20">
    <w:abstractNumId w:val="13"/>
  </w:num>
  <w:num w:numId="21">
    <w:abstractNumId w:val="99"/>
  </w:num>
  <w:num w:numId="22">
    <w:abstractNumId w:val="76"/>
  </w:num>
  <w:num w:numId="23">
    <w:abstractNumId w:val="115"/>
  </w:num>
  <w:num w:numId="24">
    <w:abstractNumId w:val="31"/>
  </w:num>
  <w:num w:numId="25">
    <w:abstractNumId w:val="97"/>
  </w:num>
  <w:num w:numId="26">
    <w:abstractNumId w:val="133"/>
  </w:num>
  <w:num w:numId="27">
    <w:abstractNumId w:val="101"/>
  </w:num>
  <w:num w:numId="28">
    <w:abstractNumId w:val="50"/>
  </w:num>
  <w:num w:numId="29">
    <w:abstractNumId w:val="121"/>
  </w:num>
  <w:num w:numId="30">
    <w:abstractNumId w:val="87"/>
  </w:num>
  <w:num w:numId="31">
    <w:abstractNumId w:val="127"/>
  </w:num>
  <w:num w:numId="32">
    <w:abstractNumId w:val="62"/>
  </w:num>
  <w:num w:numId="33">
    <w:abstractNumId w:val="88"/>
  </w:num>
  <w:num w:numId="34">
    <w:abstractNumId w:val="45"/>
  </w:num>
  <w:num w:numId="35">
    <w:abstractNumId w:val="96"/>
  </w:num>
  <w:num w:numId="36">
    <w:abstractNumId w:val="117"/>
  </w:num>
  <w:num w:numId="37">
    <w:abstractNumId w:val="120"/>
  </w:num>
  <w:num w:numId="38">
    <w:abstractNumId w:val="61"/>
  </w:num>
  <w:num w:numId="39">
    <w:abstractNumId w:val="111"/>
  </w:num>
  <w:num w:numId="40">
    <w:abstractNumId w:val="153"/>
  </w:num>
  <w:num w:numId="41">
    <w:abstractNumId w:val="9"/>
  </w:num>
  <w:num w:numId="42">
    <w:abstractNumId w:val="7"/>
  </w:num>
  <w:num w:numId="43">
    <w:abstractNumId w:val="6"/>
  </w:num>
  <w:num w:numId="44">
    <w:abstractNumId w:val="5"/>
  </w:num>
  <w:num w:numId="45">
    <w:abstractNumId w:val="89"/>
  </w:num>
  <w:num w:numId="46">
    <w:abstractNumId w:val="116"/>
  </w:num>
  <w:num w:numId="47">
    <w:abstractNumId w:val="60"/>
  </w:num>
  <w:num w:numId="48">
    <w:abstractNumId w:val="71"/>
  </w:num>
  <w:num w:numId="49">
    <w:abstractNumId w:val="58"/>
  </w:num>
  <w:num w:numId="50">
    <w:abstractNumId w:val="41"/>
  </w:num>
  <w:num w:numId="51">
    <w:abstractNumId w:val="70"/>
  </w:num>
  <w:num w:numId="52">
    <w:abstractNumId w:val="39"/>
  </w:num>
  <w:num w:numId="53">
    <w:abstractNumId w:val="36"/>
  </w:num>
  <w:num w:numId="54">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05"/>
  </w:num>
  <w:num w:numId="56">
    <w:abstractNumId w:val="139"/>
  </w:num>
  <w:num w:numId="57">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78"/>
  </w:num>
  <w:num w:numId="60">
    <w:abstractNumId w:val="15"/>
  </w:num>
  <w:num w:numId="61">
    <w:abstractNumId w:val="91"/>
  </w:num>
  <w:num w:numId="62">
    <w:abstractNumId w:val="148"/>
  </w:num>
  <w:num w:numId="63">
    <w:abstractNumId w:val="98"/>
  </w:num>
  <w:num w:numId="64">
    <w:abstractNumId w:val="114"/>
  </w:num>
  <w:num w:numId="65">
    <w:abstractNumId w:val="40"/>
  </w:num>
  <w:num w:numId="66">
    <w:abstractNumId w:val="12"/>
  </w:num>
  <w:num w:numId="67">
    <w:abstractNumId w:val="156"/>
  </w:num>
  <w:num w:numId="68">
    <w:abstractNumId w:val="118"/>
  </w:num>
  <w:num w:numId="69">
    <w:abstractNumId w:val="154"/>
  </w:num>
  <w:num w:numId="70">
    <w:abstractNumId w:val="47"/>
  </w:num>
  <w:num w:numId="71">
    <w:abstractNumId w:val="11"/>
  </w:num>
  <w:num w:numId="72">
    <w:abstractNumId w:val="65"/>
  </w:num>
  <w:num w:numId="73">
    <w:abstractNumId w:val="68"/>
  </w:num>
  <w:num w:numId="74">
    <w:abstractNumId w:val="84"/>
  </w:num>
  <w:num w:numId="75">
    <w:abstractNumId w:val="150"/>
  </w:num>
  <w:num w:numId="76">
    <w:abstractNumId w:val="94"/>
  </w:num>
  <w:num w:numId="77">
    <w:abstractNumId w:val="74"/>
  </w:num>
  <w:num w:numId="78">
    <w:abstractNumId w:val="134"/>
  </w:num>
  <w:num w:numId="79">
    <w:abstractNumId w:val="25"/>
  </w:num>
  <w:num w:numId="80">
    <w:abstractNumId w:val="53"/>
  </w:num>
  <w:num w:numId="81">
    <w:abstractNumId w:val="64"/>
  </w:num>
  <w:num w:numId="82">
    <w:abstractNumId w:val="66"/>
  </w:num>
  <w:num w:numId="83">
    <w:abstractNumId w:val="81"/>
  </w:num>
  <w:num w:numId="84">
    <w:abstractNumId w:val="113"/>
  </w:num>
  <w:num w:numId="85">
    <w:abstractNumId w:val="59"/>
  </w:num>
  <w:num w:numId="86">
    <w:abstractNumId w:val="83"/>
  </w:num>
  <w:num w:numId="87">
    <w:abstractNumId w:val="4"/>
  </w:num>
  <w:num w:numId="88">
    <w:abstractNumId w:val="8"/>
  </w:num>
  <w:num w:numId="89">
    <w:abstractNumId w:val="3"/>
  </w:num>
  <w:num w:numId="90">
    <w:abstractNumId w:val="2"/>
  </w:num>
  <w:num w:numId="91">
    <w:abstractNumId w:val="1"/>
  </w:num>
  <w:num w:numId="92">
    <w:abstractNumId w:val="0"/>
  </w:num>
  <w:num w:numId="93">
    <w:abstractNumId w:val="129"/>
  </w:num>
  <w:num w:numId="94">
    <w:abstractNumId w:val="29"/>
  </w:num>
  <w:num w:numId="95">
    <w:abstractNumId w:val="141"/>
  </w:num>
  <w:num w:numId="96">
    <w:abstractNumId w:val="52"/>
  </w:num>
  <w:num w:numId="97">
    <w:abstractNumId w:val="130"/>
  </w:num>
  <w:num w:numId="98">
    <w:abstractNumId w:val="146"/>
  </w:num>
  <w:num w:numId="99">
    <w:abstractNumId w:val="131"/>
  </w:num>
  <w:num w:numId="100">
    <w:abstractNumId w:val="142"/>
  </w:num>
  <w:num w:numId="101">
    <w:abstractNumId w:val="10"/>
  </w:num>
  <w:num w:numId="102">
    <w:abstractNumId w:val="140"/>
  </w:num>
  <w:num w:numId="103">
    <w:abstractNumId w:val="100"/>
  </w:num>
  <w:num w:numId="104">
    <w:abstractNumId w:val="26"/>
  </w:num>
  <w:num w:numId="105">
    <w:abstractNumId w:val="151"/>
  </w:num>
  <w:num w:numId="106">
    <w:abstractNumId w:val="143"/>
  </w:num>
  <w:num w:numId="10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54"/>
  </w:num>
  <w:num w:numId="111">
    <w:abstractNumId w:val="112"/>
  </w:num>
  <w:num w:numId="112">
    <w:abstractNumId w:val="20"/>
  </w:num>
  <w:num w:numId="113">
    <w:abstractNumId w:val="17"/>
  </w:num>
  <w:num w:numId="114">
    <w:abstractNumId w:val="85"/>
  </w:num>
  <w:num w:numId="115">
    <w:abstractNumId w:val="27"/>
  </w:num>
  <w:num w:numId="116">
    <w:abstractNumId w:val="32"/>
  </w:num>
  <w:num w:numId="117">
    <w:abstractNumId w:val="109"/>
  </w:num>
  <w:num w:numId="118">
    <w:abstractNumId w:val="46"/>
  </w:num>
  <w:num w:numId="119">
    <w:abstractNumId w:val="35"/>
  </w:num>
  <w:num w:numId="120">
    <w:abstractNumId w:val="14"/>
  </w:num>
  <w:num w:numId="121">
    <w:abstractNumId w:val="56"/>
  </w:num>
  <w:num w:numId="122">
    <w:abstractNumId w:val="102"/>
  </w:num>
  <w:num w:numId="123">
    <w:abstractNumId w:val="122"/>
  </w:num>
  <w:num w:numId="124">
    <w:abstractNumId w:val="145"/>
  </w:num>
  <w:num w:numId="125">
    <w:abstractNumId w:val="43"/>
  </w:num>
  <w:num w:numId="126">
    <w:abstractNumId w:val="80"/>
  </w:num>
  <w:num w:numId="127">
    <w:abstractNumId w:val="48"/>
  </w:num>
  <w:num w:numId="128">
    <w:abstractNumId w:val="86"/>
  </w:num>
  <w:num w:numId="129">
    <w:abstractNumId w:val="103"/>
  </w:num>
  <w:num w:numId="130">
    <w:abstractNumId w:val="137"/>
  </w:num>
  <w:num w:numId="131">
    <w:abstractNumId w:val="132"/>
  </w:num>
  <w:num w:numId="132">
    <w:abstractNumId w:val="24"/>
  </w:num>
  <w:num w:numId="133">
    <w:abstractNumId w:val="108"/>
  </w:num>
  <w:num w:numId="134">
    <w:abstractNumId w:val="18"/>
  </w:num>
  <w:num w:numId="135">
    <w:abstractNumId w:val="90"/>
  </w:num>
  <w:num w:numId="136">
    <w:abstractNumId w:val="157"/>
  </w:num>
  <w:num w:numId="137">
    <w:abstractNumId w:val="92"/>
  </w:num>
  <w:num w:numId="13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26"/>
  </w:num>
  <w:num w:numId="143">
    <w:abstractNumId w:val="82"/>
  </w:num>
  <w:num w:numId="144">
    <w:abstractNumId w:val="42"/>
  </w:num>
  <w:num w:numId="145">
    <w:abstractNumId w:val="95"/>
  </w:num>
  <w:num w:numId="146">
    <w:abstractNumId w:val="72"/>
  </w:num>
  <w:num w:numId="147">
    <w:abstractNumId w:val="138"/>
  </w:num>
  <w:num w:numId="148">
    <w:abstractNumId w:val="23"/>
  </w:num>
  <w:num w:numId="149">
    <w:abstractNumId w:val="22"/>
  </w:num>
  <w:num w:numId="150">
    <w:abstractNumId w:val="119"/>
  </w:num>
  <w:num w:numId="151">
    <w:abstractNumId w:val="16"/>
  </w:num>
  <w:num w:numId="152">
    <w:abstractNumId w:val="19"/>
  </w:num>
  <w:num w:numId="153">
    <w:abstractNumId w:val="21"/>
  </w:num>
  <w:num w:numId="154">
    <w:abstractNumId w:val="107"/>
  </w:num>
  <w:num w:numId="155">
    <w:abstractNumId w:val="128"/>
  </w:num>
  <w:num w:numId="156">
    <w:abstractNumId w:val="30"/>
  </w:num>
  <w:num w:numId="157">
    <w:abstractNumId w:val="33"/>
  </w:num>
  <w:num w:numId="158">
    <w:abstractNumId w:val="77"/>
  </w:num>
  <w:num w:numId="159">
    <w:abstractNumId w:val="110"/>
  </w:num>
  <w:num w:numId="160">
    <w:abstractNumId w:val="123"/>
  </w:num>
  <w:num w:numId="161">
    <w:abstractNumId w:val="69"/>
  </w:num>
  <w:num w:numId="162">
    <w:abstractNumId w:val="55"/>
  </w:num>
  <w:num w:numId="163">
    <w:abstractNumId w:val="38"/>
  </w:num>
  <w:num w:numId="164">
    <w:abstractNumId w:val="28"/>
  </w:num>
  <w:num w:numId="165">
    <w:abstractNumId w:val="51"/>
  </w:num>
  <w:numIdMacAtCleanup w:val="1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ocumentProtection w:edit="trackedChanges" w:enforcement="0"/>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uncil" w:val="true"/>
    <w:docVar w:name="DocStatus" w:val="Green"/>
    <w:docVar w:name="DocuWriteMetaData" w:val="&lt;metadataset docuwriteversion=&quot;4.10.5&quot; technicalblockguid=&quot;5475644954208395117&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 /&gt;_x000d__x000a_  &lt;/metadata&gt;_x000d__x000a_  &lt;metadata key=&quot;md_DocumentLanguagesAutomatic&quot;&gt;_x000d__x000a_    &lt;text&gt;&lt;/text&gt;_x000d__x000a_  &lt;/metadata&gt;_x000d__x000a_  &lt;metadata key=&quot;md_UniqueHeading&quot;&gt;_x000d__x000a_    &lt;basicdatatype&gt;_x000d__x000a_      &lt;heading key=&quot;uh_70&quot; text=&quot;LEGISLATIVE ACTS AND OTHER INSTRUMENTS: CORRIGENDUM/RECTIFICATIF&quot; /&gt;_x000d__x000a_    &lt;/basicdatatype&gt;_x000d__x000a_  &lt;/metadata&gt;_x000d__x000a_  &lt;metadata key=&quot;md_HeadingText&quot;&gt;_x000d__x000a_    &lt;headingtext text=&quot;LEGISLATIVE ACTS AND OTHER INSTRUMENTS: CORRIGENDUM/RECTIFICATIF&quot;&gt;_x000d__x000a_      &lt;formattedtext&gt;_x000d__x000a_        &lt;xaml text=&quot;LEGISLATIVE ACTS AND OTHER INSTRUMENTS: CORRIGENDUM/RECTIFICATIF&quot;&gt;&amp;lt;FlowDocument xmlns=&quot;http://schemas.microsoft.com/winfx/2006/xaml/presentation&quot;&amp;gt;&amp;lt;Paragraph&amp;gt;LEGISLATIVE ACTS AND OTHER INSTRUMENTS: CORRIGENDUM/RECTIFICATIF&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05&quot; text=&quot;Legislative Act&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4-12-06&lt;/text&gt;_x000d__x000a_  &lt;/metadata&gt;_x000d__x000a_  &lt;metadata key=&quot;md_Prefix&quot;&gt;_x000d__x000a_    &lt;text&gt;&lt;/text&gt;_x000d__x000a_  &lt;/metadata&gt;_x000d__x000a_  &lt;metadata key=&quot;md_DocumentNumber&quot;&gt;_x000d__x000a_    &lt;text&gt;14435&lt;/text&gt;_x000d__x000a_  &lt;/metadata&gt;_x000d__x000a_  &lt;metadata key=&quot;md_YearDocumentNumber&quot;&gt;_x000d__x000a_    &lt;text&gt;2024&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JUR 510&lt;/text&gt;_x000d__x000a_      &lt;text&gt;ECOFIN 1131&lt;/text&gt;_x000d__x000a_      &lt;text&gt;UEM 341&lt;/text&gt;_x000d__x000a_      &lt;text&gt;FIN 894&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3/0431(NLE)&lt;/text&gt;_x000d__x000a_    &lt;/textlist&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 /&gt;_x000d__x000a_  &lt;metadata key=&quot;md_Recipient&quot; /&gt;_x000d__x000a_  &lt;metadata key=&quot;md_DateOfReceipt&quot; /&gt;_x000d__x000a_  &lt;metadata key=&quot;md_FreeDate&quot; /&gt;_x000d__x000a_  &lt;metadata key=&quot;md_PrecedingDocuments&quot; /&gt;_x000d__x000a_  &lt;metadata key=&quot;md_CommissionDocuments&quot; /&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ANNEX to the COUNCIL IMPLEMENTING DECISION amending Implementing Decision of 15 December 2022 on the approval of the assessment of the recovery and resilience plan for Hungary&quot;&gt;&amp;lt;FlowDocument FontFamily=&quot;Segoe UI&quot; FontSize=&quot;12&quot; LineHeight=&quot;6&quot; PageWidth=&quot;329&quot; PagePadding=&quot;2,2,2,2&quot; AllowDrop=&quot;False&quot; xmlns=&quot;http://schemas.microsoft.com/winfx/2006/xaml/presentation&quot;&amp;gt;&amp;lt;Paragraph LineHeight=&quot;6&quot; FontFamily=&quot;Arial Unicode MS&quot; FontSize=&quot;12&quot;&amp;gt;ANNEX to the COUNCIL IMPLEMENTING DECISION amending Implementing Decision of 15 December 2022 on the approval of the assessment of the recovery and resilience plan for Hungary&amp;lt;/Paragraph&amp;gt;&amp;lt;/FlowDocument&amp;gt;&lt;/xaml&gt;_x000d__x000a_  &lt;/metadata&gt;_x000d__x000a_  &lt;metadata key=&quot;md_SubjectFootnote&quot; /&gt;_x000d__x000a_  &lt;metadata key=&quot;md_DG&quot;&gt;_x000d__x000a_    &lt;text&gt;JUR.7&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rect_proc_2c&quot; text=&quot;Procedure 2c)&quot; /&gt;_x000d__x000a_    &lt;/basicdatatype&gt;_x000d__x000a_  &lt;/metadata&gt;_x000d__x000a_  &lt;metadata key=&quot;md_RectifLanguagesBase&quot;&gt;_x000d__x000a_    &lt;text&gt;24&lt;/text&gt;_x000d__x000a_  &lt;/metadata&gt;_x000d__x000a_  &lt;metadata key=&quot;md_RectifLanguagesConcerned&quot;&gt;_x000d__x000a_    &lt;text&gt;;BG;ES;CS;DA;DE;ET;EL;EN;FR;GA;HR;IT;LV;LT;HU;MT;NL;PL;PT;RO;SK;SL;FI;SV;&lt;/text&gt;_x000d__x000a_  &lt;/metadata&gt;_x000d__x000a_  &lt;metadata key=&quot;md_RectifIsLangSpec&quot;&gt;_x000d__x000a_    &lt;text&gt;&lt;/text&gt;_x000d__x000a_  &lt;/metadata&gt;_x000d__x000a_  &lt;metadata key=&quot;md_RectifLangSpecValue&quot; /&gt;_x000d__x000a_  &lt;metadata key=&quot;md_RectifNumberOfMistakes&quot;&gt;_x000d__x000a_    &lt;text&gt;Num_One&lt;/text&gt;_x000d__x000a_  &lt;/metadata&gt;_x000d__x000a_  &lt;metadata key=&quot;md_RectifHasRemarks&quot;&gt;_x000d__x000a_    &lt;text&gt;False&lt;/text&gt;_x000d__x000a_  &lt;/metadata&gt;_x000d__x000a_  &lt;metadata key=&quot;md_RectifUseDocRef&quot;&gt;_x000d__x000a_    &lt;text&gt;True&lt;/text&gt;_x000d__x000a_  &lt;/metadata&gt;_x000d__x000a_  &lt;metadata key=&quot;md_RectifDocRefNumber&quot;&gt;_x000d__x000a_    &lt;text&gt;ST 15964/23 ADD 1&lt;/text&gt;_x000d__x000a_  &lt;/metadata&gt;_x000d__x000a_  &lt;metadata key=&quot;md_RectifDocRefDate&quot;&gt;_x000d__x000a_    &lt;text&gt;2023-11-27T00:00:00&lt;/text&gt;_x000d__x000a_  &lt;/metadata&gt;_x000d__x000a_  &lt;metadata key=&quot;md_RectifUseOJRef&quot;&gt;_x000d__x000a_    &lt;text&gt;False&lt;/text&gt;_x000d__x000a_  &lt;/metadata&gt;_x000d__x000a_  &lt;metadata key=&quot;md_RectifOJRefType&quot;&gt;_x000d__x000a_    &lt;text&gt;&lt;/text&gt;_x000d__x000a_  &lt;/metadata&gt;_x000d__x000a_  &lt;metadata key=&quot;md_RectifOJLRefNumber&quot;&gt;_x000d__x000a_    &lt;text&gt;&lt;/text&gt;_x000d__x000a_  &lt;/metadata&gt;_x000d__x000a_  &lt;metadata key=&quot;md_RectifOJCRefNumber&quot;&gt;_x000d__x000a_    &lt;text&gt;&lt;/text&gt;_x000d__x000a_  &lt;/metadata&gt;_x000d__x000a_  &lt;metadata key=&quot;md_RectifOJLRefDate&quot;&gt;_x000d__x000a_    &lt;text&gt;&lt;/text&gt;_x000d__x000a_  &lt;/metadata&gt;_x000d__x000a_  &lt;metadata key=&quot;md_RectifOJCRefDate&quot;&gt;_x000d__x000a_    &lt;text&gt;&lt;/text&gt;_x000d__x000a_  &lt;/metadata&gt;_x000d__x000a_  &lt;metadata key=&quot;md_RectifOJLRefPage&quot;&gt;_x000d__x000a_    &lt;text&gt;&lt;/text&gt;_x000d__x000a_  &lt;/metadata&gt;_x000d__x000a_  &lt;metadata key=&quot;md_RectifOJCRefPage&quot;&gt;_x000d__x000a_    &lt;text&gt;&lt;/text&gt;_x000d__x000a_  &lt;/metadata&gt;_x000d__x000a_  &lt;metadata key=&quot;md_RectifUseOJCorRef&quot;&gt;_x000d__x000a_    &lt;text&gt;False&lt;/text&gt;_x000d__x000a_  &lt;/metadata&gt;_x000d__x000a_  &lt;metadata key=&quot;md_RectifOJCorRefNumber&quot;&gt;_x000d__x000a_    &lt;text&gt;&lt;/text&gt;_x000d__x000a_  &lt;/metadata&gt;_x000d__x000a_  &lt;metadata key=&quot;md_RectifOJCorRefDate&quot;&gt;_x000d__x000a_    &lt;text&gt;&lt;/text&gt;_x000d__x000a_  &lt;/metadata&gt;_x000d__x000a_  &lt;metadata key=&quot;md_RectifOJCorRefPage&quot;&gt;_x000d__x000a_    &lt;text&gt;&lt;/text&gt;_x000d__x000a_  &lt;/metadata&gt;_x000d__x000a_  &lt;metadata key=&quot;md_RectifTimeLimit&quot;&gt;_x000d__x000a_    &lt;text&gt;8&lt;/text&gt;_x000d__x000a_  &lt;/metadata&gt;_x000d__x000a_  &lt;metadata key=&quot;md_RectifCodecision&quot;&gt;_x000d__x000a_    &lt;text&gt;False&lt;/text&gt;_x000d__x000a_  &lt;/metadata&gt;_x000d__x000a_  &lt;metadata key=&quot;md_RectifCorrectionNewLang&quot;&gt;_x000d__x000a_    &lt;text&gt;False&lt;/text&gt;_x000d__x000a_  &lt;/metadata&gt;_x000d__x000a_  &lt;metadata key=&quot;md_RectifAgreement&quot;&gt;_x000d__x000a_    &lt;text&gt;False&lt;/text&gt;_x000d__x000a_  &lt;/metadata&gt;_x000d__x000a_  &lt;metadata key=&quot;md_RectifSignature&quot; /&gt;_x000d__x000a_  &lt;metadata key=&quot;md_RectifLastMergeDate&quot;&gt;_x000d__x000a_    &lt;text&gt;;BG;18/11/24 17:41:14;ES;18/11/24 17:37:10;CS;18/11/24 17:40:52;DA;18/11/24 17:59:58;DE;18/11/24 17:53:14;ET;18/11/24 18:02:46;EL;18/11/24 17:59:30;EN;14/11/24 15:48:40;FR;18/11/24 17:39:36;GA;18/11/24 19:49:08;HR;18/11/24 18:03:20;IT;18/11/24 18:03:22;LV;18/11/24 18:02:10;LT;18/11/24 17:56:00;HU;19/11/24 16:30:13;MT;18/11/24 17:41:08;NL;18/11/24 17:59:58;PL;18/11/24 18:00:48;PT;18/11/24 18:00:28;RO;18/11/24 17:58:42;SK;18/11/24 18:01:48;SL;20/11/24 09:31:56;FI;18/11/24 17:53:34;SV;20/11/24 09:29:40;&lt;/text&gt;_x000d__x000a_  &lt;/metadata&gt;_x000d__x000a_  &lt;metadata key=&quot;md_Rectif_Source1_UniqueHeading&quot;&gt;_x000d__x000a_    &lt;basicdatatype&gt;_x000d__x000a_      &lt;heading key=&quot;uh_26&quot; text=&quot;LEGISLATIVE ACTS AND OTHER INSTRUMENTS: CORRIGENDUM/RECTIFICATIF&quot; /&gt;_x000d__x000a_    &lt;/basicdatatype&gt;_x000d__x000a_  &lt;/metadata&gt;_x000d__x000a_  &lt;metadata key=&quot;md_Rectif_Source1_DocumentType&quot;&gt;_x000d__x000a_    &lt;basicdatatype&gt;_x000d__x000a_      &lt;doc_type key=&quot;dt_ST&quot; text=&quot;ST&quot; /&gt;_x000d__x000a_    &lt;/basicdatatype&gt;_x000d__x000a_  &lt;/metadata&gt;_x000d__x000a_  &lt;metadata key=&quot;md_Rectif_Source1_DocumentNumber&quot;&gt;_x000d__x000a_    &lt;text&gt;14435&lt;/text&gt;_x000d__x000a_  &lt;/metadata&gt;_x000d__x000a_  &lt;metadata key=&quot;md_Rectif_Source1_YearDocumentNumber&quot;&gt;_x000d__x000a_    &lt;text&gt;2024&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4&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 /&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W_DocType" w:val="DW_RECTIF"/>
    <w:docVar w:name="EPKit_DocumentHasBeenSaved" w:val="true"/>
    <w:docVar w:name="LW_ACCOMPAGNANT.CP" w:val="de la"/>
    <w:docVar w:name="LW_ANNEX_NBR_FIRST" w:val="1"/>
    <w:docVar w:name="LW_ANNEX_NBR_LAST" w:val="1"/>
    <w:docVar w:name="LW_ANNEX_UNIQUE" w:val="1"/>
    <w:docVar w:name="LW_CORRIGENDUM" w:val="&lt;UNUSED&gt;"/>
    <w:docVar w:name="LW_COVERPAGE_EXISTS" w:val="True"/>
    <w:docVar w:name="LW_COVERPAGE_GUID" w:val="A7F4EDDE-6E05-47F3-911D-1A5D52B4C25B"/>
    <w:docVar w:name="LW_COVERPAGE_TYPE" w:val="1"/>
    <w:docVar w:name="LW_CROSSREFERENCE" w:val="{SWD(2026) 171 final}"/>
    <w:docVar w:name="LW_DocType" w:val="DW_RECTIF"/>
    <w:docVar w:name="LW_EMISSION" w:val="19.6.2026"/>
    <w:docVar w:name="LW_EMISSION_ISODATE" w:val="2026-06-19"/>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modifiant la décision d'exécution du 15 décembre 2022 relative à l'approbation de l'évaluation du plan pour la reprise et la résilience pour la Hongrie_x000d__x000d__x000d__x000d__x000d__x000b_"/>
    <w:docVar w:name="LW_PART_NBR" w:val="1"/>
    <w:docVar w:name="LW_PART_NBR_TOTAL" w:val="1"/>
    <w:docVar w:name="LW_REF.INST.NEW" w:val="COM"/>
    <w:docVar w:name="LW_REF.INST.NEW_ADOPTED" w:val="final"/>
    <w:docVar w:name="LW_REF.INST.NEW_TEXT" w:val="(2026) 31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u8217?EXÉCUTION DU CONSEIL"/>
    <w:docVar w:name="LwApiVersions" w:val="LW4CoDe 1.24.5.0; LW 9.2, Build 20251112"/>
  </w:docVars>
  <w:rsids>
    <w:rsidRoot w:val="00CB1843"/>
    <w:rsid w:val="0000010B"/>
    <w:rsid w:val="0000010E"/>
    <w:rsid w:val="0000026F"/>
    <w:rsid w:val="0000029D"/>
    <w:rsid w:val="000002E3"/>
    <w:rsid w:val="00000365"/>
    <w:rsid w:val="000003C8"/>
    <w:rsid w:val="00000405"/>
    <w:rsid w:val="00000437"/>
    <w:rsid w:val="0000043C"/>
    <w:rsid w:val="0000054F"/>
    <w:rsid w:val="00000675"/>
    <w:rsid w:val="0000068D"/>
    <w:rsid w:val="00000767"/>
    <w:rsid w:val="00000816"/>
    <w:rsid w:val="0000083B"/>
    <w:rsid w:val="0000099B"/>
    <w:rsid w:val="00000A4F"/>
    <w:rsid w:val="00000A94"/>
    <w:rsid w:val="00000ACF"/>
    <w:rsid w:val="00000B03"/>
    <w:rsid w:val="00000B35"/>
    <w:rsid w:val="00000B54"/>
    <w:rsid w:val="00000BB2"/>
    <w:rsid w:val="00000C37"/>
    <w:rsid w:val="00000C5C"/>
    <w:rsid w:val="00000CAF"/>
    <w:rsid w:val="00000CE0"/>
    <w:rsid w:val="00000DB1"/>
    <w:rsid w:val="00000DDD"/>
    <w:rsid w:val="00000E11"/>
    <w:rsid w:val="00000E1F"/>
    <w:rsid w:val="00000E33"/>
    <w:rsid w:val="00000EB6"/>
    <w:rsid w:val="00000F12"/>
    <w:rsid w:val="0000102E"/>
    <w:rsid w:val="0000109F"/>
    <w:rsid w:val="00001163"/>
    <w:rsid w:val="000011B7"/>
    <w:rsid w:val="000011C4"/>
    <w:rsid w:val="000011C6"/>
    <w:rsid w:val="0000127D"/>
    <w:rsid w:val="0000128D"/>
    <w:rsid w:val="0000131E"/>
    <w:rsid w:val="00001320"/>
    <w:rsid w:val="00001372"/>
    <w:rsid w:val="00001386"/>
    <w:rsid w:val="000013B1"/>
    <w:rsid w:val="000013DB"/>
    <w:rsid w:val="000013EF"/>
    <w:rsid w:val="00001412"/>
    <w:rsid w:val="00001413"/>
    <w:rsid w:val="0000151A"/>
    <w:rsid w:val="00001587"/>
    <w:rsid w:val="000015EA"/>
    <w:rsid w:val="000016C7"/>
    <w:rsid w:val="000017D5"/>
    <w:rsid w:val="00001841"/>
    <w:rsid w:val="00001854"/>
    <w:rsid w:val="00001900"/>
    <w:rsid w:val="00001983"/>
    <w:rsid w:val="000019D1"/>
    <w:rsid w:val="00001A47"/>
    <w:rsid w:val="00001AC4"/>
    <w:rsid w:val="00001C86"/>
    <w:rsid w:val="00001C93"/>
    <w:rsid w:val="00001CFE"/>
    <w:rsid w:val="00001D60"/>
    <w:rsid w:val="00001DB2"/>
    <w:rsid w:val="00001DBC"/>
    <w:rsid w:val="00001DE1"/>
    <w:rsid w:val="00001E06"/>
    <w:rsid w:val="00001E0B"/>
    <w:rsid w:val="00001E57"/>
    <w:rsid w:val="00001EAE"/>
    <w:rsid w:val="00001F7F"/>
    <w:rsid w:val="00001FBB"/>
    <w:rsid w:val="00002045"/>
    <w:rsid w:val="00002090"/>
    <w:rsid w:val="00002217"/>
    <w:rsid w:val="00002223"/>
    <w:rsid w:val="000022B3"/>
    <w:rsid w:val="00002342"/>
    <w:rsid w:val="00002382"/>
    <w:rsid w:val="000023C6"/>
    <w:rsid w:val="000023F8"/>
    <w:rsid w:val="0000251A"/>
    <w:rsid w:val="00002540"/>
    <w:rsid w:val="000025CF"/>
    <w:rsid w:val="000025E6"/>
    <w:rsid w:val="000025E8"/>
    <w:rsid w:val="00002603"/>
    <w:rsid w:val="000026B6"/>
    <w:rsid w:val="000028BE"/>
    <w:rsid w:val="000028C7"/>
    <w:rsid w:val="00002901"/>
    <w:rsid w:val="00002960"/>
    <w:rsid w:val="00002AD5"/>
    <w:rsid w:val="00002B2F"/>
    <w:rsid w:val="00002C41"/>
    <w:rsid w:val="00002CE4"/>
    <w:rsid w:val="00002DC8"/>
    <w:rsid w:val="00002DDA"/>
    <w:rsid w:val="00002DE0"/>
    <w:rsid w:val="00002E11"/>
    <w:rsid w:val="00002E6B"/>
    <w:rsid w:val="00002E9C"/>
    <w:rsid w:val="00002F5C"/>
    <w:rsid w:val="00002F65"/>
    <w:rsid w:val="00003131"/>
    <w:rsid w:val="0000318A"/>
    <w:rsid w:val="00003296"/>
    <w:rsid w:val="000032AD"/>
    <w:rsid w:val="000032AE"/>
    <w:rsid w:val="000032B7"/>
    <w:rsid w:val="000033ED"/>
    <w:rsid w:val="000034CC"/>
    <w:rsid w:val="00003520"/>
    <w:rsid w:val="00003523"/>
    <w:rsid w:val="00003701"/>
    <w:rsid w:val="000037A7"/>
    <w:rsid w:val="000037BE"/>
    <w:rsid w:val="000037FB"/>
    <w:rsid w:val="0000380D"/>
    <w:rsid w:val="00003876"/>
    <w:rsid w:val="00003935"/>
    <w:rsid w:val="00003A49"/>
    <w:rsid w:val="00003B5B"/>
    <w:rsid w:val="00003B6C"/>
    <w:rsid w:val="00003C34"/>
    <w:rsid w:val="00003D46"/>
    <w:rsid w:val="00003D7C"/>
    <w:rsid w:val="00003E18"/>
    <w:rsid w:val="00003F3F"/>
    <w:rsid w:val="00003F6A"/>
    <w:rsid w:val="00003F96"/>
    <w:rsid w:val="00003FB6"/>
    <w:rsid w:val="00004060"/>
    <w:rsid w:val="00004071"/>
    <w:rsid w:val="000040AE"/>
    <w:rsid w:val="000040E2"/>
    <w:rsid w:val="00004109"/>
    <w:rsid w:val="0000424F"/>
    <w:rsid w:val="0000425B"/>
    <w:rsid w:val="000042B7"/>
    <w:rsid w:val="000042DC"/>
    <w:rsid w:val="00004326"/>
    <w:rsid w:val="00004393"/>
    <w:rsid w:val="0000449B"/>
    <w:rsid w:val="000044EA"/>
    <w:rsid w:val="00004507"/>
    <w:rsid w:val="0000458F"/>
    <w:rsid w:val="000045B3"/>
    <w:rsid w:val="00004655"/>
    <w:rsid w:val="000046C1"/>
    <w:rsid w:val="00004750"/>
    <w:rsid w:val="0000476D"/>
    <w:rsid w:val="00004842"/>
    <w:rsid w:val="000048FE"/>
    <w:rsid w:val="00004909"/>
    <w:rsid w:val="00004912"/>
    <w:rsid w:val="0000492D"/>
    <w:rsid w:val="000049C0"/>
    <w:rsid w:val="00004AAA"/>
    <w:rsid w:val="00004B2C"/>
    <w:rsid w:val="00004B58"/>
    <w:rsid w:val="00004B5F"/>
    <w:rsid w:val="00004B61"/>
    <w:rsid w:val="00004BE7"/>
    <w:rsid w:val="00004BEC"/>
    <w:rsid w:val="00004D21"/>
    <w:rsid w:val="00004E6C"/>
    <w:rsid w:val="00005031"/>
    <w:rsid w:val="0000506C"/>
    <w:rsid w:val="0000506E"/>
    <w:rsid w:val="0000508F"/>
    <w:rsid w:val="000050C9"/>
    <w:rsid w:val="000051DA"/>
    <w:rsid w:val="0000526C"/>
    <w:rsid w:val="00005385"/>
    <w:rsid w:val="0000539D"/>
    <w:rsid w:val="000053A1"/>
    <w:rsid w:val="000053A4"/>
    <w:rsid w:val="00005436"/>
    <w:rsid w:val="00005564"/>
    <w:rsid w:val="000055E6"/>
    <w:rsid w:val="000055FC"/>
    <w:rsid w:val="00005617"/>
    <w:rsid w:val="000056DB"/>
    <w:rsid w:val="0000578A"/>
    <w:rsid w:val="0000586F"/>
    <w:rsid w:val="000058D4"/>
    <w:rsid w:val="000058F3"/>
    <w:rsid w:val="0000599C"/>
    <w:rsid w:val="00005B37"/>
    <w:rsid w:val="00005BBE"/>
    <w:rsid w:val="00005CC8"/>
    <w:rsid w:val="00005CD2"/>
    <w:rsid w:val="00005DC8"/>
    <w:rsid w:val="00005F06"/>
    <w:rsid w:val="00005F4C"/>
    <w:rsid w:val="00005F58"/>
    <w:rsid w:val="00005FF8"/>
    <w:rsid w:val="0000616E"/>
    <w:rsid w:val="00006281"/>
    <w:rsid w:val="000062E0"/>
    <w:rsid w:val="000062F4"/>
    <w:rsid w:val="00006355"/>
    <w:rsid w:val="0000638D"/>
    <w:rsid w:val="000063B3"/>
    <w:rsid w:val="000063F7"/>
    <w:rsid w:val="000064A2"/>
    <w:rsid w:val="000064C9"/>
    <w:rsid w:val="000065FA"/>
    <w:rsid w:val="00006641"/>
    <w:rsid w:val="0000669B"/>
    <w:rsid w:val="000066CC"/>
    <w:rsid w:val="000066D1"/>
    <w:rsid w:val="00006783"/>
    <w:rsid w:val="000067B0"/>
    <w:rsid w:val="0000681D"/>
    <w:rsid w:val="0000683C"/>
    <w:rsid w:val="0000684C"/>
    <w:rsid w:val="00006865"/>
    <w:rsid w:val="0000690F"/>
    <w:rsid w:val="00006964"/>
    <w:rsid w:val="00006A22"/>
    <w:rsid w:val="00006A5E"/>
    <w:rsid w:val="00006A9E"/>
    <w:rsid w:val="00006AEC"/>
    <w:rsid w:val="00006B35"/>
    <w:rsid w:val="00006B61"/>
    <w:rsid w:val="00006B6A"/>
    <w:rsid w:val="00006BE2"/>
    <w:rsid w:val="00006BFA"/>
    <w:rsid w:val="00006C2E"/>
    <w:rsid w:val="00006CF8"/>
    <w:rsid w:val="00006D27"/>
    <w:rsid w:val="00006DAF"/>
    <w:rsid w:val="00006DBF"/>
    <w:rsid w:val="00006DD6"/>
    <w:rsid w:val="00006E3E"/>
    <w:rsid w:val="00006E87"/>
    <w:rsid w:val="00006ED6"/>
    <w:rsid w:val="00006F33"/>
    <w:rsid w:val="000070C3"/>
    <w:rsid w:val="000071AA"/>
    <w:rsid w:val="000071C1"/>
    <w:rsid w:val="0000721D"/>
    <w:rsid w:val="0000729A"/>
    <w:rsid w:val="000072B7"/>
    <w:rsid w:val="00007321"/>
    <w:rsid w:val="000073EB"/>
    <w:rsid w:val="00007404"/>
    <w:rsid w:val="00007562"/>
    <w:rsid w:val="0000758B"/>
    <w:rsid w:val="00007595"/>
    <w:rsid w:val="000075BD"/>
    <w:rsid w:val="00007604"/>
    <w:rsid w:val="000077A9"/>
    <w:rsid w:val="000077B4"/>
    <w:rsid w:val="000077CF"/>
    <w:rsid w:val="0000780B"/>
    <w:rsid w:val="0000781A"/>
    <w:rsid w:val="00007830"/>
    <w:rsid w:val="00007A94"/>
    <w:rsid w:val="00007AA0"/>
    <w:rsid w:val="00007AC3"/>
    <w:rsid w:val="00007B22"/>
    <w:rsid w:val="00007BAF"/>
    <w:rsid w:val="00007C16"/>
    <w:rsid w:val="00007C7B"/>
    <w:rsid w:val="00007CAF"/>
    <w:rsid w:val="00007CCA"/>
    <w:rsid w:val="00007EB0"/>
    <w:rsid w:val="00007ECD"/>
    <w:rsid w:val="00007F81"/>
    <w:rsid w:val="00007FB5"/>
    <w:rsid w:val="00007FED"/>
    <w:rsid w:val="00010002"/>
    <w:rsid w:val="00010025"/>
    <w:rsid w:val="00010087"/>
    <w:rsid w:val="00010098"/>
    <w:rsid w:val="000100E1"/>
    <w:rsid w:val="0001011F"/>
    <w:rsid w:val="0001016E"/>
    <w:rsid w:val="0001018E"/>
    <w:rsid w:val="00010294"/>
    <w:rsid w:val="000103A2"/>
    <w:rsid w:val="0001050F"/>
    <w:rsid w:val="00010523"/>
    <w:rsid w:val="00010544"/>
    <w:rsid w:val="000105A3"/>
    <w:rsid w:val="000105B5"/>
    <w:rsid w:val="000105F1"/>
    <w:rsid w:val="0001068C"/>
    <w:rsid w:val="00010898"/>
    <w:rsid w:val="000108EE"/>
    <w:rsid w:val="0001099F"/>
    <w:rsid w:val="000109FB"/>
    <w:rsid w:val="00010ABD"/>
    <w:rsid w:val="00010AF4"/>
    <w:rsid w:val="00010BBE"/>
    <w:rsid w:val="00010BCC"/>
    <w:rsid w:val="00010BF5"/>
    <w:rsid w:val="00010C81"/>
    <w:rsid w:val="00010CC2"/>
    <w:rsid w:val="00010CE1"/>
    <w:rsid w:val="00010D69"/>
    <w:rsid w:val="00010D8F"/>
    <w:rsid w:val="00010D91"/>
    <w:rsid w:val="00010E9D"/>
    <w:rsid w:val="00010F3A"/>
    <w:rsid w:val="00010FFA"/>
    <w:rsid w:val="00011001"/>
    <w:rsid w:val="0001100D"/>
    <w:rsid w:val="00011022"/>
    <w:rsid w:val="0001103A"/>
    <w:rsid w:val="00011063"/>
    <w:rsid w:val="00011193"/>
    <w:rsid w:val="000111A1"/>
    <w:rsid w:val="0001121A"/>
    <w:rsid w:val="0001127C"/>
    <w:rsid w:val="000112BE"/>
    <w:rsid w:val="00011317"/>
    <w:rsid w:val="0001143A"/>
    <w:rsid w:val="00011458"/>
    <w:rsid w:val="00011483"/>
    <w:rsid w:val="000114D7"/>
    <w:rsid w:val="00011513"/>
    <w:rsid w:val="00011562"/>
    <w:rsid w:val="00011584"/>
    <w:rsid w:val="00011649"/>
    <w:rsid w:val="00011665"/>
    <w:rsid w:val="0001168E"/>
    <w:rsid w:val="00011691"/>
    <w:rsid w:val="000116A5"/>
    <w:rsid w:val="0001170D"/>
    <w:rsid w:val="00011730"/>
    <w:rsid w:val="00011758"/>
    <w:rsid w:val="000117C7"/>
    <w:rsid w:val="0001184D"/>
    <w:rsid w:val="00011861"/>
    <w:rsid w:val="00011924"/>
    <w:rsid w:val="000119A6"/>
    <w:rsid w:val="00011A36"/>
    <w:rsid w:val="00011B42"/>
    <w:rsid w:val="00011B57"/>
    <w:rsid w:val="00011B95"/>
    <w:rsid w:val="00011BAF"/>
    <w:rsid w:val="00011BB4"/>
    <w:rsid w:val="00011C39"/>
    <w:rsid w:val="00011C4E"/>
    <w:rsid w:val="00011CE9"/>
    <w:rsid w:val="00011D80"/>
    <w:rsid w:val="00011E27"/>
    <w:rsid w:val="00011EA7"/>
    <w:rsid w:val="00011F56"/>
    <w:rsid w:val="00011FC5"/>
    <w:rsid w:val="00012005"/>
    <w:rsid w:val="00012385"/>
    <w:rsid w:val="000123C8"/>
    <w:rsid w:val="000123D2"/>
    <w:rsid w:val="0001243E"/>
    <w:rsid w:val="000124EB"/>
    <w:rsid w:val="000124F4"/>
    <w:rsid w:val="0001255E"/>
    <w:rsid w:val="000125B0"/>
    <w:rsid w:val="000125F8"/>
    <w:rsid w:val="0001260D"/>
    <w:rsid w:val="00012638"/>
    <w:rsid w:val="0001267C"/>
    <w:rsid w:val="00012738"/>
    <w:rsid w:val="000127E2"/>
    <w:rsid w:val="0001287B"/>
    <w:rsid w:val="00012998"/>
    <w:rsid w:val="0001299D"/>
    <w:rsid w:val="00012A46"/>
    <w:rsid w:val="00012A5A"/>
    <w:rsid w:val="00012B30"/>
    <w:rsid w:val="00012BB3"/>
    <w:rsid w:val="00012BCF"/>
    <w:rsid w:val="00012C87"/>
    <w:rsid w:val="00012C9F"/>
    <w:rsid w:val="00012CCA"/>
    <w:rsid w:val="00012CE8"/>
    <w:rsid w:val="00012CED"/>
    <w:rsid w:val="00012D49"/>
    <w:rsid w:val="00012DF4"/>
    <w:rsid w:val="00012E35"/>
    <w:rsid w:val="00012E79"/>
    <w:rsid w:val="00012F0E"/>
    <w:rsid w:val="00012F8B"/>
    <w:rsid w:val="00012F94"/>
    <w:rsid w:val="00012FFD"/>
    <w:rsid w:val="0001303C"/>
    <w:rsid w:val="000130F7"/>
    <w:rsid w:val="0001313F"/>
    <w:rsid w:val="00013210"/>
    <w:rsid w:val="00013337"/>
    <w:rsid w:val="0001349A"/>
    <w:rsid w:val="00013513"/>
    <w:rsid w:val="0001352F"/>
    <w:rsid w:val="000135E8"/>
    <w:rsid w:val="00013680"/>
    <w:rsid w:val="00013695"/>
    <w:rsid w:val="0001373E"/>
    <w:rsid w:val="00013771"/>
    <w:rsid w:val="000137E4"/>
    <w:rsid w:val="000138B5"/>
    <w:rsid w:val="000138E1"/>
    <w:rsid w:val="000138F1"/>
    <w:rsid w:val="00013907"/>
    <w:rsid w:val="0001390B"/>
    <w:rsid w:val="0001399F"/>
    <w:rsid w:val="000139B2"/>
    <w:rsid w:val="00013A42"/>
    <w:rsid w:val="00013A85"/>
    <w:rsid w:val="00013A8F"/>
    <w:rsid w:val="00013AD0"/>
    <w:rsid w:val="00013AD9"/>
    <w:rsid w:val="00013AFC"/>
    <w:rsid w:val="00013BD4"/>
    <w:rsid w:val="00013BDC"/>
    <w:rsid w:val="00013C19"/>
    <w:rsid w:val="00013C7B"/>
    <w:rsid w:val="00013C97"/>
    <w:rsid w:val="00013DBA"/>
    <w:rsid w:val="00013DBE"/>
    <w:rsid w:val="00013DC8"/>
    <w:rsid w:val="00013E51"/>
    <w:rsid w:val="00013E54"/>
    <w:rsid w:val="00013EA2"/>
    <w:rsid w:val="00013F1B"/>
    <w:rsid w:val="00013F1F"/>
    <w:rsid w:val="00013F84"/>
    <w:rsid w:val="00014048"/>
    <w:rsid w:val="00014093"/>
    <w:rsid w:val="000140DA"/>
    <w:rsid w:val="0001418D"/>
    <w:rsid w:val="000141AE"/>
    <w:rsid w:val="000141FD"/>
    <w:rsid w:val="00014205"/>
    <w:rsid w:val="00014251"/>
    <w:rsid w:val="000142D1"/>
    <w:rsid w:val="00014329"/>
    <w:rsid w:val="0001432C"/>
    <w:rsid w:val="000143D2"/>
    <w:rsid w:val="000143DD"/>
    <w:rsid w:val="00014417"/>
    <w:rsid w:val="00014459"/>
    <w:rsid w:val="000144BA"/>
    <w:rsid w:val="000144BB"/>
    <w:rsid w:val="000144D7"/>
    <w:rsid w:val="00014513"/>
    <w:rsid w:val="0001454A"/>
    <w:rsid w:val="000146F6"/>
    <w:rsid w:val="00014721"/>
    <w:rsid w:val="0001478C"/>
    <w:rsid w:val="0001485C"/>
    <w:rsid w:val="00014891"/>
    <w:rsid w:val="000148AF"/>
    <w:rsid w:val="0001491B"/>
    <w:rsid w:val="0001493A"/>
    <w:rsid w:val="000149C7"/>
    <w:rsid w:val="000149F4"/>
    <w:rsid w:val="00014A6E"/>
    <w:rsid w:val="00014A82"/>
    <w:rsid w:val="00014B2E"/>
    <w:rsid w:val="00014CD0"/>
    <w:rsid w:val="00014D76"/>
    <w:rsid w:val="00014ECA"/>
    <w:rsid w:val="00014ED9"/>
    <w:rsid w:val="00014F40"/>
    <w:rsid w:val="00014F44"/>
    <w:rsid w:val="00014FD4"/>
    <w:rsid w:val="00015056"/>
    <w:rsid w:val="00015072"/>
    <w:rsid w:val="00015104"/>
    <w:rsid w:val="0001514A"/>
    <w:rsid w:val="000151E1"/>
    <w:rsid w:val="000152FC"/>
    <w:rsid w:val="0001540C"/>
    <w:rsid w:val="0001543E"/>
    <w:rsid w:val="000154AB"/>
    <w:rsid w:val="0001555B"/>
    <w:rsid w:val="000156E5"/>
    <w:rsid w:val="000156E6"/>
    <w:rsid w:val="000157EC"/>
    <w:rsid w:val="00015841"/>
    <w:rsid w:val="00015884"/>
    <w:rsid w:val="000158F6"/>
    <w:rsid w:val="0001598C"/>
    <w:rsid w:val="00015B35"/>
    <w:rsid w:val="00015C41"/>
    <w:rsid w:val="00015CA4"/>
    <w:rsid w:val="00015D18"/>
    <w:rsid w:val="00015D7D"/>
    <w:rsid w:val="00015DF9"/>
    <w:rsid w:val="00015E34"/>
    <w:rsid w:val="00015E42"/>
    <w:rsid w:val="00015ECB"/>
    <w:rsid w:val="00015EE4"/>
    <w:rsid w:val="00015F4D"/>
    <w:rsid w:val="00016007"/>
    <w:rsid w:val="00016106"/>
    <w:rsid w:val="0001614E"/>
    <w:rsid w:val="000161FD"/>
    <w:rsid w:val="0001622B"/>
    <w:rsid w:val="0001623D"/>
    <w:rsid w:val="0001632E"/>
    <w:rsid w:val="00016359"/>
    <w:rsid w:val="00016364"/>
    <w:rsid w:val="00016418"/>
    <w:rsid w:val="000164E6"/>
    <w:rsid w:val="000164F8"/>
    <w:rsid w:val="00016507"/>
    <w:rsid w:val="00016510"/>
    <w:rsid w:val="000165BA"/>
    <w:rsid w:val="000165FA"/>
    <w:rsid w:val="00016600"/>
    <w:rsid w:val="00016668"/>
    <w:rsid w:val="000166E3"/>
    <w:rsid w:val="000166F8"/>
    <w:rsid w:val="0001670A"/>
    <w:rsid w:val="000167A3"/>
    <w:rsid w:val="000167AA"/>
    <w:rsid w:val="00016864"/>
    <w:rsid w:val="000168E9"/>
    <w:rsid w:val="00016924"/>
    <w:rsid w:val="00016938"/>
    <w:rsid w:val="0001695D"/>
    <w:rsid w:val="000169BD"/>
    <w:rsid w:val="00016B87"/>
    <w:rsid w:val="00016C10"/>
    <w:rsid w:val="00016C7C"/>
    <w:rsid w:val="00016CF5"/>
    <w:rsid w:val="00016E3E"/>
    <w:rsid w:val="00016F3B"/>
    <w:rsid w:val="00016F3F"/>
    <w:rsid w:val="00016FC7"/>
    <w:rsid w:val="000170C3"/>
    <w:rsid w:val="000171EE"/>
    <w:rsid w:val="00017213"/>
    <w:rsid w:val="00017246"/>
    <w:rsid w:val="000172B0"/>
    <w:rsid w:val="000172CA"/>
    <w:rsid w:val="00017333"/>
    <w:rsid w:val="000173D3"/>
    <w:rsid w:val="000173F9"/>
    <w:rsid w:val="0001744E"/>
    <w:rsid w:val="000174D3"/>
    <w:rsid w:val="000174E9"/>
    <w:rsid w:val="00017524"/>
    <w:rsid w:val="00017584"/>
    <w:rsid w:val="000175A3"/>
    <w:rsid w:val="000175B9"/>
    <w:rsid w:val="000176FF"/>
    <w:rsid w:val="00017755"/>
    <w:rsid w:val="00017839"/>
    <w:rsid w:val="00017853"/>
    <w:rsid w:val="000178CB"/>
    <w:rsid w:val="0001799E"/>
    <w:rsid w:val="000179F4"/>
    <w:rsid w:val="00017B6D"/>
    <w:rsid w:val="00017B81"/>
    <w:rsid w:val="00017B92"/>
    <w:rsid w:val="00017BEC"/>
    <w:rsid w:val="00017C07"/>
    <w:rsid w:val="00017C2D"/>
    <w:rsid w:val="00017C6E"/>
    <w:rsid w:val="00017CD8"/>
    <w:rsid w:val="00017DAD"/>
    <w:rsid w:val="00017DC2"/>
    <w:rsid w:val="00017DC4"/>
    <w:rsid w:val="00017DE0"/>
    <w:rsid w:val="00017F11"/>
    <w:rsid w:val="00017F75"/>
    <w:rsid w:val="000200B0"/>
    <w:rsid w:val="00020110"/>
    <w:rsid w:val="000202CD"/>
    <w:rsid w:val="000202F2"/>
    <w:rsid w:val="0002033D"/>
    <w:rsid w:val="0002037B"/>
    <w:rsid w:val="000203EC"/>
    <w:rsid w:val="0002042B"/>
    <w:rsid w:val="00020480"/>
    <w:rsid w:val="000204CE"/>
    <w:rsid w:val="00020637"/>
    <w:rsid w:val="000206CA"/>
    <w:rsid w:val="00020876"/>
    <w:rsid w:val="00020901"/>
    <w:rsid w:val="000209B5"/>
    <w:rsid w:val="000209FF"/>
    <w:rsid w:val="00020A28"/>
    <w:rsid w:val="00020B88"/>
    <w:rsid w:val="00020B8C"/>
    <w:rsid w:val="00020C1E"/>
    <w:rsid w:val="00020C85"/>
    <w:rsid w:val="00020CB1"/>
    <w:rsid w:val="00020D22"/>
    <w:rsid w:val="00020D65"/>
    <w:rsid w:val="00020DE9"/>
    <w:rsid w:val="00020EB7"/>
    <w:rsid w:val="00020EC4"/>
    <w:rsid w:val="00020F0D"/>
    <w:rsid w:val="00020F14"/>
    <w:rsid w:val="00020F3A"/>
    <w:rsid w:val="00020F46"/>
    <w:rsid w:val="00020FDE"/>
    <w:rsid w:val="0002111A"/>
    <w:rsid w:val="00021153"/>
    <w:rsid w:val="0002118D"/>
    <w:rsid w:val="000211A4"/>
    <w:rsid w:val="00021261"/>
    <w:rsid w:val="0002126D"/>
    <w:rsid w:val="00021287"/>
    <w:rsid w:val="00021298"/>
    <w:rsid w:val="00021374"/>
    <w:rsid w:val="00021433"/>
    <w:rsid w:val="00021442"/>
    <w:rsid w:val="00021490"/>
    <w:rsid w:val="0002149D"/>
    <w:rsid w:val="000214C5"/>
    <w:rsid w:val="000215AF"/>
    <w:rsid w:val="000215FE"/>
    <w:rsid w:val="00021603"/>
    <w:rsid w:val="00021713"/>
    <w:rsid w:val="00021787"/>
    <w:rsid w:val="000217B1"/>
    <w:rsid w:val="00021816"/>
    <w:rsid w:val="0002181D"/>
    <w:rsid w:val="000218C2"/>
    <w:rsid w:val="0002199E"/>
    <w:rsid w:val="00021AF6"/>
    <w:rsid w:val="00021B07"/>
    <w:rsid w:val="00021CA5"/>
    <w:rsid w:val="00021D12"/>
    <w:rsid w:val="00021D5E"/>
    <w:rsid w:val="00021D7D"/>
    <w:rsid w:val="00021E0C"/>
    <w:rsid w:val="00021FDE"/>
    <w:rsid w:val="00022072"/>
    <w:rsid w:val="00022086"/>
    <w:rsid w:val="000220F6"/>
    <w:rsid w:val="00022105"/>
    <w:rsid w:val="00022288"/>
    <w:rsid w:val="000222B8"/>
    <w:rsid w:val="00022303"/>
    <w:rsid w:val="0002238B"/>
    <w:rsid w:val="000224D8"/>
    <w:rsid w:val="000224F5"/>
    <w:rsid w:val="000225D6"/>
    <w:rsid w:val="000225E2"/>
    <w:rsid w:val="000225FC"/>
    <w:rsid w:val="00022605"/>
    <w:rsid w:val="00022635"/>
    <w:rsid w:val="0002263D"/>
    <w:rsid w:val="00022664"/>
    <w:rsid w:val="00022721"/>
    <w:rsid w:val="0002280A"/>
    <w:rsid w:val="00022838"/>
    <w:rsid w:val="000229C6"/>
    <w:rsid w:val="000229D1"/>
    <w:rsid w:val="00022A01"/>
    <w:rsid w:val="00022A26"/>
    <w:rsid w:val="00022AAE"/>
    <w:rsid w:val="00022B1C"/>
    <w:rsid w:val="00022B42"/>
    <w:rsid w:val="00022BD7"/>
    <w:rsid w:val="00022BF4"/>
    <w:rsid w:val="00022C23"/>
    <w:rsid w:val="00022CF0"/>
    <w:rsid w:val="00022D33"/>
    <w:rsid w:val="00022D34"/>
    <w:rsid w:val="00022D3B"/>
    <w:rsid w:val="00022D45"/>
    <w:rsid w:val="00022DA9"/>
    <w:rsid w:val="00022DAB"/>
    <w:rsid w:val="00022F71"/>
    <w:rsid w:val="00022F8F"/>
    <w:rsid w:val="00022FA1"/>
    <w:rsid w:val="00023075"/>
    <w:rsid w:val="00023161"/>
    <w:rsid w:val="00023169"/>
    <w:rsid w:val="00023269"/>
    <w:rsid w:val="00023344"/>
    <w:rsid w:val="00023453"/>
    <w:rsid w:val="00023456"/>
    <w:rsid w:val="0002346C"/>
    <w:rsid w:val="000234B0"/>
    <w:rsid w:val="000234FA"/>
    <w:rsid w:val="0002350E"/>
    <w:rsid w:val="0002363C"/>
    <w:rsid w:val="000236B4"/>
    <w:rsid w:val="000237A9"/>
    <w:rsid w:val="000237C6"/>
    <w:rsid w:val="000238C7"/>
    <w:rsid w:val="000238D1"/>
    <w:rsid w:val="000239D8"/>
    <w:rsid w:val="00023A3F"/>
    <w:rsid w:val="00023A6D"/>
    <w:rsid w:val="00023A83"/>
    <w:rsid w:val="00023B51"/>
    <w:rsid w:val="00023B6C"/>
    <w:rsid w:val="00023BA8"/>
    <w:rsid w:val="00023C66"/>
    <w:rsid w:val="00023C6E"/>
    <w:rsid w:val="00023C87"/>
    <w:rsid w:val="00023D32"/>
    <w:rsid w:val="00023D53"/>
    <w:rsid w:val="00023D85"/>
    <w:rsid w:val="00023E04"/>
    <w:rsid w:val="00023EBC"/>
    <w:rsid w:val="00023EC2"/>
    <w:rsid w:val="00023F28"/>
    <w:rsid w:val="00023FA6"/>
    <w:rsid w:val="0002407C"/>
    <w:rsid w:val="000240D7"/>
    <w:rsid w:val="0002419E"/>
    <w:rsid w:val="000241BC"/>
    <w:rsid w:val="00024223"/>
    <w:rsid w:val="00024287"/>
    <w:rsid w:val="000242E3"/>
    <w:rsid w:val="000242F0"/>
    <w:rsid w:val="000243AA"/>
    <w:rsid w:val="0002454C"/>
    <w:rsid w:val="0002467D"/>
    <w:rsid w:val="00024693"/>
    <w:rsid w:val="000246B2"/>
    <w:rsid w:val="000246D2"/>
    <w:rsid w:val="0002472C"/>
    <w:rsid w:val="0002475F"/>
    <w:rsid w:val="0002476E"/>
    <w:rsid w:val="0002483C"/>
    <w:rsid w:val="0002484B"/>
    <w:rsid w:val="000248B3"/>
    <w:rsid w:val="000248E2"/>
    <w:rsid w:val="0002490F"/>
    <w:rsid w:val="00024930"/>
    <w:rsid w:val="00024989"/>
    <w:rsid w:val="00024A3D"/>
    <w:rsid w:val="00024A83"/>
    <w:rsid w:val="00024CA2"/>
    <w:rsid w:val="00024CBB"/>
    <w:rsid w:val="00024D27"/>
    <w:rsid w:val="00024D93"/>
    <w:rsid w:val="00024E7A"/>
    <w:rsid w:val="00024F0E"/>
    <w:rsid w:val="00024F3E"/>
    <w:rsid w:val="00024FA7"/>
    <w:rsid w:val="0002502B"/>
    <w:rsid w:val="0002508F"/>
    <w:rsid w:val="000251D3"/>
    <w:rsid w:val="00025217"/>
    <w:rsid w:val="00025264"/>
    <w:rsid w:val="00025297"/>
    <w:rsid w:val="000252BD"/>
    <w:rsid w:val="000252D1"/>
    <w:rsid w:val="000254CB"/>
    <w:rsid w:val="00025523"/>
    <w:rsid w:val="00025565"/>
    <w:rsid w:val="00025635"/>
    <w:rsid w:val="000256C2"/>
    <w:rsid w:val="0002575D"/>
    <w:rsid w:val="00025760"/>
    <w:rsid w:val="000257AB"/>
    <w:rsid w:val="00025926"/>
    <w:rsid w:val="0002592C"/>
    <w:rsid w:val="00025970"/>
    <w:rsid w:val="0002597B"/>
    <w:rsid w:val="0002597C"/>
    <w:rsid w:val="00025A1D"/>
    <w:rsid w:val="00025B35"/>
    <w:rsid w:val="00025B4B"/>
    <w:rsid w:val="00025B60"/>
    <w:rsid w:val="00025B9C"/>
    <w:rsid w:val="00025BA0"/>
    <w:rsid w:val="00025BFC"/>
    <w:rsid w:val="00025C34"/>
    <w:rsid w:val="00025C5D"/>
    <w:rsid w:val="00025C8C"/>
    <w:rsid w:val="00025C94"/>
    <w:rsid w:val="00025CD1"/>
    <w:rsid w:val="00025CE0"/>
    <w:rsid w:val="00025D2E"/>
    <w:rsid w:val="00025D67"/>
    <w:rsid w:val="00025E07"/>
    <w:rsid w:val="00025E82"/>
    <w:rsid w:val="00025E92"/>
    <w:rsid w:val="00025EC7"/>
    <w:rsid w:val="00025F00"/>
    <w:rsid w:val="00025F0D"/>
    <w:rsid w:val="00025FD2"/>
    <w:rsid w:val="00026046"/>
    <w:rsid w:val="0002616C"/>
    <w:rsid w:val="000261F4"/>
    <w:rsid w:val="000262AD"/>
    <w:rsid w:val="000263B9"/>
    <w:rsid w:val="000263E1"/>
    <w:rsid w:val="00026444"/>
    <w:rsid w:val="000264BB"/>
    <w:rsid w:val="000264F0"/>
    <w:rsid w:val="000264F8"/>
    <w:rsid w:val="000265C2"/>
    <w:rsid w:val="0002662C"/>
    <w:rsid w:val="00026685"/>
    <w:rsid w:val="000266A3"/>
    <w:rsid w:val="00026744"/>
    <w:rsid w:val="00026751"/>
    <w:rsid w:val="000267C6"/>
    <w:rsid w:val="00026842"/>
    <w:rsid w:val="00026869"/>
    <w:rsid w:val="0002686F"/>
    <w:rsid w:val="00026877"/>
    <w:rsid w:val="00026896"/>
    <w:rsid w:val="00026943"/>
    <w:rsid w:val="00026950"/>
    <w:rsid w:val="0002697C"/>
    <w:rsid w:val="00026A28"/>
    <w:rsid w:val="00026A31"/>
    <w:rsid w:val="00026A53"/>
    <w:rsid w:val="00026A72"/>
    <w:rsid w:val="00026A7B"/>
    <w:rsid w:val="00026AB3"/>
    <w:rsid w:val="00026AC5"/>
    <w:rsid w:val="00026B6C"/>
    <w:rsid w:val="00026BB1"/>
    <w:rsid w:val="00026BE5"/>
    <w:rsid w:val="00026C33"/>
    <w:rsid w:val="00026C9F"/>
    <w:rsid w:val="00026D07"/>
    <w:rsid w:val="00026DA5"/>
    <w:rsid w:val="00026E18"/>
    <w:rsid w:val="00026E45"/>
    <w:rsid w:val="00026FA7"/>
    <w:rsid w:val="00026FBC"/>
    <w:rsid w:val="00027034"/>
    <w:rsid w:val="0002705E"/>
    <w:rsid w:val="000270C1"/>
    <w:rsid w:val="000270D9"/>
    <w:rsid w:val="000270DD"/>
    <w:rsid w:val="00027170"/>
    <w:rsid w:val="0002717E"/>
    <w:rsid w:val="00027212"/>
    <w:rsid w:val="0002725D"/>
    <w:rsid w:val="000272A4"/>
    <w:rsid w:val="000272DD"/>
    <w:rsid w:val="0002741F"/>
    <w:rsid w:val="00027529"/>
    <w:rsid w:val="00027551"/>
    <w:rsid w:val="0002759D"/>
    <w:rsid w:val="000275A9"/>
    <w:rsid w:val="00027653"/>
    <w:rsid w:val="00027689"/>
    <w:rsid w:val="000276AB"/>
    <w:rsid w:val="00027725"/>
    <w:rsid w:val="0002774D"/>
    <w:rsid w:val="00027871"/>
    <w:rsid w:val="000278A0"/>
    <w:rsid w:val="000278C2"/>
    <w:rsid w:val="000278EB"/>
    <w:rsid w:val="0002796B"/>
    <w:rsid w:val="00027A1E"/>
    <w:rsid w:val="00027A35"/>
    <w:rsid w:val="00027B0B"/>
    <w:rsid w:val="00027BE8"/>
    <w:rsid w:val="00027C93"/>
    <w:rsid w:val="00027CDA"/>
    <w:rsid w:val="00027CEE"/>
    <w:rsid w:val="00027CFB"/>
    <w:rsid w:val="00027D17"/>
    <w:rsid w:val="00027D56"/>
    <w:rsid w:val="00027D97"/>
    <w:rsid w:val="00027DA6"/>
    <w:rsid w:val="00027DBA"/>
    <w:rsid w:val="00027DC2"/>
    <w:rsid w:val="00027E21"/>
    <w:rsid w:val="00027E35"/>
    <w:rsid w:val="00027F04"/>
    <w:rsid w:val="00027F19"/>
    <w:rsid w:val="00027F5B"/>
    <w:rsid w:val="00027F94"/>
    <w:rsid w:val="00027FD7"/>
    <w:rsid w:val="00030003"/>
    <w:rsid w:val="0003005F"/>
    <w:rsid w:val="00030133"/>
    <w:rsid w:val="0003014E"/>
    <w:rsid w:val="000301CD"/>
    <w:rsid w:val="00030210"/>
    <w:rsid w:val="00030239"/>
    <w:rsid w:val="00030241"/>
    <w:rsid w:val="00030283"/>
    <w:rsid w:val="0003032F"/>
    <w:rsid w:val="000303CC"/>
    <w:rsid w:val="00030432"/>
    <w:rsid w:val="0003043D"/>
    <w:rsid w:val="000304B9"/>
    <w:rsid w:val="00030510"/>
    <w:rsid w:val="0003055E"/>
    <w:rsid w:val="00030588"/>
    <w:rsid w:val="000305C5"/>
    <w:rsid w:val="00030648"/>
    <w:rsid w:val="0003070A"/>
    <w:rsid w:val="00030775"/>
    <w:rsid w:val="0003079B"/>
    <w:rsid w:val="000307AB"/>
    <w:rsid w:val="000307F9"/>
    <w:rsid w:val="00030899"/>
    <w:rsid w:val="000308FC"/>
    <w:rsid w:val="00030902"/>
    <w:rsid w:val="00030922"/>
    <w:rsid w:val="00030926"/>
    <w:rsid w:val="00030990"/>
    <w:rsid w:val="00030A4A"/>
    <w:rsid w:val="00030AB2"/>
    <w:rsid w:val="00030ABF"/>
    <w:rsid w:val="00030B2C"/>
    <w:rsid w:val="00030B68"/>
    <w:rsid w:val="00030DEE"/>
    <w:rsid w:val="00030E27"/>
    <w:rsid w:val="00030F22"/>
    <w:rsid w:val="0003112D"/>
    <w:rsid w:val="00031169"/>
    <w:rsid w:val="00031176"/>
    <w:rsid w:val="0003125F"/>
    <w:rsid w:val="000312AD"/>
    <w:rsid w:val="000312D5"/>
    <w:rsid w:val="000312E2"/>
    <w:rsid w:val="00031337"/>
    <w:rsid w:val="000313A9"/>
    <w:rsid w:val="000313B4"/>
    <w:rsid w:val="000313E0"/>
    <w:rsid w:val="000313FC"/>
    <w:rsid w:val="00031482"/>
    <w:rsid w:val="0003150F"/>
    <w:rsid w:val="000315A2"/>
    <w:rsid w:val="000315BA"/>
    <w:rsid w:val="000315E8"/>
    <w:rsid w:val="000316C6"/>
    <w:rsid w:val="0003181C"/>
    <w:rsid w:val="00031820"/>
    <w:rsid w:val="000318E3"/>
    <w:rsid w:val="00031928"/>
    <w:rsid w:val="000319B5"/>
    <w:rsid w:val="000319E0"/>
    <w:rsid w:val="00031BFC"/>
    <w:rsid w:val="00031C10"/>
    <w:rsid w:val="00031C56"/>
    <w:rsid w:val="00031D20"/>
    <w:rsid w:val="00031D51"/>
    <w:rsid w:val="00031D72"/>
    <w:rsid w:val="00031DB2"/>
    <w:rsid w:val="00031DB7"/>
    <w:rsid w:val="00031DE1"/>
    <w:rsid w:val="00031E2D"/>
    <w:rsid w:val="00031E8A"/>
    <w:rsid w:val="00031E95"/>
    <w:rsid w:val="00031F1E"/>
    <w:rsid w:val="00032016"/>
    <w:rsid w:val="000320ED"/>
    <w:rsid w:val="00032290"/>
    <w:rsid w:val="00032306"/>
    <w:rsid w:val="00032341"/>
    <w:rsid w:val="00032398"/>
    <w:rsid w:val="000323FE"/>
    <w:rsid w:val="00032414"/>
    <w:rsid w:val="000324AD"/>
    <w:rsid w:val="00032512"/>
    <w:rsid w:val="00032516"/>
    <w:rsid w:val="00032542"/>
    <w:rsid w:val="00032595"/>
    <w:rsid w:val="000325D7"/>
    <w:rsid w:val="000325DC"/>
    <w:rsid w:val="000325ED"/>
    <w:rsid w:val="0003262D"/>
    <w:rsid w:val="000327BE"/>
    <w:rsid w:val="000327F8"/>
    <w:rsid w:val="00032845"/>
    <w:rsid w:val="0003284E"/>
    <w:rsid w:val="000328C9"/>
    <w:rsid w:val="000329FF"/>
    <w:rsid w:val="00032A45"/>
    <w:rsid w:val="00032A9E"/>
    <w:rsid w:val="00032AEC"/>
    <w:rsid w:val="00032B08"/>
    <w:rsid w:val="00032B19"/>
    <w:rsid w:val="00032D24"/>
    <w:rsid w:val="00032D6A"/>
    <w:rsid w:val="00032ECC"/>
    <w:rsid w:val="00032EE8"/>
    <w:rsid w:val="00032FE7"/>
    <w:rsid w:val="00033030"/>
    <w:rsid w:val="00033169"/>
    <w:rsid w:val="000331C5"/>
    <w:rsid w:val="000331E3"/>
    <w:rsid w:val="00033256"/>
    <w:rsid w:val="0003327F"/>
    <w:rsid w:val="000332A1"/>
    <w:rsid w:val="000332C6"/>
    <w:rsid w:val="000332D0"/>
    <w:rsid w:val="00033429"/>
    <w:rsid w:val="0003342C"/>
    <w:rsid w:val="00033434"/>
    <w:rsid w:val="0003346F"/>
    <w:rsid w:val="000334AA"/>
    <w:rsid w:val="000334AF"/>
    <w:rsid w:val="00033597"/>
    <w:rsid w:val="000335EE"/>
    <w:rsid w:val="00033642"/>
    <w:rsid w:val="0003367B"/>
    <w:rsid w:val="000336A2"/>
    <w:rsid w:val="000336C0"/>
    <w:rsid w:val="000336FA"/>
    <w:rsid w:val="0003374A"/>
    <w:rsid w:val="0003374E"/>
    <w:rsid w:val="00033837"/>
    <w:rsid w:val="00033841"/>
    <w:rsid w:val="000338A0"/>
    <w:rsid w:val="000338BF"/>
    <w:rsid w:val="00033992"/>
    <w:rsid w:val="000339A5"/>
    <w:rsid w:val="000339BC"/>
    <w:rsid w:val="00033A0C"/>
    <w:rsid w:val="00033A3F"/>
    <w:rsid w:val="00033A7E"/>
    <w:rsid w:val="00033AB1"/>
    <w:rsid w:val="00033B00"/>
    <w:rsid w:val="00033B27"/>
    <w:rsid w:val="00033B6A"/>
    <w:rsid w:val="00033BB6"/>
    <w:rsid w:val="00033BDD"/>
    <w:rsid w:val="00033C99"/>
    <w:rsid w:val="00033CA6"/>
    <w:rsid w:val="00033E02"/>
    <w:rsid w:val="00033EA0"/>
    <w:rsid w:val="00033F1D"/>
    <w:rsid w:val="00033F8A"/>
    <w:rsid w:val="00034006"/>
    <w:rsid w:val="00034076"/>
    <w:rsid w:val="000340A9"/>
    <w:rsid w:val="00034117"/>
    <w:rsid w:val="00034124"/>
    <w:rsid w:val="000341EF"/>
    <w:rsid w:val="0003425C"/>
    <w:rsid w:val="00034294"/>
    <w:rsid w:val="000342A7"/>
    <w:rsid w:val="000342C5"/>
    <w:rsid w:val="000342D6"/>
    <w:rsid w:val="0003436D"/>
    <w:rsid w:val="000343A9"/>
    <w:rsid w:val="000343BD"/>
    <w:rsid w:val="000343C2"/>
    <w:rsid w:val="000343CD"/>
    <w:rsid w:val="000343EE"/>
    <w:rsid w:val="000343F5"/>
    <w:rsid w:val="00034422"/>
    <w:rsid w:val="00034428"/>
    <w:rsid w:val="0003460D"/>
    <w:rsid w:val="00034621"/>
    <w:rsid w:val="00034644"/>
    <w:rsid w:val="00034655"/>
    <w:rsid w:val="000346AA"/>
    <w:rsid w:val="00034727"/>
    <w:rsid w:val="00034735"/>
    <w:rsid w:val="00034853"/>
    <w:rsid w:val="000348EA"/>
    <w:rsid w:val="00034979"/>
    <w:rsid w:val="0003498A"/>
    <w:rsid w:val="00034A48"/>
    <w:rsid w:val="00034A59"/>
    <w:rsid w:val="00034B0E"/>
    <w:rsid w:val="00034B57"/>
    <w:rsid w:val="00034B71"/>
    <w:rsid w:val="00034B7A"/>
    <w:rsid w:val="00034BAE"/>
    <w:rsid w:val="00034BB3"/>
    <w:rsid w:val="00034BFC"/>
    <w:rsid w:val="00034C62"/>
    <w:rsid w:val="00034D76"/>
    <w:rsid w:val="00034E0A"/>
    <w:rsid w:val="00034E90"/>
    <w:rsid w:val="00034ECC"/>
    <w:rsid w:val="00034EF4"/>
    <w:rsid w:val="00034F03"/>
    <w:rsid w:val="00034F5B"/>
    <w:rsid w:val="00034F67"/>
    <w:rsid w:val="00034F7D"/>
    <w:rsid w:val="00034F91"/>
    <w:rsid w:val="00034FCE"/>
    <w:rsid w:val="00035018"/>
    <w:rsid w:val="000351CD"/>
    <w:rsid w:val="00035215"/>
    <w:rsid w:val="0003532F"/>
    <w:rsid w:val="0003533A"/>
    <w:rsid w:val="00035391"/>
    <w:rsid w:val="000353D0"/>
    <w:rsid w:val="00035412"/>
    <w:rsid w:val="0003551E"/>
    <w:rsid w:val="0003553D"/>
    <w:rsid w:val="0003555A"/>
    <w:rsid w:val="00035571"/>
    <w:rsid w:val="0003559C"/>
    <w:rsid w:val="000355A4"/>
    <w:rsid w:val="0003561E"/>
    <w:rsid w:val="000356C3"/>
    <w:rsid w:val="000357B2"/>
    <w:rsid w:val="000357FD"/>
    <w:rsid w:val="00035807"/>
    <w:rsid w:val="0003587A"/>
    <w:rsid w:val="000358D9"/>
    <w:rsid w:val="000358F6"/>
    <w:rsid w:val="00035968"/>
    <w:rsid w:val="000359B3"/>
    <w:rsid w:val="000359E5"/>
    <w:rsid w:val="00035A72"/>
    <w:rsid w:val="00035A91"/>
    <w:rsid w:val="00035AB5"/>
    <w:rsid w:val="00035B23"/>
    <w:rsid w:val="00035BCD"/>
    <w:rsid w:val="00035BFB"/>
    <w:rsid w:val="00035C54"/>
    <w:rsid w:val="00035D16"/>
    <w:rsid w:val="00035D1F"/>
    <w:rsid w:val="00035E35"/>
    <w:rsid w:val="00035E68"/>
    <w:rsid w:val="00035EDD"/>
    <w:rsid w:val="00035F38"/>
    <w:rsid w:val="00035F87"/>
    <w:rsid w:val="00035F90"/>
    <w:rsid w:val="00036046"/>
    <w:rsid w:val="0003607D"/>
    <w:rsid w:val="00036108"/>
    <w:rsid w:val="000361B9"/>
    <w:rsid w:val="00036208"/>
    <w:rsid w:val="00036319"/>
    <w:rsid w:val="00036324"/>
    <w:rsid w:val="0003632E"/>
    <w:rsid w:val="000363F1"/>
    <w:rsid w:val="00036408"/>
    <w:rsid w:val="00036490"/>
    <w:rsid w:val="0003653D"/>
    <w:rsid w:val="0003657A"/>
    <w:rsid w:val="000365EF"/>
    <w:rsid w:val="00036606"/>
    <w:rsid w:val="0003663C"/>
    <w:rsid w:val="00036660"/>
    <w:rsid w:val="00036675"/>
    <w:rsid w:val="0003669D"/>
    <w:rsid w:val="000366C8"/>
    <w:rsid w:val="0003679B"/>
    <w:rsid w:val="000367E0"/>
    <w:rsid w:val="00036889"/>
    <w:rsid w:val="000368F2"/>
    <w:rsid w:val="000368F8"/>
    <w:rsid w:val="00036935"/>
    <w:rsid w:val="0003696E"/>
    <w:rsid w:val="0003698D"/>
    <w:rsid w:val="0003699A"/>
    <w:rsid w:val="000369A1"/>
    <w:rsid w:val="00036BB3"/>
    <w:rsid w:val="00036C1B"/>
    <w:rsid w:val="00036C1E"/>
    <w:rsid w:val="00036C28"/>
    <w:rsid w:val="00036CB6"/>
    <w:rsid w:val="00036D5C"/>
    <w:rsid w:val="00036DEB"/>
    <w:rsid w:val="00036E18"/>
    <w:rsid w:val="00036E9D"/>
    <w:rsid w:val="00036EFB"/>
    <w:rsid w:val="00037023"/>
    <w:rsid w:val="000370ED"/>
    <w:rsid w:val="00037261"/>
    <w:rsid w:val="000373C6"/>
    <w:rsid w:val="0003746A"/>
    <w:rsid w:val="00037497"/>
    <w:rsid w:val="00037513"/>
    <w:rsid w:val="0003763F"/>
    <w:rsid w:val="000376CC"/>
    <w:rsid w:val="000376EE"/>
    <w:rsid w:val="0003776E"/>
    <w:rsid w:val="000377B1"/>
    <w:rsid w:val="000377E5"/>
    <w:rsid w:val="00037819"/>
    <w:rsid w:val="00037828"/>
    <w:rsid w:val="00037974"/>
    <w:rsid w:val="000379CE"/>
    <w:rsid w:val="000379D7"/>
    <w:rsid w:val="00037B46"/>
    <w:rsid w:val="00037B81"/>
    <w:rsid w:val="00037BF0"/>
    <w:rsid w:val="00037C18"/>
    <w:rsid w:val="00037CB3"/>
    <w:rsid w:val="00037CDF"/>
    <w:rsid w:val="00037D85"/>
    <w:rsid w:val="00037DA1"/>
    <w:rsid w:val="00037DA2"/>
    <w:rsid w:val="00037DFF"/>
    <w:rsid w:val="00037E78"/>
    <w:rsid w:val="00037E7D"/>
    <w:rsid w:val="00037E8F"/>
    <w:rsid w:val="00037EB9"/>
    <w:rsid w:val="00037F43"/>
    <w:rsid w:val="0003CF71"/>
    <w:rsid w:val="00040045"/>
    <w:rsid w:val="00040078"/>
    <w:rsid w:val="000400EA"/>
    <w:rsid w:val="00040171"/>
    <w:rsid w:val="000401D9"/>
    <w:rsid w:val="00040220"/>
    <w:rsid w:val="000402A0"/>
    <w:rsid w:val="000402C2"/>
    <w:rsid w:val="00040302"/>
    <w:rsid w:val="0004031B"/>
    <w:rsid w:val="000403B2"/>
    <w:rsid w:val="000403C8"/>
    <w:rsid w:val="0004042E"/>
    <w:rsid w:val="000404E9"/>
    <w:rsid w:val="00040524"/>
    <w:rsid w:val="00040603"/>
    <w:rsid w:val="000406E0"/>
    <w:rsid w:val="00040777"/>
    <w:rsid w:val="00040795"/>
    <w:rsid w:val="000407A9"/>
    <w:rsid w:val="000407DE"/>
    <w:rsid w:val="00040875"/>
    <w:rsid w:val="000408A6"/>
    <w:rsid w:val="000408E9"/>
    <w:rsid w:val="0004095D"/>
    <w:rsid w:val="00040967"/>
    <w:rsid w:val="000409D6"/>
    <w:rsid w:val="00040A65"/>
    <w:rsid w:val="00040A76"/>
    <w:rsid w:val="00040BBD"/>
    <w:rsid w:val="00040C2B"/>
    <w:rsid w:val="00040C6D"/>
    <w:rsid w:val="00040CB3"/>
    <w:rsid w:val="00040D2E"/>
    <w:rsid w:val="00040D64"/>
    <w:rsid w:val="00040DB6"/>
    <w:rsid w:val="00040E17"/>
    <w:rsid w:val="00040F05"/>
    <w:rsid w:val="00040FCA"/>
    <w:rsid w:val="0004104C"/>
    <w:rsid w:val="000410F1"/>
    <w:rsid w:val="00041110"/>
    <w:rsid w:val="00041137"/>
    <w:rsid w:val="0004114E"/>
    <w:rsid w:val="000411A0"/>
    <w:rsid w:val="000411EB"/>
    <w:rsid w:val="000411EE"/>
    <w:rsid w:val="00041305"/>
    <w:rsid w:val="0004136C"/>
    <w:rsid w:val="00041453"/>
    <w:rsid w:val="00041533"/>
    <w:rsid w:val="000415E7"/>
    <w:rsid w:val="0004162B"/>
    <w:rsid w:val="0004168E"/>
    <w:rsid w:val="00041708"/>
    <w:rsid w:val="0004176C"/>
    <w:rsid w:val="0004178F"/>
    <w:rsid w:val="0004182E"/>
    <w:rsid w:val="0004184C"/>
    <w:rsid w:val="00041884"/>
    <w:rsid w:val="00041898"/>
    <w:rsid w:val="00041998"/>
    <w:rsid w:val="000419BA"/>
    <w:rsid w:val="000419EB"/>
    <w:rsid w:val="00041A46"/>
    <w:rsid w:val="00041B3C"/>
    <w:rsid w:val="00041B6C"/>
    <w:rsid w:val="00041C35"/>
    <w:rsid w:val="00041C53"/>
    <w:rsid w:val="00041CE1"/>
    <w:rsid w:val="00041D05"/>
    <w:rsid w:val="00041D47"/>
    <w:rsid w:val="00041E15"/>
    <w:rsid w:val="00041E30"/>
    <w:rsid w:val="00041E9D"/>
    <w:rsid w:val="00041F08"/>
    <w:rsid w:val="00041F15"/>
    <w:rsid w:val="00041F30"/>
    <w:rsid w:val="00041F8E"/>
    <w:rsid w:val="00041F91"/>
    <w:rsid w:val="00041F96"/>
    <w:rsid w:val="0004206D"/>
    <w:rsid w:val="00042238"/>
    <w:rsid w:val="0004227C"/>
    <w:rsid w:val="0004229E"/>
    <w:rsid w:val="00042304"/>
    <w:rsid w:val="00042314"/>
    <w:rsid w:val="000423A3"/>
    <w:rsid w:val="000423B3"/>
    <w:rsid w:val="000423DB"/>
    <w:rsid w:val="000423EC"/>
    <w:rsid w:val="000423F0"/>
    <w:rsid w:val="0004248B"/>
    <w:rsid w:val="000424E9"/>
    <w:rsid w:val="000424FD"/>
    <w:rsid w:val="00042523"/>
    <w:rsid w:val="000425C5"/>
    <w:rsid w:val="00042617"/>
    <w:rsid w:val="00042634"/>
    <w:rsid w:val="0004264D"/>
    <w:rsid w:val="00042699"/>
    <w:rsid w:val="000426D3"/>
    <w:rsid w:val="00042741"/>
    <w:rsid w:val="000427C7"/>
    <w:rsid w:val="00042880"/>
    <w:rsid w:val="00042992"/>
    <w:rsid w:val="00042A40"/>
    <w:rsid w:val="00042ABF"/>
    <w:rsid w:val="00042BA5"/>
    <w:rsid w:val="00042C13"/>
    <w:rsid w:val="00042CF0"/>
    <w:rsid w:val="00042EF6"/>
    <w:rsid w:val="00042F7D"/>
    <w:rsid w:val="00042FA8"/>
    <w:rsid w:val="0004300E"/>
    <w:rsid w:val="0004303F"/>
    <w:rsid w:val="0004306A"/>
    <w:rsid w:val="00043086"/>
    <w:rsid w:val="000430CC"/>
    <w:rsid w:val="000431C9"/>
    <w:rsid w:val="000431DC"/>
    <w:rsid w:val="00043259"/>
    <w:rsid w:val="000432DC"/>
    <w:rsid w:val="0004339B"/>
    <w:rsid w:val="000433B7"/>
    <w:rsid w:val="000433C8"/>
    <w:rsid w:val="00043449"/>
    <w:rsid w:val="0004345C"/>
    <w:rsid w:val="00043465"/>
    <w:rsid w:val="000434E1"/>
    <w:rsid w:val="00043565"/>
    <w:rsid w:val="00043570"/>
    <w:rsid w:val="00043578"/>
    <w:rsid w:val="000436DF"/>
    <w:rsid w:val="00043722"/>
    <w:rsid w:val="0004372A"/>
    <w:rsid w:val="0004377A"/>
    <w:rsid w:val="000437DE"/>
    <w:rsid w:val="00043835"/>
    <w:rsid w:val="000438D5"/>
    <w:rsid w:val="0004395B"/>
    <w:rsid w:val="0004396C"/>
    <w:rsid w:val="00043972"/>
    <w:rsid w:val="0004399B"/>
    <w:rsid w:val="000439B1"/>
    <w:rsid w:val="00043A05"/>
    <w:rsid w:val="00043AFD"/>
    <w:rsid w:val="00043BD6"/>
    <w:rsid w:val="00043DC3"/>
    <w:rsid w:val="00043DF5"/>
    <w:rsid w:val="00043E97"/>
    <w:rsid w:val="00043EDB"/>
    <w:rsid w:val="00043FD6"/>
    <w:rsid w:val="00043FD8"/>
    <w:rsid w:val="000440A7"/>
    <w:rsid w:val="0004411E"/>
    <w:rsid w:val="00044124"/>
    <w:rsid w:val="00044130"/>
    <w:rsid w:val="0004413F"/>
    <w:rsid w:val="0004417D"/>
    <w:rsid w:val="00044185"/>
    <w:rsid w:val="000441D4"/>
    <w:rsid w:val="000441EE"/>
    <w:rsid w:val="000442C6"/>
    <w:rsid w:val="00044364"/>
    <w:rsid w:val="00044371"/>
    <w:rsid w:val="00044408"/>
    <w:rsid w:val="000444E1"/>
    <w:rsid w:val="000444ED"/>
    <w:rsid w:val="00044552"/>
    <w:rsid w:val="0004459A"/>
    <w:rsid w:val="00044636"/>
    <w:rsid w:val="0004464F"/>
    <w:rsid w:val="00044697"/>
    <w:rsid w:val="000446AF"/>
    <w:rsid w:val="000446BA"/>
    <w:rsid w:val="0004473A"/>
    <w:rsid w:val="000447C7"/>
    <w:rsid w:val="00044810"/>
    <w:rsid w:val="00044854"/>
    <w:rsid w:val="0004488A"/>
    <w:rsid w:val="000448F2"/>
    <w:rsid w:val="0004495B"/>
    <w:rsid w:val="000449B3"/>
    <w:rsid w:val="000449BC"/>
    <w:rsid w:val="000449E6"/>
    <w:rsid w:val="00044A36"/>
    <w:rsid w:val="00044A41"/>
    <w:rsid w:val="00044ABA"/>
    <w:rsid w:val="00044AEE"/>
    <w:rsid w:val="00044AF0"/>
    <w:rsid w:val="00044C22"/>
    <w:rsid w:val="00044CB1"/>
    <w:rsid w:val="00044D92"/>
    <w:rsid w:val="00044D97"/>
    <w:rsid w:val="00044DC7"/>
    <w:rsid w:val="00044E66"/>
    <w:rsid w:val="00044EC8"/>
    <w:rsid w:val="00044EFB"/>
    <w:rsid w:val="00044FC9"/>
    <w:rsid w:val="00045030"/>
    <w:rsid w:val="00045060"/>
    <w:rsid w:val="00045075"/>
    <w:rsid w:val="0004508F"/>
    <w:rsid w:val="000450F6"/>
    <w:rsid w:val="000450FE"/>
    <w:rsid w:val="00045119"/>
    <w:rsid w:val="0004512F"/>
    <w:rsid w:val="0004516E"/>
    <w:rsid w:val="0004518A"/>
    <w:rsid w:val="000451F9"/>
    <w:rsid w:val="0004523A"/>
    <w:rsid w:val="00045252"/>
    <w:rsid w:val="0004529C"/>
    <w:rsid w:val="000452E1"/>
    <w:rsid w:val="0004534C"/>
    <w:rsid w:val="0004541B"/>
    <w:rsid w:val="0004552E"/>
    <w:rsid w:val="000455F7"/>
    <w:rsid w:val="0004563E"/>
    <w:rsid w:val="000456E2"/>
    <w:rsid w:val="0004579D"/>
    <w:rsid w:val="000457B0"/>
    <w:rsid w:val="0004584F"/>
    <w:rsid w:val="00045878"/>
    <w:rsid w:val="00045895"/>
    <w:rsid w:val="000458E5"/>
    <w:rsid w:val="0004595E"/>
    <w:rsid w:val="00045A43"/>
    <w:rsid w:val="00045B19"/>
    <w:rsid w:val="00045BEA"/>
    <w:rsid w:val="00045BFF"/>
    <w:rsid w:val="00045C3B"/>
    <w:rsid w:val="00045C9D"/>
    <w:rsid w:val="00045DA7"/>
    <w:rsid w:val="00045EB4"/>
    <w:rsid w:val="00045F24"/>
    <w:rsid w:val="00045F67"/>
    <w:rsid w:val="00046037"/>
    <w:rsid w:val="0004604D"/>
    <w:rsid w:val="000461D2"/>
    <w:rsid w:val="000461EB"/>
    <w:rsid w:val="00046204"/>
    <w:rsid w:val="00046259"/>
    <w:rsid w:val="000462D1"/>
    <w:rsid w:val="00046311"/>
    <w:rsid w:val="00046372"/>
    <w:rsid w:val="00046464"/>
    <w:rsid w:val="0004652C"/>
    <w:rsid w:val="00046577"/>
    <w:rsid w:val="000466D3"/>
    <w:rsid w:val="00046725"/>
    <w:rsid w:val="0004681E"/>
    <w:rsid w:val="0004685A"/>
    <w:rsid w:val="00046885"/>
    <w:rsid w:val="000468AE"/>
    <w:rsid w:val="000468B9"/>
    <w:rsid w:val="000468D6"/>
    <w:rsid w:val="000468F3"/>
    <w:rsid w:val="000468F6"/>
    <w:rsid w:val="0004693D"/>
    <w:rsid w:val="00046957"/>
    <w:rsid w:val="00046958"/>
    <w:rsid w:val="00046A1C"/>
    <w:rsid w:val="00046A46"/>
    <w:rsid w:val="00046A67"/>
    <w:rsid w:val="00046AC6"/>
    <w:rsid w:val="00046AFC"/>
    <w:rsid w:val="00046B78"/>
    <w:rsid w:val="00046BB7"/>
    <w:rsid w:val="00046BD1"/>
    <w:rsid w:val="00046BF1"/>
    <w:rsid w:val="00046CAA"/>
    <w:rsid w:val="00046D14"/>
    <w:rsid w:val="00046D6B"/>
    <w:rsid w:val="00046DAC"/>
    <w:rsid w:val="00046DB9"/>
    <w:rsid w:val="00046E3C"/>
    <w:rsid w:val="00046EF0"/>
    <w:rsid w:val="00046F0C"/>
    <w:rsid w:val="000470C3"/>
    <w:rsid w:val="00047136"/>
    <w:rsid w:val="0004716A"/>
    <w:rsid w:val="0004724D"/>
    <w:rsid w:val="00047263"/>
    <w:rsid w:val="00047286"/>
    <w:rsid w:val="0004736A"/>
    <w:rsid w:val="0004739B"/>
    <w:rsid w:val="0004747A"/>
    <w:rsid w:val="00047527"/>
    <w:rsid w:val="000475C1"/>
    <w:rsid w:val="000475FE"/>
    <w:rsid w:val="00047630"/>
    <w:rsid w:val="00047646"/>
    <w:rsid w:val="0004766A"/>
    <w:rsid w:val="00047687"/>
    <w:rsid w:val="000477E4"/>
    <w:rsid w:val="0004783E"/>
    <w:rsid w:val="0004784C"/>
    <w:rsid w:val="00047901"/>
    <w:rsid w:val="000479C9"/>
    <w:rsid w:val="00047A1C"/>
    <w:rsid w:val="00047A78"/>
    <w:rsid w:val="00047ABA"/>
    <w:rsid w:val="00047AEF"/>
    <w:rsid w:val="00047BF7"/>
    <w:rsid w:val="00047C47"/>
    <w:rsid w:val="00047C88"/>
    <w:rsid w:val="00047CBF"/>
    <w:rsid w:val="00047CEC"/>
    <w:rsid w:val="00047D71"/>
    <w:rsid w:val="00047DBF"/>
    <w:rsid w:val="00047E6A"/>
    <w:rsid w:val="00047E8D"/>
    <w:rsid w:val="00047F23"/>
    <w:rsid w:val="00047FAF"/>
    <w:rsid w:val="00050038"/>
    <w:rsid w:val="00050212"/>
    <w:rsid w:val="00050271"/>
    <w:rsid w:val="000502CA"/>
    <w:rsid w:val="00050340"/>
    <w:rsid w:val="00050378"/>
    <w:rsid w:val="000503BA"/>
    <w:rsid w:val="000503D7"/>
    <w:rsid w:val="000503E5"/>
    <w:rsid w:val="00050558"/>
    <w:rsid w:val="0005074A"/>
    <w:rsid w:val="000507BA"/>
    <w:rsid w:val="000507D0"/>
    <w:rsid w:val="0005088D"/>
    <w:rsid w:val="000508A9"/>
    <w:rsid w:val="000508F2"/>
    <w:rsid w:val="0005094B"/>
    <w:rsid w:val="00050956"/>
    <w:rsid w:val="0005096D"/>
    <w:rsid w:val="0005098C"/>
    <w:rsid w:val="000509D9"/>
    <w:rsid w:val="000509EB"/>
    <w:rsid w:val="00050A00"/>
    <w:rsid w:val="00050B6F"/>
    <w:rsid w:val="00050B87"/>
    <w:rsid w:val="00050C65"/>
    <w:rsid w:val="00050CC7"/>
    <w:rsid w:val="00050E05"/>
    <w:rsid w:val="00050E9C"/>
    <w:rsid w:val="00050F1B"/>
    <w:rsid w:val="00050F3C"/>
    <w:rsid w:val="00050F3E"/>
    <w:rsid w:val="00051010"/>
    <w:rsid w:val="00051077"/>
    <w:rsid w:val="0005109C"/>
    <w:rsid w:val="000510E4"/>
    <w:rsid w:val="00051143"/>
    <w:rsid w:val="00051201"/>
    <w:rsid w:val="00051218"/>
    <w:rsid w:val="0005126E"/>
    <w:rsid w:val="00051337"/>
    <w:rsid w:val="00051370"/>
    <w:rsid w:val="00051426"/>
    <w:rsid w:val="00051455"/>
    <w:rsid w:val="00051486"/>
    <w:rsid w:val="000514CF"/>
    <w:rsid w:val="000514FC"/>
    <w:rsid w:val="00051655"/>
    <w:rsid w:val="00051668"/>
    <w:rsid w:val="0005168C"/>
    <w:rsid w:val="000516A6"/>
    <w:rsid w:val="000516C5"/>
    <w:rsid w:val="00051714"/>
    <w:rsid w:val="00051745"/>
    <w:rsid w:val="00051771"/>
    <w:rsid w:val="00051844"/>
    <w:rsid w:val="000518BE"/>
    <w:rsid w:val="00051966"/>
    <w:rsid w:val="000519AF"/>
    <w:rsid w:val="000519DD"/>
    <w:rsid w:val="00051B7C"/>
    <w:rsid w:val="00051C47"/>
    <w:rsid w:val="00051CAE"/>
    <w:rsid w:val="00051DBE"/>
    <w:rsid w:val="00051DCD"/>
    <w:rsid w:val="00051DD6"/>
    <w:rsid w:val="00051DF6"/>
    <w:rsid w:val="00051E0D"/>
    <w:rsid w:val="00051EA7"/>
    <w:rsid w:val="00051ED3"/>
    <w:rsid w:val="00051EF3"/>
    <w:rsid w:val="00051EFD"/>
    <w:rsid w:val="00052002"/>
    <w:rsid w:val="00052004"/>
    <w:rsid w:val="000520D8"/>
    <w:rsid w:val="00052112"/>
    <w:rsid w:val="0005218B"/>
    <w:rsid w:val="0005219B"/>
    <w:rsid w:val="000521CA"/>
    <w:rsid w:val="00052303"/>
    <w:rsid w:val="00052344"/>
    <w:rsid w:val="00052351"/>
    <w:rsid w:val="00052399"/>
    <w:rsid w:val="000523F5"/>
    <w:rsid w:val="00052407"/>
    <w:rsid w:val="0005245B"/>
    <w:rsid w:val="0005246A"/>
    <w:rsid w:val="000524AE"/>
    <w:rsid w:val="00052540"/>
    <w:rsid w:val="00052664"/>
    <w:rsid w:val="000527AB"/>
    <w:rsid w:val="000527CB"/>
    <w:rsid w:val="00052812"/>
    <w:rsid w:val="00052886"/>
    <w:rsid w:val="000528A8"/>
    <w:rsid w:val="0005298D"/>
    <w:rsid w:val="000529F7"/>
    <w:rsid w:val="00052A15"/>
    <w:rsid w:val="00052BA3"/>
    <w:rsid w:val="00052C35"/>
    <w:rsid w:val="00052C5B"/>
    <w:rsid w:val="00052D21"/>
    <w:rsid w:val="00052D37"/>
    <w:rsid w:val="00052DFB"/>
    <w:rsid w:val="00052E59"/>
    <w:rsid w:val="00052F03"/>
    <w:rsid w:val="00052F74"/>
    <w:rsid w:val="00052F9F"/>
    <w:rsid w:val="0005308F"/>
    <w:rsid w:val="00053146"/>
    <w:rsid w:val="0005315A"/>
    <w:rsid w:val="0005326E"/>
    <w:rsid w:val="000532A2"/>
    <w:rsid w:val="000532A3"/>
    <w:rsid w:val="000532C6"/>
    <w:rsid w:val="000532E7"/>
    <w:rsid w:val="0005331B"/>
    <w:rsid w:val="0005338A"/>
    <w:rsid w:val="00053461"/>
    <w:rsid w:val="00053537"/>
    <w:rsid w:val="00053610"/>
    <w:rsid w:val="00053656"/>
    <w:rsid w:val="000536DB"/>
    <w:rsid w:val="0005379C"/>
    <w:rsid w:val="000538A3"/>
    <w:rsid w:val="000538FD"/>
    <w:rsid w:val="00053902"/>
    <w:rsid w:val="00053920"/>
    <w:rsid w:val="00053921"/>
    <w:rsid w:val="00053962"/>
    <w:rsid w:val="000539AB"/>
    <w:rsid w:val="000539C7"/>
    <w:rsid w:val="00053A40"/>
    <w:rsid w:val="00053B88"/>
    <w:rsid w:val="00053C65"/>
    <w:rsid w:val="00053C96"/>
    <w:rsid w:val="00053CC7"/>
    <w:rsid w:val="00053CEB"/>
    <w:rsid w:val="00053D1F"/>
    <w:rsid w:val="00053E26"/>
    <w:rsid w:val="00053E32"/>
    <w:rsid w:val="00053F80"/>
    <w:rsid w:val="00053F8D"/>
    <w:rsid w:val="00053FAB"/>
    <w:rsid w:val="00053FE4"/>
    <w:rsid w:val="00054031"/>
    <w:rsid w:val="00054045"/>
    <w:rsid w:val="00054080"/>
    <w:rsid w:val="000540AF"/>
    <w:rsid w:val="00054126"/>
    <w:rsid w:val="000541DA"/>
    <w:rsid w:val="00054230"/>
    <w:rsid w:val="00054264"/>
    <w:rsid w:val="0005428D"/>
    <w:rsid w:val="000542C8"/>
    <w:rsid w:val="000542F8"/>
    <w:rsid w:val="0005430A"/>
    <w:rsid w:val="000543AA"/>
    <w:rsid w:val="000543CB"/>
    <w:rsid w:val="00054434"/>
    <w:rsid w:val="00054471"/>
    <w:rsid w:val="00054498"/>
    <w:rsid w:val="0005455C"/>
    <w:rsid w:val="00054604"/>
    <w:rsid w:val="00054619"/>
    <w:rsid w:val="0005464F"/>
    <w:rsid w:val="000546B7"/>
    <w:rsid w:val="00054791"/>
    <w:rsid w:val="000547A8"/>
    <w:rsid w:val="000547CA"/>
    <w:rsid w:val="00054827"/>
    <w:rsid w:val="000548AD"/>
    <w:rsid w:val="000548D7"/>
    <w:rsid w:val="000548EB"/>
    <w:rsid w:val="000549A0"/>
    <w:rsid w:val="00054A3C"/>
    <w:rsid w:val="00054A58"/>
    <w:rsid w:val="00054A90"/>
    <w:rsid w:val="00054A9E"/>
    <w:rsid w:val="00054ADE"/>
    <w:rsid w:val="00054B20"/>
    <w:rsid w:val="00054BD6"/>
    <w:rsid w:val="00054C7F"/>
    <w:rsid w:val="00054C93"/>
    <w:rsid w:val="00054C94"/>
    <w:rsid w:val="00054D9F"/>
    <w:rsid w:val="00054E01"/>
    <w:rsid w:val="00054E8E"/>
    <w:rsid w:val="00054F60"/>
    <w:rsid w:val="00054F7A"/>
    <w:rsid w:val="00054FED"/>
    <w:rsid w:val="000550F0"/>
    <w:rsid w:val="0005513B"/>
    <w:rsid w:val="0005513C"/>
    <w:rsid w:val="0005513D"/>
    <w:rsid w:val="0005519C"/>
    <w:rsid w:val="0005524A"/>
    <w:rsid w:val="00055260"/>
    <w:rsid w:val="0005531D"/>
    <w:rsid w:val="00055348"/>
    <w:rsid w:val="000553BE"/>
    <w:rsid w:val="00055421"/>
    <w:rsid w:val="00055473"/>
    <w:rsid w:val="00055497"/>
    <w:rsid w:val="000554A7"/>
    <w:rsid w:val="000554B1"/>
    <w:rsid w:val="00055535"/>
    <w:rsid w:val="000555A6"/>
    <w:rsid w:val="000555BD"/>
    <w:rsid w:val="0005574D"/>
    <w:rsid w:val="00055771"/>
    <w:rsid w:val="00055834"/>
    <w:rsid w:val="00055A51"/>
    <w:rsid w:val="00055A84"/>
    <w:rsid w:val="00055B27"/>
    <w:rsid w:val="00055C81"/>
    <w:rsid w:val="00055C98"/>
    <w:rsid w:val="00055CC7"/>
    <w:rsid w:val="00055CE8"/>
    <w:rsid w:val="00055DF6"/>
    <w:rsid w:val="00055DFF"/>
    <w:rsid w:val="00055E6E"/>
    <w:rsid w:val="00055ED7"/>
    <w:rsid w:val="00055EE3"/>
    <w:rsid w:val="00055F31"/>
    <w:rsid w:val="00055F52"/>
    <w:rsid w:val="00055FCA"/>
    <w:rsid w:val="00055FFA"/>
    <w:rsid w:val="00056014"/>
    <w:rsid w:val="00056038"/>
    <w:rsid w:val="000560A0"/>
    <w:rsid w:val="00056144"/>
    <w:rsid w:val="000561DE"/>
    <w:rsid w:val="00056206"/>
    <w:rsid w:val="00056284"/>
    <w:rsid w:val="00056302"/>
    <w:rsid w:val="000563CB"/>
    <w:rsid w:val="0005657A"/>
    <w:rsid w:val="00056597"/>
    <w:rsid w:val="000565F9"/>
    <w:rsid w:val="00056667"/>
    <w:rsid w:val="000567BD"/>
    <w:rsid w:val="000567F1"/>
    <w:rsid w:val="00056833"/>
    <w:rsid w:val="00056871"/>
    <w:rsid w:val="000568E6"/>
    <w:rsid w:val="000569C7"/>
    <w:rsid w:val="000569C8"/>
    <w:rsid w:val="00056A15"/>
    <w:rsid w:val="00056A40"/>
    <w:rsid w:val="00056A6E"/>
    <w:rsid w:val="00056A98"/>
    <w:rsid w:val="00056AB5"/>
    <w:rsid w:val="00056B19"/>
    <w:rsid w:val="00056B77"/>
    <w:rsid w:val="00056CE2"/>
    <w:rsid w:val="00056D6C"/>
    <w:rsid w:val="00056DEB"/>
    <w:rsid w:val="00056DFF"/>
    <w:rsid w:val="00056EEE"/>
    <w:rsid w:val="00056F27"/>
    <w:rsid w:val="00056F28"/>
    <w:rsid w:val="00056FB4"/>
    <w:rsid w:val="000570F5"/>
    <w:rsid w:val="00057116"/>
    <w:rsid w:val="0005711E"/>
    <w:rsid w:val="000571C6"/>
    <w:rsid w:val="000571F0"/>
    <w:rsid w:val="000572FF"/>
    <w:rsid w:val="0005731E"/>
    <w:rsid w:val="0005734D"/>
    <w:rsid w:val="00057385"/>
    <w:rsid w:val="000573C6"/>
    <w:rsid w:val="000573E7"/>
    <w:rsid w:val="0005740D"/>
    <w:rsid w:val="000574C2"/>
    <w:rsid w:val="0005750F"/>
    <w:rsid w:val="00057566"/>
    <w:rsid w:val="000575D1"/>
    <w:rsid w:val="0005766D"/>
    <w:rsid w:val="000576FD"/>
    <w:rsid w:val="00057775"/>
    <w:rsid w:val="000577A5"/>
    <w:rsid w:val="000577D9"/>
    <w:rsid w:val="000577E4"/>
    <w:rsid w:val="00057826"/>
    <w:rsid w:val="00057832"/>
    <w:rsid w:val="0005789E"/>
    <w:rsid w:val="000578AB"/>
    <w:rsid w:val="000578CD"/>
    <w:rsid w:val="00057AC1"/>
    <w:rsid w:val="00057AF2"/>
    <w:rsid w:val="00057B3C"/>
    <w:rsid w:val="00057C48"/>
    <w:rsid w:val="00057C58"/>
    <w:rsid w:val="00057D37"/>
    <w:rsid w:val="00057E2D"/>
    <w:rsid w:val="00057E2F"/>
    <w:rsid w:val="00057F4B"/>
    <w:rsid w:val="00060014"/>
    <w:rsid w:val="00060044"/>
    <w:rsid w:val="0006009D"/>
    <w:rsid w:val="000601B7"/>
    <w:rsid w:val="0006021C"/>
    <w:rsid w:val="00060238"/>
    <w:rsid w:val="0006038E"/>
    <w:rsid w:val="000603EE"/>
    <w:rsid w:val="000603F4"/>
    <w:rsid w:val="00060410"/>
    <w:rsid w:val="000604C2"/>
    <w:rsid w:val="000605DB"/>
    <w:rsid w:val="000605EE"/>
    <w:rsid w:val="000605FE"/>
    <w:rsid w:val="0006062E"/>
    <w:rsid w:val="0006065F"/>
    <w:rsid w:val="0006068E"/>
    <w:rsid w:val="00060713"/>
    <w:rsid w:val="0006076F"/>
    <w:rsid w:val="0006079F"/>
    <w:rsid w:val="000607B3"/>
    <w:rsid w:val="000607BB"/>
    <w:rsid w:val="000607F1"/>
    <w:rsid w:val="00060865"/>
    <w:rsid w:val="0006096C"/>
    <w:rsid w:val="000609C0"/>
    <w:rsid w:val="00060AE3"/>
    <w:rsid w:val="00060BA6"/>
    <w:rsid w:val="00060BB8"/>
    <w:rsid w:val="00060C6D"/>
    <w:rsid w:val="00060CE5"/>
    <w:rsid w:val="00060D03"/>
    <w:rsid w:val="00060D69"/>
    <w:rsid w:val="00060DB7"/>
    <w:rsid w:val="00060E4E"/>
    <w:rsid w:val="00060EA3"/>
    <w:rsid w:val="00060F47"/>
    <w:rsid w:val="00060F60"/>
    <w:rsid w:val="00060F9E"/>
    <w:rsid w:val="00060FE7"/>
    <w:rsid w:val="00061044"/>
    <w:rsid w:val="000610EA"/>
    <w:rsid w:val="0006116D"/>
    <w:rsid w:val="000611E2"/>
    <w:rsid w:val="0006126E"/>
    <w:rsid w:val="00061329"/>
    <w:rsid w:val="00061395"/>
    <w:rsid w:val="0006147E"/>
    <w:rsid w:val="000614E9"/>
    <w:rsid w:val="0006156A"/>
    <w:rsid w:val="000616F2"/>
    <w:rsid w:val="000617D0"/>
    <w:rsid w:val="000617FA"/>
    <w:rsid w:val="00061834"/>
    <w:rsid w:val="00061853"/>
    <w:rsid w:val="0006185F"/>
    <w:rsid w:val="000618E7"/>
    <w:rsid w:val="000618E9"/>
    <w:rsid w:val="00061907"/>
    <w:rsid w:val="00061919"/>
    <w:rsid w:val="00061968"/>
    <w:rsid w:val="00061A44"/>
    <w:rsid w:val="00061A75"/>
    <w:rsid w:val="00061B70"/>
    <w:rsid w:val="00061BB5"/>
    <w:rsid w:val="00061D36"/>
    <w:rsid w:val="00061DA0"/>
    <w:rsid w:val="00061DB6"/>
    <w:rsid w:val="00061E47"/>
    <w:rsid w:val="00061E9A"/>
    <w:rsid w:val="00061EEA"/>
    <w:rsid w:val="00061F36"/>
    <w:rsid w:val="00061F9D"/>
    <w:rsid w:val="00061FCC"/>
    <w:rsid w:val="0006205A"/>
    <w:rsid w:val="0006205C"/>
    <w:rsid w:val="000620B1"/>
    <w:rsid w:val="000620D1"/>
    <w:rsid w:val="000620EA"/>
    <w:rsid w:val="000622A2"/>
    <w:rsid w:val="000622F4"/>
    <w:rsid w:val="0006231A"/>
    <w:rsid w:val="00062324"/>
    <w:rsid w:val="0006232B"/>
    <w:rsid w:val="000623B1"/>
    <w:rsid w:val="000623FC"/>
    <w:rsid w:val="0006244C"/>
    <w:rsid w:val="000624B8"/>
    <w:rsid w:val="000624DD"/>
    <w:rsid w:val="000625EF"/>
    <w:rsid w:val="0006265D"/>
    <w:rsid w:val="00062688"/>
    <w:rsid w:val="0006268E"/>
    <w:rsid w:val="000626BF"/>
    <w:rsid w:val="000626E5"/>
    <w:rsid w:val="0006271F"/>
    <w:rsid w:val="00062726"/>
    <w:rsid w:val="00062754"/>
    <w:rsid w:val="00062838"/>
    <w:rsid w:val="00062849"/>
    <w:rsid w:val="0006291C"/>
    <w:rsid w:val="00062A3C"/>
    <w:rsid w:val="00062A4E"/>
    <w:rsid w:val="00062A7E"/>
    <w:rsid w:val="00062B56"/>
    <w:rsid w:val="00062B71"/>
    <w:rsid w:val="00062BE7"/>
    <w:rsid w:val="00062D76"/>
    <w:rsid w:val="00062D87"/>
    <w:rsid w:val="00062DFD"/>
    <w:rsid w:val="00062EC1"/>
    <w:rsid w:val="00062EE8"/>
    <w:rsid w:val="00062F33"/>
    <w:rsid w:val="00062F6F"/>
    <w:rsid w:val="00063140"/>
    <w:rsid w:val="00063244"/>
    <w:rsid w:val="0006324C"/>
    <w:rsid w:val="0006336D"/>
    <w:rsid w:val="0006341A"/>
    <w:rsid w:val="00063443"/>
    <w:rsid w:val="000634DC"/>
    <w:rsid w:val="000635ED"/>
    <w:rsid w:val="00063626"/>
    <w:rsid w:val="00063790"/>
    <w:rsid w:val="000637F7"/>
    <w:rsid w:val="000638DC"/>
    <w:rsid w:val="00063917"/>
    <w:rsid w:val="0006393F"/>
    <w:rsid w:val="000639C0"/>
    <w:rsid w:val="000639C2"/>
    <w:rsid w:val="00063A1A"/>
    <w:rsid w:val="00063A1F"/>
    <w:rsid w:val="00063A8E"/>
    <w:rsid w:val="00063BB1"/>
    <w:rsid w:val="00063C56"/>
    <w:rsid w:val="00063C6F"/>
    <w:rsid w:val="00063D25"/>
    <w:rsid w:val="00063D79"/>
    <w:rsid w:val="00063DDD"/>
    <w:rsid w:val="00063E37"/>
    <w:rsid w:val="00063E79"/>
    <w:rsid w:val="00063E91"/>
    <w:rsid w:val="00063F23"/>
    <w:rsid w:val="00063F4C"/>
    <w:rsid w:val="00063F9C"/>
    <w:rsid w:val="000640B9"/>
    <w:rsid w:val="000640E6"/>
    <w:rsid w:val="00064104"/>
    <w:rsid w:val="000641AF"/>
    <w:rsid w:val="0006420B"/>
    <w:rsid w:val="00064297"/>
    <w:rsid w:val="000642A1"/>
    <w:rsid w:val="000642C9"/>
    <w:rsid w:val="0006431C"/>
    <w:rsid w:val="00064382"/>
    <w:rsid w:val="000643EC"/>
    <w:rsid w:val="0006449D"/>
    <w:rsid w:val="00064577"/>
    <w:rsid w:val="00064627"/>
    <w:rsid w:val="0006465C"/>
    <w:rsid w:val="0006469F"/>
    <w:rsid w:val="000646E1"/>
    <w:rsid w:val="0006470F"/>
    <w:rsid w:val="0006488C"/>
    <w:rsid w:val="000648FB"/>
    <w:rsid w:val="000649CA"/>
    <w:rsid w:val="000649D3"/>
    <w:rsid w:val="00064A3F"/>
    <w:rsid w:val="00064A96"/>
    <w:rsid w:val="00064B0C"/>
    <w:rsid w:val="00064B5A"/>
    <w:rsid w:val="00064C22"/>
    <w:rsid w:val="00064CB7"/>
    <w:rsid w:val="00064CD2"/>
    <w:rsid w:val="00064D04"/>
    <w:rsid w:val="00064EA4"/>
    <w:rsid w:val="00064EB0"/>
    <w:rsid w:val="00064EB4"/>
    <w:rsid w:val="00064EC4"/>
    <w:rsid w:val="00064EF9"/>
    <w:rsid w:val="00065009"/>
    <w:rsid w:val="00065167"/>
    <w:rsid w:val="0006521F"/>
    <w:rsid w:val="00065220"/>
    <w:rsid w:val="0006524F"/>
    <w:rsid w:val="000652E0"/>
    <w:rsid w:val="000652EF"/>
    <w:rsid w:val="0006539E"/>
    <w:rsid w:val="00065416"/>
    <w:rsid w:val="0006545C"/>
    <w:rsid w:val="0006548C"/>
    <w:rsid w:val="000654F5"/>
    <w:rsid w:val="00065504"/>
    <w:rsid w:val="00065558"/>
    <w:rsid w:val="000655A0"/>
    <w:rsid w:val="00065671"/>
    <w:rsid w:val="000656E6"/>
    <w:rsid w:val="0006571D"/>
    <w:rsid w:val="0006572B"/>
    <w:rsid w:val="00065743"/>
    <w:rsid w:val="0006579B"/>
    <w:rsid w:val="00065896"/>
    <w:rsid w:val="00065922"/>
    <w:rsid w:val="000659E9"/>
    <w:rsid w:val="00065A4D"/>
    <w:rsid w:val="00065AF0"/>
    <w:rsid w:val="00065B15"/>
    <w:rsid w:val="00065CB2"/>
    <w:rsid w:val="00065CD1"/>
    <w:rsid w:val="00065D60"/>
    <w:rsid w:val="00065E4A"/>
    <w:rsid w:val="00065E90"/>
    <w:rsid w:val="00065F46"/>
    <w:rsid w:val="00066010"/>
    <w:rsid w:val="00066054"/>
    <w:rsid w:val="0006606C"/>
    <w:rsid w:val="000660A1"/>
    <w:rsid w:val="0006612F"/>
    <w:rsid w:val="0006616F"/>
    <w:rsid w:val="00066269"/>
    <w:rsid w:val="00066311"/>
    <w:rsid w:val="00066453"/>
    <w:rsid w:val="000664A5"/>
    <w:rsid w:val="000664CA"/>
    <w:rsid w:val="000664E0"/>
    <w:rsid w:val="00066517"/>
    <w:rsid w:val="0006655A"/>
    <w:rsid w:val="00066567"/>
    <w:rsid w:val="0006661D"/>
    <w:rsid w:val="00066710"/>
    <w:rsid w:val="00066746"/>
    <w:rsid w:val="0006675C"/>
    <w:rsid w:val="0006675F"/>
    <w:rsid w:val="0006677F"/>
    <w:rsid w:val="00066783"/>
    <w:rsid w:val="000667F1"/>
    <w:rsid w:val="00066827"/>
    <w:rsid w:val="00066847"/>
    <w:rsid w:val="000668AF"/>
    <w:rsid w:val="00066975"/>
    <w:rsid w:val="000669DD"/>
    <w:rsid w:val="000669E1"/>
    <w:rsid w:val="00066A0C"/>
    <w:rsid w:val="00066A19"/>
    <w:rsid w:val="00066A82"/>
    <w:rsid w:val="00066AEA"/>
    <w:rsid w:val="00066B30"/>
    <w:rsid w:val="00066B7B"/>
    <w:rsid w:val="00066BE4"/>
    <w:rsid w:val="00066C6C"/>
    <w:rsid w:val="00066CFF"/>
    <w:rsid w:val="00066D03"/>
    <w:rsid w:val="00066D35"/>
    <w:rsid w:val="00066DFC"/>
    <w:rsid w:val="00066E3C"/>
    <w:rsid w:val="00066E80"/>
    <w:rsid w:val="00066E91"/>
    <w:rsid w:val="00066F1E"/>
    <w:rsid w:val="00066F47"/>
    <w:rsid w:val="00066F5C"/>
    <w:rsid w:val="00066FBF"/>
    <w:rsid w:val="0006705B"/>
    <w:rsid w:val="00067088"/>
    <w:rsid w:val="00067111"/>
    <w:rsid w:val="00067180"/>
    <w:rsid w:val="00067244"/>
    <w:rsid w:val="0006733E"/>
    <w:rsid w:val="0006735D"/>
    <w:rsid w:val="0006746B"/>
    <w:rsid w:val="000674A8"/>
    <w:rsid w:val="000674C4"/>
    <w:rsid w:val="00067551"/>
    <w:rsid w:val="00067567"/>
    <w:rsid w:val="0006766D"/>
    <w:rsid w:val="000676BE"/>
    <w:rsid w:val="000676E8"/>
    <w:rsid w:val="000677C7"/>
    <w:rsid w:val="000677FF"/>
    <w:rsid w:val="00067849"/>
    <w:rsid w:val="0006786E"/>
    <w:rsid w:val="0006787C"/>
    <w:rsid w:val="000678BE"/>
    <w:rsid w:val="000678E7"/>
    <w:rsid w:val="00067985"/>
    <w:rsid w:val="0006799F"/>
    <w:rsid w:val="00067A1B"/>
    <w:rsid w:val="00067A26"/>
    <w:rsid w:val="00067A54"/>
    <w:rsid w:val="00067B86"/>
    <w:rsid w:val="00067C15"/>
    <w:rsid w:val="00067CC2"/>
    <w:rsid w:val="00067CD5"/>
    <w:rsid w:val="00067CF2"/>
    <w:rsid w:val="00067DCA"/>
    <w:rsid w:val="00067E10"/>
    <w:rsid w:val="00067E5D"/>
    <w:rsid w:val="00067E71"/>
    <w:rsid w:val="00067EBD"/>
    <w:rsid w:val="00067ECA"/>
    <w:rsid w:val="00067EE8"/>
    <w:rsid w:val="00067F31"/>
    <w:rsid w:val="000701B4"/>
    <w:rsid w:val="000702AB"/>
    <w:rsid w:val="000702EC"/>
    <w:rsid w:val="000702F5"/>
    <w:rsid w:val="00070316"/>
    <w:rsid w:val="0007031A"/>
    <w:rsid w:val="0007035B"/>
    <w:rsid w:val="00070409"/>
    <w:rsid w:val="0007048E"/>
    <w:rsid w:val="00070495"/>
    <w:rsid w:val="000704FE"/>
    <w:rsid w:val="000704FF"/>
    <w:rsid w:val="0007053E"/>
    <w:rsid w:val="00070594"/>
    <w:rsid w:val="000705A6"/>
    <w:rsid w:val="000705C6"/>
    <w:rsid w:val="000705EA"/>
    <w:rsid w:val="0007062A"/>
    <w:rsid w:val="000706DA"/>
    <w:rsid w:val="0007070F"/>
    <w:rsid w:val="00070769"/>
    <w:rsid w:val="000707EF"/>
    <w:rsid w:val="000707F8"/>
    <w:rsid w:val="00070863"/>
    <w:rsid w:val="000708B3"/>
    <w:rsid w:val="000708B7"/>
    <w:rsid w:val="00070928"/>
    <w:rsid w:val="00070945"/>
    <w:rsid w:val="0007098F"/>
    <w:rsid w:val="000709FC"/>
    <w:rsid w:val="00070A1B"/>
    <w:rsid w:val="00070A60"/>
    <w:rsid w:val="00070C2D"/>
    <w:rsid w:val="00070C5E"/>
    <w:rsid w:val="00070C99"/>
    <w:rsid w:val="00070CB2"/>
    <w:rsid w:val="00070CBA"/>
    <w:rsid w:val="00070CE9"/>
    <w:rsid w:val="00070CEB"/>
    <w:rsid w:val="00070CF3"/>
    <w:rsid w:val="00070D1E"/>
    <w:rsid w:val="00070DFF"/>
    <w:rsid w:val="00070E5C"/>
    <w:rsid w:val="00070F02"/>
    <w:rsid w:val="00070F40"/>
    <w:rsid w:val="00070F67"/>
    <w:rsid w:val="00070F9C"/>
    <w:rsid w:val="00070F9F"/>
    <w:rsid w:val="0007109C"/>
    <w:rsid w:val="000710B4"/>
    <w:rsid w:val="000710DB"/>
    <w:rsid w:val="00071104"/>
    <w:rsid w:val="00071138"/>
    <w:rsid w:val="000711EE"/>
    <w:rsid w:val="000711F5"/>
    <w:rsid w:val="00071274"/>
    <w:rsid w:val="000712A4"/>
    <w:rsid w:val="000712C6"/>
    <w:rsid w:val="00071370"/>
    <w:rsid w:val="00071384"/>
    <w:rsid w:val="00071461"/>
    <w:rsid w:val="000714AC"/>
    <w:rsid w:val="000714C2"/>
    <w:rsid w:val="00071524"/>
    <w:rsid w:val="00071535"/>
    <w:rsid w:val="0007154C"/>
    <w:rsid w:val="0007158B"/>
    <w:rsid w:val="00071596"/>
    <w:rsid w:val="000715FE"/>
    <w:rsid w:val="0007161B"/>
    <w:rsid w:val="00071670"/>
    <w:rsid w:val="000716B1"/>
    <w:rsid w:val="0007173F"/>
    <w:rsid w:val="00071758"/>
    <w:rsid w:val="000717A1"/>
    <w:rsid w:val="000718BF"/>
    <w:rsid w:val="0007190E"/>
    <w:rsid w:val="00071943"/>
    <w:rsid w:val="00071AA0"/>
    <w:rsid w:val="00071ACF"/>
    <w:rsid w:val="00071B1A"/>
    <w:rsid w:val="00071B6E"/>
    <w:rsid w:val="00071BE9"/>
    <w:rsid w:val="00071C55"/>
    <w:rsid w:val="00071CE6"/>
    <w:rsid w:val="00071D85"/>
    <w:rsid w:val="00071DB0"/>
    <w:rsid w:val="00071E10"/>
    <w:rsid w:val="00071E16"/>
    <w:rsid w:val="00072041"/>
    <w:rsid w:val="00072068"/>
    <w:rsid w:val="000720A8"/>
    <w:rsid w:val="000720DC"/>
    <w:rsid w:val="000720E1"/>
    <w:rsid w:val="00072115"/>
    <w:rsid w:val="0007219B"/>
    <w:rsid w:val="0007219F"/>
    <w:rsid w:val="0007221D"/>
    <w:rsid w:val="00072224"/>
    <w:rsid w:val="000722FD"/>
    <w:rsid w:val="000723B1"/>
    <w:rsid w:val="000723CF"/>
    <w:rsid w:val="0007243E"/>
    <w:rsid w:val="00072448"/>
    <w:rsid w:val="00072486"/>
    <w:rsid w:val="000724A5"/>
    <w:rsid w:val="000724D7"/>
    <w:rsid w:val="000725B0"/>
    <w:rsid w:val="00072685"/>
    <w:rsid w:val="000726A6"/>
    <w:rsid w:val="000727C5"/>
    <w:rsid w:val="0007284F"/>
    <w:rsid w:val="000729F1"/>
    <w:rsid w:val="00072B1C"/>
    <w:rsid w:val="00072B73"/>
    <w:rsid w:val="00072BA8"/>
    <w:rsid w:val="00072BB0"/>
    <w:rsid w:val="00072BF3"/>
    <w:rsid w:val="00072C63"/>
    <w:rsid w:val="00072CDE"/>
    <w:rsid w:val="00072DC2"/>
    <w:rsid w:val="00072DD8"/>
    <w:rsid w:val="00072E7C"/>
    <w:rsid w:val="00072F26"/>
    <w:rsid w:val="00072F3F"/>
    <w:rsid w:val="00072F59"/>
    <w:rsid w:val="00072FCB"/>
    <w:rsid w:val="00072FE0"/>
    <w:rsid w:val="000731AE"/>
    <w:rsid w:val="00073223"/>
    <w:rsid w:val="0007329D"/>
    <w:rsid w:val="0007346C"/>
    <w:rsid w:val="0007349D"/>
    <w:rsid w:val="0007350B"/>
    <w:rsid w:val="00073517"/>
    <w:rsid w:val="0007363A"/>
    <w:rsid w:val="000736AA"/>
    <w:rsid w:val="00073793"/>
    <w:rsid w:val="0007380A"/>
    <w:rsid w:val="000738E0"/>
    <w:rsid w:val="00073959"/>
    <w:rsid w:val="000739E8"/>
    <w:rsid w:val="00073A1A"/>
    <w:rsid w:val="00073A98"/>
    <w:rsid w:val="00073ADE"/>
    <w:rsid w:val="00073BFD"/>
    <w:rsid w:val="00073C1F"/>
    <w:rsid w:val="00073C2D"/>
    <w:rsid w:val="00073C41"/>
    <w:rsid w:val="00073C74"/>
    <w:rsid w:val="00073C7A"/>
    <w:rsid w:val="00073C82"/>
    <w:rsid w:val="00073CBE"/>
    <w:rsid w:val="00073E61"/>
    <w:rsid w:val="00073E84"/>
    <w:rsid w:val="00073E91"/>
    <w:rsid w:val="00073F3E"/>
    <w:rsid w:val="00073F7F"/>
    <w:rsid w:val="00073FBF"/>
    <w:rsid w:val="000740B9"/>
    <w:rsid w:val="0007416B"/>
    <w:rsid w:val="00074175"/>
    <w:rsid w:val="00074360"/>
    <w:rsid w:val="00074371"/>
    <w:rsid w:val="0007441B"/>
    <w:rsid w:val="00074435"/>
    <w:rsid w:val="000744FD"/>
    <w:rsid w:val="00074580"/>
    <w:rsid w:val="000745D6"/>
    <w:rsid w:val="0007460F"/>
    <w:rsid w:val="00074631"/>
    <w:rsid w:val="0007465D"/>
    <w:rsid w:val="00074707"/>
    <w:rsid w:val="00074745"/>
    <w:rsid w:val="00074785"/>
    <w:rsid w:val="000747DB"/>
    <w:rsid w:val="0007499F"/>
    <w:rsid w:val="000749B0"/>
    <w:rsid w:val="000749FC"/>
    <w:rsid w:val="00074A89"/>
    <w:rsid w:val="00074B1C"/>
    <w:rsid w:val="00074B25"/>
    <w:rsid w:val="00074B98"/>
    <w:rsid w:val="00074BB5"/>
    <w:rsid w:val="00074BE3"/>
    <w:rsid w:val="00074C07"/>
    <w:rsid w:val="00074C13"/>
    <w:rsid w:val="00074C95"/>
    <w:rsid w:val="00074CD1"/>
    <w:rsid w:val="00074CE1"/>
    <w:rsid w:val="00074D64"/>
    <w:rsid w:val="00074DAB"/>
    <w:rsid w:val="00074E39"/>
    <w:rsid w:val="00074E7E"/>
    <w:rsid w:val="00074EBF"/>
    <w:rsid w:val="00074FF8"/>
    <w:rsid w:val="00075172"/>
    <w:rsid w:val="000751E6"/>
    <w:rsid w:val="000751F5"/>
    <w:rsid w:val="00075239"/>
    <w:rsid w:val="00075244"/>
    <w:rsid w:val="0007529D"/>
    <w:rsid w:val="0007531D"/>
    <w:rsid w:val="00075436"/>
    <w:rsid w:val="00075444"/>
    <w:rsid w:val="00075450"/>
    <w:rsid w:val="000754DA"/>
    <w:rsid w:val="00075540"/>
    <w:rsid w:val="0007558C"/>
    <w:rsid w:val="0007563E"/>
    <w:rsid w:val="00075655"/>
    <w:rsid w:val="00075656"/>
    <w:rsid w:val="0007568B"/>
    <w:rsid w:val="000756ED"/>
    <w:rsid w:val="00075738"/>
    <w:rsid w:val="000758A1"/>
    <w:rsid w:val="000758BB"/>
    <w:rsid w:val="00075A01"/>
    <w:rsid w:val="00075A35"/>
    <w:rsid w:val="00075A77"/>
    <w:rsid w:val="00075ABF"/>
    <w:rsid w:val="00075AD3"/>
    <w:rsid w:val="00075B03"/>
    <w:rsid w:val="00075B4E"/>
    <w:rsid w:val="00075B60"/>
    <w:rsid w:val="00075C34"/>
    <w:rsid w:val="00075C3F"/>
    <w:rsid w:val="00075C6A"/>
    <w:rsid w:val="00075D8C"/>
    <w:rsid w:val="00075E29"/>
    <w:rsid w:val="00075E4F"/>
    <w:rsid w:val="00075E8E"/>
    <w:rsid w:val="00075EED"/>
    <w:rsid w:val="0007607B"/>
    <w:rsid w:val="00076089"/>
    <w:rsid w:val="0007614C"/>
    <w:rsid w:val="00076281"/>
    <w:rsid w:val="000762B4"/>
    <w:rsid w:val="000762C5"/>
    <w:rsid w:val="000762E7"/>
    <w:rsid w:val="0007635D"/>
    <w:rsid w:val="0007637B"/>
    <w:rsid w:val="0007641B"/>
    <w:rsid w:val="0007643C"/>
    <w:rsid w:val="00076497"/>
    <w:rsid w:val="000764C1"/>
    <w:rsid w:val="000764D9"/>
    <w:rsid w:val="000764E2"/>
    <w:rsid w:val="00076785"/>
    <w:rsid w:val="0007682E"/>
    <w:rsid w:val="000768A6"/>
    <w:rsid w:val="000769A1"/>
    <w:rsid w:val="000769FD"/>
    <w:rsid w:val="00076A03"/>
    <w:rsid w:val="00076A20"/>
    <w:rsid w:val="00076B64"/>
    <w:rsid w:val="00076C27"/>
    <w:rsid w:val="00076C44"/>
    <w:rsid w:val="00076CE7"/>
    <w:rsid w:val="00076CF4"/>
    <w:rsid w:val="00076D0F"/>
    <w:rsid w:val="00076E12"/>
    <w:rsid w:val="00076F2D"/>
    <w:rsid w:val="00076F3C"/>
    <w:rsid w:val="00076FA0"/>
    <w:rsid w:val="00076FE7"/>
    <w:rsid w:val="0007715B"/>
    <w:rsid w:val="00077192"/>
    <w:rsid w:val="000771C8"/>
    <w:rsid w:val="00077249"/>
    <w:rsid w:val="00077289"/>
    <w:rsid w:val="0007731D"/>
    <w:rsid w:val="000773E6"/>
    <w:rsid w:val="000773ED"/>
    <w:rsid w:val="000774E5"/>
    <w:rsid w:val="000774F6"/>
    <w:rsid w:val="0007751E"/>
    <w:rsid w:val="00077570"/>
    <w:rsid w:val="0007759F"/>
    <w:rsid w:val="000775FE"/>
    <w:rsid w:val="00077614"/>
    <w:rsid w:val="000776C7"/>
    <w:rsid w:val="000776D6"/>
    <w:rsid w:val="000776F5"/>
    <w:rsid w:val="00077785"/>
    <w:rsid w:val="00077831"/>
    <w:rsid w:val="00077848"/>
    <w:rsid w:val="00077884"/>
    <w:rsid w:val="000778DD"/>
    <w:rsid w:val="00077934"/>
    <w:rsid w:val="0007797F"/>
    <w:rsid w:val="000779AA"/>
    <w:rsid w:val="000779FD"/>
    <w:rsid w:val="00077A00"/>
    <w:rsid w:val="00077B57"/>
    <w:rsid w:val="00077B6D"/>
    <w:rsid w:val="00077C42"/>
    <w:rsid w:val="00077CB1"/>
    <w:rsid w:val="00077CB6"/>
    <w:rsid w:val="00077CCD"/>
    <w:rsid w:val="00077D81"/>
    <w:rsid w:val="00077DCE"/>
    <w:rsid w:val="00077E38"/>
    <w:rsid w:val="00077E41"/>
    <w:rsid w:val="00077E65"/>
    <w:rsid w:val="00077E7E"/>
    <w:rsid w:val="00077F9B"/>
    <w:rsid w:val="00080017"/>
    <w:rsid w:val="0008010A"/>
    <w:rsid w:val="000801CC"/>
    <w:rsid w:val="00080229"/>
    <w:rsid w:val="0008022F"/>
    <w:rsid w:val="00080276"/>
    <w:rsid w:val="0008028E"/>
    <w:rsid w:val="00080320"/>
    <w:rsid w:val="000803A8"/>
    <w:rsid w:val="00080441"/>
    <w:rsid w:val="00080500"/>
    <w:rsid w:val="00080520"/>
    <w:rsid w:val="00080537"/>
    <w:rsid w:val="0008057C"/>
    <w:rsid w:val="000805F7"/>
    <w:rsid w:val="00080726"/>
    <w:rsid w:val="00080790"/>
    <w:rsid w:val="0008085B"/>
    <w:rsid w:val="000808C3"/>
    <w:rsid w:val="000808EB"/>
    <w:rsid w:val="0008091B"/>
    <w:rsid w:val="00080930"/>
    <w:rsid w:val="000809C4"/>
    <w:rsid w:val="00080A1D"/>
    <w:rsid w:val="00080A6E"/>
    <w:rsid w:val="00080A82"/>
    <w:rsid w:val="00080AFC"/>
    <w:rsid w:val="00080B58"/>
    <w:rsid w:val="00080CAA"/>
    <w:rsid w:val="00080CB4"/>
    <w:rsid w:val="00080CBA"/>
    <w:rsid w:val="00080DC3"/>
    <w:rsid w:val="00080DD0"/>
    <w:rsid w:val="00080E00"/>
    <w:rsid w:val="00080E4D"/>
    <w:rsid w:val="00080E78"/>
    <w:rsid w:val="00080EA3"/>
    <w:rsid w:val="00080EBF"/>
    <w:rsid w:val="00080F6E"/>
    <w:rsid w:val="00081170"/>
    <w:rsid w:val="000811B3"/>
    <w:rsid w:val="0008128E"/>
    <w:rsid w:val="0008133D"/>
    <w:rsid w:val="00081369"/>
    <w:rsid w:val="00081373"/>
    <w:rsid w:val="000814F6"/>
    <w:rsid w:val="00081612"/>
    <w:rsid w:val="00081625"/>
    <w:rsid w:val="0008162F"/>
    <w:rsid w:val="00081690"/>
    <w:rsid w:val="0008170D"/>
    <w:rsid w:val="00081740"/>
    <w:rsid w:val="00081844"/>
    <w:rsid w:val="000818E2"/>
    <w:rsid w:val="00081938"/>
    <w:rsid w:val="0008194F"/>
    <w:rsid w:val="0008197D"/>
    <w:rsid w:val="00081A3F"/>
    <w:rsid w:val="00081AEA"/>
    <w:rsid w:val="00081B09"/>
    <w:rsid w:val="00081D1B"/>
    <w:rsid w:val="00081DC2"/>
    <w:rsid w:val="00081E0B"/>
    <w:rsid w:val="00081E50"/>
    <w:rsid w:val="00081E5C"/>
    <w:rsid w:val="00081F07"/>
    <w:rsid w:val="00082003"/>
    <w:rsid w:val="00082031"/>
    <w:rsid w:val="000820CB"/>
    <w:rsid w:val="000821D5"/>
    <w:rsid w:val="00082295"/>
    <w:rsid w:val="000822B6"/>
    <w:rsid w:val="00082429"/>
    <w:rsid w:val="0008249B"/>
    <w:rsid w:val="00082511"/>
    <w:rsid w:val="000825B6"/>
    <w:rsid w:val="00082616"/>
    <w:rsid w:val="0008265C"/>
    <w:rsid w:val="000826C8"/>
    <w:rsid w:val="0008274F"/>
    <w:rsid w:val="0008277C"/>
    <w:rsid w:val="00082832"/>
    <w:rsid w:val="000828DA"/>
    <w:rsid w:val="000828F4"/>
    <w:rsid w:val="0008293E"/>
    <w:rsid w:val="00082943"/>
    <w:rsid w:val="000829DB"/>
    <w:rsid w:val="000829FC"/>
    <w:rsid w:val="00082AAC"/>
    <w:rsid w:val="00082B07"/>
    <w:rsid w:val="00082B43"/>
    <w:rsid w:val="00082BED"/>
    <w:rsid w:val="00082EED"/>
    <w:rsid w:val="00082F26"/>
    <w:rsid w:val="00082F50"/>
    <w:rsid w:val="00082FCB"/>
    <w:rsid w:val="00082FD7"/>
    <w:rsid w:val="00083196"/>
    <w:rsid w:val="000831C4"/>
    <w:rsid w:val="000831DB"/>
    <w:rsid w:val="0008333E"/>
    <w:rsid w:val="00083377"/>
    <w:rsid w:val="00083435"/>
    <w:rsid w:val="0008344F"/>
    <w:rsid w:val="000834FB"/>
    <w:rsid w:val="0008356C"/>
    <w:rsid w:val="0008363F"/>
    <w:rsid w:val="00083688"/>
    <w:rsid w:val="000836E9"/>
    <w:rsid w:val="00083709"/>
    <w:rsid w:val="00083717"/>
    <w:rsid w:val="0008385C"/>
    <w:rsid w:val="00083876"/>
    <w:rsid w:val="000838E8"/>
    <w:rsid w:val="00083922"/>
    <w:rsid w:val="00083AFE"/>
    <w:rsid w:val="00083B73"/>
    <w:rsid w:val="00083B84"/>
    <w:rsid w:val="00083C4B"/>
    <w:rsid w:val="00083D16"/>
    <w:rsid w:val="00083DB5"/>
    <w:rsid w:val="00083E2F"/>
    <w:rsid w:val="00083E76"/>
    <w:rsid w:val="00083EB0"/>
    <w:rsid w:val="00083F72"/>
    <w:rsid w:val="00083FA5"/>
    <w:rsid w:val="000840CE"/>
    <w:rsid w:val="00084117"/>
    <w:rsid w:val="0008411F"/>
    <w:rsid w:val="00084178"/>
    <w:rsid w:val="00084253"/>
    <w:rsid w:val="000842C0"/>
    <w:rsid w:val="000842DD"/>
    <w:rsid w:val="0008430B"/>
    <w:rsid w:val="00084451"/>
    <w:rsid w:val="000844BB"/>
    <w:rsid w:val="000844E0"/>
    <w:rsid w:val="000844FF"/>
    <w:rsid w:val="0008450A"/>
    <w:rsid w:val="000845BD"/>
    <w:rsid w:val="000845D4"/>
    <w:rsid w:val="000846AD"/>
    <w:rsid w:val="000847AD"/>
    <w:rsid w:val="00084875"/>
    <w:rsid w:val="0008496A"/>
    <w:rsid w:val="000849E9"/>
    <w:rsid w:val="00084AD0"/>
    <w:rsid w:val="00084ADB"/>
    <w:rsid w:val="00084CA6"/>
    <w:rsid w:val="00084CD4"/>
    <w:rsid w:val="00084DA3"/>
    <w:rsid w:val="00084EAB"/>
    <w:rsid w:val="00084ED9"/>
    <w:rsid w:val="0008505A"/>
    <w:rsid w:val="000850CD"/>
    <w:rsid w:val="000850E0"/>
    <w:rsid w:val="00085177"/>
    <w:rsid w:val="000853CA"/>
    <w:rsid w:val="000853E8"/>
    <w:rsid w:val="000853FD"/>
    <w:rsid w:val="0008548E"/>
    <w:rsid w:val="000854EA"/>
    <w:rsid w:val="00085598"/>
    <w:rsid w:val="00085692"/>
    <w:rsid w:val="000856AA"/>
    <w:rsid w:val="00085841"/>
    <w:rsid w:val="0008587B"/>
    <w:rsid w:val="000859E6"/>
    <w:rsid w:val="00085A70"/>
    <w:rsid w:val="00085ADC"/>
    <w:rsid w:val="00085B08"/>
    <w:rsid w:val="00085B21"/>
    <w:rsid w:val="00085B73"/>
    <w:rsid w:val="00085BF7"/>
    <w:rsid w:val="00085C10"/>
    <w:rsid w:val="00085C20"/>
    <w:rsid w:val="00085C92"/>
    <w:rsid w:val="00085CDD"/>
    <w:rsid w:val="00085CED"/>
    <w:rsid w:val="00085D03"/>
    <w:rsid w:val="00085D0F"/>
    <w:rsid w:val="00085D89"/>
    <w:rsid w:val="00085D91"/>
    <w:rsid w:val="000860D8"/>
    <w:rsid w:val="000860D9"/>
    <w:rsid w:val="00086140"/>
    <w:rsid w:val="000861CD"/>
    <w:rsid w:val="0008623C"/>
    <w:rsid w:val="00086241"/>
    <w:rsid w:val="000862AF"/>
    <w:rsid w:val="00086329"/>
    <w:rsid w:val="0008634F"/>
    <w:rsid w:val="000863D6"/>
    <w:rsid w:val="000863EB"/>
    <w:rsid w:val="00086440"/>
    <w:rsid w:val="000864BA"/>
    <w:rsid w:val="000864C7"/>
    <w:rsid w:val="00086518"/>
    <w:rsid w:val="000865F5"/>
    <w:rsid w:val="00086608"/>
    <w:rsid w:val="00086703"/>
    <w:rsid w:val="00086805"/>
    <w:rsid w:val="00086856"/>
    <w:rsid w:val="0008692B"/>
    <w:rsid w:val="000869D8"/>
    <w:rsid w:val="00086A65"/>
    <w:rsid w:val="00086AC4"/>
    <w:rsid w:val="00086B34"/>
    <w:rsid w:val="00086C68"/>
    <w:rsid w:val="00086D75"/>
    <w:rsid w:val="00086FB9"/>
    <w:rsid w:val="00087018"/>
    <w:rsid w:val="000871AD"/>
    <w:rsid w:val="00087265"/>
    <w:rsid w:val="000875A0"/>
    <w:rsid w:val="00087602"/>
    <w:rsid w:val="0008769C"/>
    <w:rsid w:val="000876BB"/>
    <w:rsid w:val="000876D9"/>
    <w:rsid w:val="000876ED"/>
    <w:rsid w:val="000877B1"/>
    <w:rsid w:val="00087803"/>
    <w:rsid w:val="00087873"/>
    <w:rsid w:val="0008787B"/>
    <w:rsid w:val="000878B0"/>
    <w:rsid w:val="000878EC"/>
    <w:rsid w:val="000879DB"/>
    <w:rsid w:val="00087A3E"/>
    <w:rsid w:val="00087A41"/>
    <w:rsid w:val="00087A96"/>
    <w:rsid w:val="00087AA9"/>
    <w:rsid w:val="00087BC8"/>
    <w:rsid w:val="00087BD4"/>
    <w:rsid w:val="00087D26"/>
    <w:rsid w:val="00087D31"/>
    <w:rsid w:val="00087D44"/>
    <w:rsid w:val="00087E4C"/>
    <w:rsid w:val="00087E6C"/>
    <w:rsid w:val="00087F28"/>
    <w:rsid w:val="00087F6A"/>
    <w:rsid w:val="000900B9"/>
    <w:rsid w:val="00090162"/>
    <w:rsid w:val="00090285"/>
    <w:rsid w:val="0009033C"/>
    <w:rsid w:val="00090453"/>
    <w:rsid w:val="00090454"/>
    <w:rsid w:val="000904C6"/>
    <w:rsid w:val="000904CB"/>
    <w:rsid w:val="000904E0"/>
    <w:rsid w:val="000904FC"/>
    <w:rsid w:val="00090527"/>
    <w:rsid w:val="00090573"/>
    <w:rsid w:val="000905A0"/>
    <w:rsid w:val="00090627"/>
    <w:rsid w:val="00090633"/>
    <w:rsid w:val="0009067B"/>
    <w:rsid w:val="0009067C"/>
    <w:rsid w:val="000906D6"/>
    <w:rsid w:val="00090728"/>
    <w:rsid w:val="00090758"/>
    <w:rsid w:val="0009083C"/>
    <w:rsid w:val="00090902"/>
    <w:rsid w:val="0009095D"/>
    <w:rsid w:val="00090A1C"/>
    <w:rsid w:val="00090A7F"/>
    <w:rsid w:val="00090A96"/>
    <w:rsid w:val="00090B82"/>
    <w:rsid w:val="00090B85"/>
    <w:rsid w:val="00090B87"/>
    <w:rsid w:val="00090C42"/>
    <w:rsid w:val="00090C7E"/>
    <w:rsid w:val="00090CAC"/>
    <w:rsid w:val="00090CF0"/>
    <w:rsid w:val="00090D09"/>
    <w:rsid w:val="00090D0F"/>
    <w:rsid w:val="00090D33"/>
    <w:rsid w:val="00090E1E"/>
    <w:rsid w:val="00090E27"/>
    <w:rsid w:val="00090E38"/>
    <w:rsid w:val="00090E6A"/>
    <w:rsid w:val="00090E86"/>
    <w:rsid w:val="00090F51"/>
    <w:rsid w:val="00090FA6"/>
    <w:rsid w:val="00091022"/>
    <w:rsid w:val="00091037"/>
    <w:rsid w:val="000910B2"/>
    <w:rsid w:val="0009113D"/>
    <w:rsid w:val="00091149"/>
    <w:rsid w:val="00091173"/>
    <w:rsid w:val="00091312"/>
    <w:rsid w:val="00091360"/>
    <w:rsid w:val="00091501"/>
    <w:rsid w:val="00091553"/>
    <w:rsid w:val="000915CD"/>
    <w:rsid w:val="000916EE"/>
    <w:rsid w:val="000917D3"/>
    <w:rsid w:val="00091805"/>
    <w:rsid w:val="0009181C"/>
    <w:rsid w:val="00091916"/>
    <w:rsid w:val="00091946"/>
    <w:rsid w:val="000919D5"/>
    <w:rsid w:val="00091A15"/>
    <w:rsid w:val="00091A1E"/>
    <w:rsid w:val="00091AFC"/>
    <w:rsid w:val="00091BF3"/>
    <w:rsid w:val="00091C6C"/>
    <w:rsid w:val="00091DEF"/>
    <w:rsid w:val="00091E10"/>
    <w:rsid w:val="00091E39"/>
    <w:rsid w:val="00091E74"/>
    <w:rsid w:val="00091EE1"/>
    <w:rsid w:val="00091FBE"/>
    <w:rsid w:val="00091FD9"/>
    <w:rsid w:val="0009203F"/>
    <w:rsid w:val="00092083"/>
    <w:rsid w:val="00092117"/>
    <w:rsid w:val="000921BE"/>
    <w:rsid w:val="000921DA"/>
    <w:rsid w:val="00092214"/>
    <w:rsid w:val="0009222B"/>
    <w:rsid w:val="00092252"/>
    <w:rsid w:val="0009229C"/>
    <w:rsid w:val="000922B1"/>
    <w:rsid w:val="000924AF"/>
    <w:rsid w:val="000924F5"/>
    <w:rsid w:val="0009250D"/>
    <w:rsid w:val="00092548"/>
    <w:rsid w:val="00092559"/>
    <w:rsid w:val="00092631"/>
    <w:rsid w:val="000927AD"/>
    <w:rsid w:val="00092823"/>
    <w:rsid w:val="0009284B"/>
    <w:rsid w:val="0009289D"/>
    <w:rsid w:val="00092937"/>
    <w:rsid w:val="000929C8"/>
    <w:rsid w:val="00092A4D"/>
    <w:rsid w:val="00092A8D"/>
    <w:rsid w:val="00092A9F"/>
    <w:rsid w:val="00092B86"/>
    <w:rsid w:val="00092CAD"/>
    <w:rsid w:val="00092CFB"/>
    <w:rsid w:val="00092EFE"/>
    <w:rsid w:val="00092F1B"/>
    <w:rsid w:val="00092FA8"/>
    <w:rsid w:val="000930D8"/>
    <w:rsid w:val="000931BB"/>
    <w:rsid w:val="000931E0"/>
    <w:rsid w:val="00093348"/>
    <w:rsid w:val="00093359"/>
    <w:rsid w:val="00093363"/>
    <w:rsid w:val="00093386"/>
    <w:rsid w:val="000934B1"/>
    <w:rsid w:val="000934EF"/>
    <w:rsid w:val="000934F1"/>
    <w:rsid w:val="000934F6"/>
    <w:rsid w:val="00093567"/>
    <w:rsid w:val="00093574"/>
    <w:rsid w:val="0009357B"/>
    <w:rsid w:val="000935B7"/>
    <w:rsid w:val="000935BA"/>
    <w:rsid w:val="000936FE"/>
    <w:rsid w:val="0009370E"/>
    <w:rsid w:val="0009373E"/>
    <w:rsid w:val="00093743"/>
    <w:rsid w:val="0009379F"/>
    <w:rsid w:val="00093807"/>
    <w:rsid w:val="00093846"/>
    <w:rsid w:val="0009385E"/>
    <w:rsid w:val="00093A6B"/>
    <w:rsid w:val="00093AA8"/>
    <w:rsid w:val="00093B76"/>
    <w:rsid w:val="00093C74"/>
    <w:rsid w:val="00093C99"/>
    <w:rsid w:val="00093CDF"/>
    <w:rsid w:val="00093CEE"/>
    <w:rsid w:val="00093D97"/>
    <w:rsid w:val="00093DBE"/>
    <w:rsid w:val="00093DDA"/>
    <w:rsid w:val="00093DE5"/>
    <w:rsid w:val="00093E1A"/>
    <w:rsid w:val="00093E38"/>
    <w:rsid w:val="00093E4A"/>
    <w:rsid w:val="00093EFD"/>
    <w:rsid w:val="00093F07"/>
    <w:rsid w:val="00094010"/>
    <w:rsid w:val="000940C5"/>
    <w:rsid w:val="000941B3"/>
    <w:rsid w:val="000941D3"/>
    <w:rsid w:val="0009422D"/>
    <w:rsid w:val="0009428A"/>
    <w:rsid w:val="00094418"/>
    <w:rsid w:val="00094506"/>
    <w:rsid w:val="000945BA"/>
    <w:rsid w:val="0009465F"/>
    <w:rsid w:val="0009469A"/>
    <w:rsid w:val="0009472D"/>
    <w:rsid w:val="000947A5"/>
    <w:rsid w:val="000947B1"/>
    <w:rsid w:val="000947DD"/>
    <w:rsid w:val="000947E9"/>
    <w:rsid w:val="000948BD"/>
    <w:rsid w:val="00094911"/>
    <w:rsid w:val="00094991"/>
    <w:rsid w:val="000949AA"/>
    <w:rsid w:val="00094A37"/>
    <w:rsid w:val="00094AB8"/>
    <w:rsid w:val="00094C21"/>
    <w:rsid w:val="00094CDB"/>
    <w:rsid w:val="00094D01"/>
    <w:rsid w:val="00094D3A"/>
    <w:rsid w:val="00094D66"/>
    <w:rsid w:val="00094D70"/>
    <w:rsid w:val="00094DDD"/>
    <w:rsid w:val="00094E11"/>
    <w:rsid w:val="00094EED"/>
    <w:rsid w:val="00094EF9"/>
    <w:rsid w:val="00094F19"/>
    <w:rsid w:val="00094F68"/>
    <w:rsid w:val="00094F6E"/>
    <w:rsid w:val="00095026"/>
    <w:rsid w:val="0009504E"/>
    <w:rsid w:val="00095236"/>
    <w:rsid w:val="00095275"/>
    <w:rsid w:val="000952CC"/>
    <w:rsid w:val="000952E6"/>
    <w:rsid w:val="0009537D"/>
    <w:rsid w:val="000953CC"/>
    <w:rsid w:val="000954D8"/>
    <w:rsid w:val="000954ED"/>
    <w:rsid w:val="00095546"/>
    <w:rsid w:val="00095575"/>
    <w:rsid w:val="0009559A"/>
    <w:rsid w:val="000956E2"/>
    <w:rsid w:val="00095756"/>
    <w:rsid w:val="000957F1"/>
    <w:rsid w:val="00095898"/>
    <w:rsid w:val="000958AF"/>
    <w:rsid w:val="000958DB"/>
    <w:rsid w:val="000959A5"/>
    <w:rsid w:val="00095A21"/>
    <w:rsid w:val="00095ADA"/>
    <w:rsid w:val="00095AF4"/>
    <w:rsid w:val="00095B3D"/>
    <w:rsid w:val="00095B5C"/>
    <w:rsid w:val="00095B7A"/>
    <w:rsid w:val="00095BD6"/>
    <w:rsid w:val="00095C1F"/>
    <w:rsid w:val="00095C39"/>
    <w:rsid w:val="00095CFA"/>
    <w:rsid w:val="00095D1A"/>
    <w:rsid w:val="00095DD9"/>
    <w:rsid w:val="00095F94"/>
    <w:rsid w:val="00095FEE"/>
    <w:rsid w:val="0009607A"/>
    <w:rsid w:val="000960CE"/>
    <w:rsid w:val="00096173"/>
    <w:rsid w:val="000961C6"/>
    <w:rsid w:val="00096259"/>
    <w:rsid w:val="000962B2"/>
    <w:rsid w:val="0009631D"/>
    <w:rsid w:val="00096321"/>
    <w:rsid w:val="000963D4"/>
    <w:rsid w:val="00096413"/>
    <w:rsid w:val="000964AD"/>
    <w:rsid w:val="000964FE"/>
    <w:rsid w:val="00096569"/>
    <w:rsid w:val="00096571"/>
    <w:rsid w:val="0009657A"/>
    <w:rsid w:val="000965AC"/>
    <w:rsid w:val="00096634"/>
    <w:rsid w:val="0009678B"/>
    <w:rsid w:val="000967F4"/>
    <w:rsid w:val="000968B1"/>
    <w:rsid w:val="000968BD"/>
    <w:rsid w:val="000968F2"/>
    <w:rsid w:val="00096904"/>
    <w:rsid w:val="0009693F"/>
    <w:rsid w:val="00096990"/>
    <w:rsid w:val="000969B4"/>
    <w:rsid w:val="000969CD"/>
    <w:rsid w:val="00096A2B"/>
    <w:rsid w:val="00096A43"/>
    <w:rsid w:val="00096ABE"/>
    <w:rsid w:val="00096AEF"/>
    <w:rsid w:val="00096B57"/>
    <w:rsid w:val="00096B6D"/>
    <w:rsid w:val="00096BCE"/>
    <w:rsid w:val="00096C52"/>
    <w:rsid w:val="00096C62"/>
    <w:rsid w:val="00096C6D"/>
    <w:rsid w:val="00096CB9"/>
    <w:rsid w:val="00096D54"/>
    <w:rsid w:val="00096D61"/>
    <w:rsid w:val="00096D7F"/>
    <w:rsid w:val="00096DCD"/>
    <w:rsid w:val="00096E8C"/>
    <w:rsid w:val="00096EE0"/>
    <w:rsid w:val="00096F10"/>
    <w:rsid w:val="00097026"/>
    <w:rsid w:val="0009703B"/>
    <w:rsid w:val="00097057"/>
    <w:rsid w:val="000970D5"/>
    <w:rsid w:val="00097170"/>
    <w:rsid w:val="0009727C"/>
    <w:rsid w:val="000972F0"/>
    <w:rsid w:val="00097317"/>
    <w:rsid w:val="0009739F"/>
    <w:rsid w:val="0009745B"/>
    <w:rsid w:val="00097464"/>
    <w:rsid w:val="000974EC"/>
    <w:rsid w:val="000974FB"/>
    <w:rsid w:val="0009754B"/>
    <w:rsid w:val="000975AA"/>
    <w:rsid w:val="00097634"/>
    <w:rsid w:val="000977B4"/>
    <w:rsid w:val="000978E1"/>
    <w:rsid w:val="0009793F"/>
    <w:rsid w:val="00097A2C"/>
    <w:rsid w:val="00097AD3"/>
    <w:rsid w:val="00097AFE"/>
    <w:rsid w:val="00097B20"/>
    <w:rsid w:val="00097B46"/>
    <w:rsid w:val="00097B5B"/>
    <w:rsid w:val="00097B8B"/>
    <w:rsid w:val="00097BA1"/>
    <w:rsid w:val="00097C0E"/>
    <w:rsid w:val="00097C3F"/>
    <w:rsid w:val="00097C69"/>
    <w:rsid w:val="00097CB4"/>
    <w:rsid w:val="00097D97"/>
    <w:rsid w:val="00097DEF"/>
    <w:rsid w:val="00097DF4"/>
    <w:rsid w:val="00097E02"/>
    <w:rsid w:val="00097E30"/>
    <w:rsid w:val="00097E59"/>
    <w:rsid w:val="00097E73"/>
    <w:rsid w:val="00097E86"/>
    <w:rsid w:val="000A000C"/>
    <w:rsid w:val="000A00A3"/>
    <w:rsid w:val="000A0142"/>
    <w:rsid w:val="000A015F"/>
    <w:rsid w:val="000A023A"/>
    <w:rsid w:val="000A0285"/>
    <w:rsid w:val="000A02C2"/>
    <w:rsid w:val="000A03C8"/>
    <w:rsid w:val="000A03E3"/>
    <w:rsid w:val="000A03FE"/>
    <w:rsid w:val="000A0467"/>
    <w:rsid w:val="000A047A"/>
    <w:rsid w:val="000A04D3"/>
    <w:rsid w:val="000A052C"/>
    <w:rsid w:val="000A0568"/>
    <w:rsid w:val="000A05C7"/>
    <w:rsid w:val="000A0634"/>
    <w:rsid w:val="000A0643"/>
    <w:rsid w:val="000A07EF"/>
    <w:rsid w:val="000A0816"/>
    <w:rsid w:val="000A086F"/>
    <w:rsid w:val="000A08DB"/>
    <w:rsid w:val="000A08FE"/>
    <w:rsid w:val="000A091D"/>
    <w:rsid w:val="000A09BB"/>
    <w:rsid w:val="000A09D4"/>
    <w:rsid w:val="000A0AEA"/>
    <w:rsid w:val="000A0B34"/>
    <w:rsid w:val="000A0C30"/>
    <w:rsid w:val="000A0C55"/>
    <w:rsid w:val="000A0C78"/>
    <w:rsid w:val="000A0CBA"/>
    <w:rsid w:val="000A0D40"/>
    <w:rsid w:val="000A0DDE"/>
    <w:rsid w:val="000A0E1C"/>
    <w:rsid w:val="000A0E46"/>
    <w:rsid w:val="000A0E98"/>
    <w:rsid w:val="000A0EB0"/>
    <w:rsid w:val="000A0F45"/>
    <w:rsid w:val="000A0F48"/>
    <w:rsid w:val="000A0F52"/>
    <w:rsid w:val="000A0F8D"/>
    <w:rsid w:val="000A0FEB"/>
    <w:rsid w:val="000A1005"/>
    <w:rsid w:val="000A112C"/>
    <w:rsid w:val="000A116C"/>
    <w:rsid w:val="000A11CF"/>
    <w:rsid w:val="000A128D"/>
    <w:rsid w:val="000A134B"/>
    <w:rsid w:val="000A13A8"/>
    <w:rsid w:val="000A1402"/>
    <w:rsid w:val="000A14EC"/>
    <w:rsid w:val="000A15F6"/>
    <w:rsid w:val="000A160F"/>
    <w:rsid w:val="000A1670"/>
    <w:rsid w:val="000A16FE"/>
    <w:rsid w:val="000A1845"/>
    <w:rsid w:val="000A195B"/>
    <w:rsid w:val="000A198A"/>
    <w:rsid w:val="000A19AD"/>
    <w:rsid w:val="000A1A1B"/>
    <w:rsid w:val="000A1A2E"/>
    <w:rsid w:val="000A1A45"/>
    <w:rsid w:val="000A1B87"/>
    <w:rsid w:val="000A1BF5"/>
    <w:rsid w:val="000A1C4B"/>
    <w:rsid w:val="000A1C72"/>
    <w:rsid w:val="000A1C7C"/>
    <w:rsid w:val="000A1D19"/>
    <w:rsid w:val="000A1D75"/>
    <w:rsid w:val="000A1DBA"/>
    <w:rsid w:val="000A1F36"/>
    <w:rsid w:val="000A1F7B"/>
    <w:rsid w:val="000A1FCA"/>
    <w:rsid w:val="000A20E4"/>
    <w:rsid w:val="000A21B4"/>
    <w:rsid w:val="000A224C"/>
    <w:rsid w:val="000A2253"/>
    <w:rsid w:val="000A229E"/>
    <w:rsid w:val="000A22C8"/>
    <w:rsid w:val="000A22D0"/>
    <w:rsid w:val="000A2330"/>
    <w:rsid w:val="000A2340"/>
    <w:rsid w:val="000A2375"/>
    <w:rsid w:val="000A238B"/>
    <w:rsid w:val="000A23D2"/>
    <w:rsid w:val="000A240E"/>
    <w:rsid w:val="000A2474"/>
    <w:rsid w:val="000A2519"/>
    <w:rsid w:val="000A2545"/>
    <w:rsid w:val="000A2631"/>
    <w:rsid w:val="000A268D"/>
    <w:rsid w:val="000A26DE"/>
    <w:rsid w:val="000A26DF"/>
    <w:rsid w:val="000A26F8"/>
    <w:rsid w:val="000A2700"/>
    <w:rsid w:val="000A2718"/>
    <w:rsid w:val="000A2817"/>
    <w:rsid w:val="000A2856"/>
    <w:rsid w:val="000A28B2"/>
    <w:rsid w:val="000A28BB"/>
    <w:rsid w:val="000A29AB"/>
    <w:rsid w:val="000A29C7"/>
    <w:rsid w:val="000A2A76"/>
    <w:rsid w:val="000A2A99"/>
    <w:rsid w:val="000A2AE7"/>
    <w:rsid w:val="000A2B82"/>
    <w:rsid w:val="000A2CD0"/>
    <w:rsid w:val="000A2CF9"/>
    <w:rsid w:val="000A2D40"/>
    <w:rsid w:val="000A2D5F"/>
    <w:rsid w:val="000A2DD1"/>
    <w:rsid w:val="000A2E68"/>
    <w:rsid w:val="000A2ED9"/>
    <w:rsid w:val="000A2F72"/>
    <w:rsid w:val="000A2F7A"/>
    <w:rsid w:val="000A2F9D"/>
    <w:rsid w:val="000A308F"/>
    <w:rsid w:val="000A3097"/>
    <w:rsid w:val="000A30F3"/>
    <w:rsid w:val="000A314E"/>
    <w:rsid w:val="000A3175"/>
    <w:rsid w:val="000A319B"/>
    <w:rsid w:val="000A3263"/>
    <w:rsid w:val="000A326B"/>
    <w:rsid w:val="000A32C9"/>
    <w:rsid w:val="000A32E4"/>
    <w:rsid w:val="000A32FD"/>
    <w:rsid w:val="000A3345"/>
    <w:rsid w:val="000A346B"/>
    <w:rsid w:val="000A347F"/>
    <w:rsid w:val="000A3550"/>
    <w:rsid w:val="000A36BA"/>
    <w:rsid w:val="000A386E"/>
    <w:rsid w:val="000A3886"/>
    <w:rsid w:val="000A38D6"/>
    <w:rsid w:val="000A38FC"/>
    <w:rsid w:val="000A3A99"/>
    <w:rsid w:val="000A3AC2"/>
    <w:rsid w:val="000A3AE3"/>
    <w:rsid w:val="000A3B50"/>
    <w:rsid w:val="000A3B81"/>
    <w:rsid w:val="000A3BDA"/>
    <w:rsid w:val="000A3C05"/>
    <w:rsid w:val="000A3C43"/>
    <w:rsid w:val="000A3CAA"/>
    <w:rsid w:val="000A3DE8"/>
    <w:rsid w:val="000A3E49"/>
    <w:rsid w:val="000A3E5C"/>
    <w:rsid w:val="000A3EE4"/>
    <w:rsid w:val="000A3F46"/>
    <w:rsid w:val="000A404B"/>
    <w:rsid w:val="000A4094"/>
    <w:rsid w:val="000A40EE"/>
    <w:rsid w:val="000A4174"/>
    <w:rsid w:val="000A4179"/>
    <w:rsid w:val="000A41F5"/>
    <w:rsid w:val="000A42D1"/>
    <w:rsid w:val="000A4374"/>
    <w:rsid w:val="000A43FF"/>
    <w:rsid w:val="000A440A"/>
    <w:rsid w:val="000A4476"/>
    <w:rsid w:val="000A44D5"/>
    <w:rsid w:val="000A45F9"/>
    <w:rsid w:val="000A45FE"/>
    <w:rsid w:val="000A46DB"/>
    <w:rsid w:val="000A47BF"/>
    <w:rsid w:val="000A47ED"/>
    <w:rsid w:val="000A4804"/>
    <w:rsid w:val="000A4807"/>
    <w:rsid w:val="000A4817"/>
    <w:rsid w:val="000A485F"/>
    <w:rsid w:val="000A489D"/>
    <w:rsid w:val="000A4929"/>
    <w:rsid w:val="000A49E4"/>
    <w:rsid w:val="000A49FE"/>
    <w:rsid w:val="000A4A06"/>
    <w:rsid w:val="000A4A09"/>
    <w:rsid w:val="000A4A1E"/>
    <w:rsid w:val="000A4B82"/>
    <w:rsid w:val="000A4BE7"/>
    <w:rsid w:val="000A4C0A"/>
    <w:rsid w:val="000A4C71"/>
    <w:rsid w:val="000A4C84"/>
    <w:rsid w:val="000A4CAF"/>
    <w:rsid w:val="000A4CC4"/>
    <w:rsid w:val="000A4D40"/>
    <w:rsid w:val="000A4D4B"/>
    <w:rsid w:val="000A4D5D"/>
    <w:rsid w:val="000A4DC0"/>
    <w:rsid w:val="000A4E1B"/>
    <w:rsid w:val="000A4ED6"/>
    <w:rsid w:val="000A4EF5"/>
    <w:rsid w:val="000A4FE5"/>
    <w:rsid w:val="000A5061"/>
    <w:rsid w:val="000A513D"/>
    <w:rsid w:val="000A514F"/>
    <w:rsid w:val="000A51D3"/>
    <w:rsid w:val="000A52DE"/>
    <w:rsid w:val="000A53FD"/>
    <w:rsid w:val="000A5435"/>
    <w:rsid w:val="000A5497"/>
    <w:rsid w:val="000A54D4"/>
    <w:rsid w:val="000A550A"/>
    <w:rsid w:val="000A551D"/>
    <w:rsid w:val="000A5522"/>
    <w:rsid w:val="000A553B"/>
    <w:rsid w:val="000A55E4"/>
    <w:rsid w:val="000A5683"/>
    <w:rsid w:val="000A56D3"/>
    <w:rsid w:val="000A5758"/>
    <w:rsid w:val="000A589D"/>
    <w:rsid w:val="000A58F6"/>
    <w:rsid w:val="000A5922"/>
    <w:rsid w:val="000A5A3A"/>
    <w:rsid w:val="000A5AC0"/>
    <w:rsid w:val="000A5B41"/>
    <w:rsid w:val="000A5B88"/>
    <w:rsid w:val="000A5C0C"/>
    <w:rsid w:val="000A5CAE"/>
    <w:rsid w:val="000A5CCF"/>
    <w:rsid w:val="000A5D71"/>
    <w:rsid w:val="000A5EF1"/>
    <w:rsid w:val="000A5F56"/>
    <w:rsid w:val="000A5F9A"/>
    <w:rsid w:val="000A5FA8"/>
    <w:rsid w:val="000A60C6"/>
    <w:rsid w:val="000A6121"/>
    <w:rsid w:val="000A616B"/>
    <w:rsid w:val="000A6209"/>
    <w:rsid w:val="000A628D"/>
    <w:rsid w:val="000A6308"/>
    <w:rsid w:val="000A6350"/>
    <w:rsid w:val="000A63B7"/>
    <w:rsid w:val="000A6462"/>
    <w:rsid w:val="000A6492"/>
    <w:rsid w:val="000A649F"/>
    <w:rsid w:val="000A64B9"/>
    <w:rsid w:val="000A6594"/>
    <w:rsid w:val="000A66C8"/>
    <w:rsid w:val="000A677C"/>
    <w:rsid w:val="000A684D"/>
    <w:rsid w:val="000A686B"/>
    <w:rsid w:val="000A6925"/>
    <w:rsid w:val="000A698E"/>
    <w:rsid w:val="000A69BE"/>
    <w:rsid w:val="000A69ED"/>
    <w:rsid w:val="000A6A29"/>
    <w:rsid w:val="000A6A87"/>
    <w:rsid w:val="000A6A9B"/>
    <w:rsid w:val="000A6B60"/>
    <w:rsid w:val="000A6BB1"/>
    <w:rsid w:val="000A6BC8"/>
    <w:rsid w:val="000A6D99"/>
    <w:rsid w:val="000A6DB5"/>
    <w:rsid w:val="000A6DDE"/>
    <w:rsid w:val="000A6E42"/>
    <w:rsid w:val="000A6EF8"/>
    <w:rsid w:val="000A6FD9"/>
    <w:rsid w:val="000A7101"/>
    <w:rsid w:val="000A7264"/>
    <w:rsid w:val="000A728E"/>
    <w:rsid w:val="000A7312"/>
    <w:rsid w:val="000A73DA"/>
    <w:rsid w:val="000A74A2"/>
    <w:rsid w:val="000A7558"/>
    <w:rsid w:val="000A75B0"/>
    <w:rsid w:val="000A75FA"/>
    <w:rsid w:val="000A7603"/>
    <w:rsid w:val="000A76D3"/>
    <w:rsid w:val="000A76E8"/>
    <w:rsid w:val="000A76EB"/>
    <w:rsid w:val="000A76FF"/>
    <w:rsid w:val="000A770E"/>
    <w:rsid w:val="000A7761"/>
    <w:rsid w:val="000A776E"/>
    <w:rsid w:val="000A77A5"/>
    <w:rsid w:val="000A77F4"/>
    <w:rsid w:val="000A7824"/>
    <w:rsid w:val="000A7829"/>
    <w:rsid w:val="000A788B"/>
    <w:rsid w:val="000A78D3"/>
    <w:rsid w:val="000A7940"/>
    <w:rsid w:val="000A7A09"/>
    <w:rsid w:val="000A7AB9"/>
    <w:rsid w:val="000A7AE3"/>
    <w:rsid w:val="000A7B66"/>
    <w:rsid w:val="000A7BF0"/>
    <w:rsid w:val="000A7C09"/>
    <w:rsid w:val="000A7C60"/>
    <w:rsid w:val="000A7CAA"/>
    <w:rsid w:val="000A7D7D"/>
    <w:rsid w:val="000A7DA1"/>
    <w:rsid w:val="000A7DBD"/>
    <w:rsid w:val="000A7DF2"/>
    <w:rsid w:val="000A7E07"/>
    <w:rsid w:val="000A7E93"/>
    <w:rsid w:val="000A7EA3"/>
    <w:rsid w:val="000A7EFA"/>
    <w:rsid w:val="000A7F04"/>
    <w:rsid w:val="000A7F6D"/>
    <w:rsid w:val="000A7F97"/>
    <w:rsid w:val="000A7FAD"/>
    <w:rsid w:val="000A7FB7"/>
    <w:rsid w:val="000B004F"/>
    <w:rsid w:val="000B0069"/>
    <w:rsid w:val="000B0079"/>
    <w:rsid w:val="000B018F"/>
    <w:rsid w:val="000B01A9"/>
    <w:rsid w:val="000B0256"/>
    <w:rsid w:val="000B02BD"/>
    <w:rsid w:val="000B03E8"/>
    <w:rsid w:val="000B03EB"/>
    <w:rsid w:val="000B043E"/>
    <w:rsid w:val="000B0488"/>
    <w:rsid w:val="000B04D4"/>
    <w:rsid w:val="000B0551"/>
    <w:rsid w:val="000B0581"/>
    <w:rsid w:val="000B059A"/>
    <w:rsid w:val="000B0642"/>
    <w:rsid w:val="000B064C"/>
    <w:rsid w:val="000B0699"/>
    <w:rsid w:val="000B06B4"/>
    <w:rsid w:val="000B06C6"/>
    <w:rsid w:val="000B06FB"/>
    <w:rsid w:val="000B0720"/>
    <w:rsid w:val="000B075F"/>
    <w:rsid w:val="000B07E6"/>
    <w:rsid w:val="000B090D"/>
    <w:rsid w:val="000B098E"/>
    <w:rsid w:val="000B09B8"/>
    <w:rsid w:val="000B09F8"/>
    <w:rsid w:val="000B0A67"/>
    <w:rsid w:val="000B0A74"/>
    <w:rsid w:val="000B0AA1"/>
    <w:rsid w:val="000B0AC8"/>
    <w:rsid w:val="000B0BA5"/>
    <w:rsid w:val="000B0D2D"/>
    <w:rsid w:val="000B0D2F"/>
    <w:rsid w:val="000B0E0F"/>
    <w:rsid w:val="000B0EE8"/>
    <w:rsid w:val="000B1046"/>
    <w:rsid w:val="000B107A"/>
    <w:rsid w:val="000B109C"/>
    <w:rsid w:val="000B10BD"/>
    <w:rsid w:val="000B10F9"/>
    <w:rsid w:val="000B113C"/>
    <w:rsid w:val="000B114C"/>
    <w:rsid w:val="000B11DE"/>
    <w:rsid w:val="000B1222"/>
    <w:rsid w:val="000B124B"/>
    <w:rsid w:val="000B1297"/>
    <w:rsid w:val="000B1301"/>
    <w:rsid w:val="000B135B"/>
    <w:rsid w:val="000B13AC"/>
    <w:rsid w:val="000B14BC"/>
    <w:rsid w:val="000B153C"/>
    <w:rsid w:val="000B1573"/>
    <w:rsid w:val="000B1581"/>
    <w:rsid w:val="000B1680"/>
    <w:rsid w:val="000B1724"/>
    <w:rsid w:val="000B17A2"/>
    <w:rsid w:val="000B17BA"/>
    <w:rsid w:val="000B17BE"/>
    <w:rsid w:val="000B17C1"/>
    <w:rsid w:val="000B17CD"/>
    <w:rsid w:val="000B17D4"/>
    <w:rsid w:val="000B1877"/>
    <w:rsid w:val="000B1894"/>
    <w:rsid w:val="000B1999"/>
    <w:rsid w:val="000B1A70"/>
    <w:rsid w:val="000B1A7A"/>
    <w:rsid w:val="000B1AB8"/>
    <w:rsid w:val="000B1B17"/>
    <w:rsid w:val="000B1B4D"/>
    <w:rsid w:val="000B1B59"/>
    <w:rsid w:val="000B1C3C"/>
    <w:rsid w:val="000B1C50"/>
    <w:rsid w:val="000B1CBB"/>
    <w:rsid w:val="000B1D3D"/>
    <w:rsid w:val="000B1D9C"/>
    <w:rsid w:val="000B1E8A"/>
    <w:rsid w:val="000B1ECA"/>
    <w:rsid w:val="000B1FE9"/>
    <w:rsid w:val="000B205E"/>
    <w:rsid w:val="000B2080"/>
    <w:rsid w:val="000B208F"/>
    <w:rsid w:val="000B209D"/>
    <w:rsid w:val="000B20AC"/>
    <w:rsid w:val="000B20B6"/>
    <w:rsid w:val="000B20F2"/>
    <w:rsid w:val="000B2181"/>
    <w:rsid w:val="000B21BD"/>
    <w:rsid w:val="000B21D7"/>
    <w:rsid w:val="000B221C"/>
    <w:rsid w:val="000B2239"/>
    <w:rsid w:val="000B2250"/>
    <w:rsid w:val="000B2329"/>
    <w:rsid w:val="000B23DC"/>
    <w:rsid w:val="000B2412"/>
    <w:rsid w:val="000B2635"/>
    <w:rsid w:val="000B267B"/>
    <w:rsid w:val="000B272D"/>
    <w:rsid w:val="000B2774"/>
    <w:rsid w:val="000B27FF"/>
    <w:rsid w:val="000B28FE"/>
    <w:rsid w:val="000B2935"/>
    <w:rsid w:val="000B2969"/>
    <w:rsid w:val="000B2B10"/>
    <w:rsid w:val="000B2B45"/>
    <w:rsid w:val="000B2BFA"/>
    <w:rsid w:val="000B2D48"/>
    <w:rsid w:val="000B2D4A"/>
    <w:rsid w:val="000B2ED4"/>
    <w:rsid w:val="000B2F27"/>
    <w:rsid w:val="000B2F92"/>
    <w:rsid w:val="000B2F93"/>
    <w:rsid w:val="000B30AE"/>
    <w:rsid w:val="000B30B3"/>
    <w:rsid w:val="000B313E"/>
    <w:rsid w:val="000B317D"/>
    <w:rsid w:val="000B3186"/>
    <w:rsid w:val="000B32B4"/>
    <w:rsid w:val="000B32C3"/>
    <w:rsid w:val="000B3340"/>
    <w:rsid w:val="000B334A"/>
    <w:rsid w:val="000B337E"/>
    <w:rsid w:val="000B34AC"/>
    <w:rsid w:val="000B34E3"/>
    <w:rsid w:val="000B3518"/>
    <w:rsid w:val="000B35CC"/>
    <w:rsid w:val="000B365E"/>
    <w:rsid w:val="000B36CC"/>
    <w:rsid w:val="000B37C7"/>
    <w:rsid w:val="000B3805"/>
    <w:rsid w:val="000B380B"/>
    <w:rsid w:val="000B3890"/>
    <w:rsid w:val="000B38B1"/>
    <w:rsid w:val="000B38C5"/>
    <w:rsid w:val="000B38D6"/>
    <w:rsid w:val="000B39A6"/>
    <w:rsid w:val="000B39B0"/>
    <w:rsid w:val="000B39F8"/>
    <w:rsid w:val="000B3A2D"/>
    <w:rsid w:val="000B3A99"/>
    <w:rsid w:val="000B3D08"/>
    <w:rsid w:val="000B3DC7"/>
    <w:rsid w:val="000B3DCB"/>
    <w:rsid w:val="000B3E84"/>
    <w:rsid w:val="000B3EBA"/>
    <w:rsid w:val="000B3FA9"/>
    <w:rsid w:val="000B3FFF"/>
    <w:rsid w:val="000B404D"/>
    <w:rsid w:val="000B404E"/>
    <w:rsid w:val="000B4110"/>
    <w:rsid w:val="000B4166"/>
    <w:rsid w:val="000B416F"/>
    <w:rsid w:val="000B41AF"/>
    <w:rsid w:val="000B41C0"/>
    <w:rsid w:val="000B4202"/>
    <w:rsid w:val="000B4218"/>
    <w:rsid w:val="000B426C"/>
    <w:rsid w:val="000B4402"/>
    <w:rsid w:val="000B4623"/>
    <w:rsid w:val="000B4682"/>
    <w:rsid w:val="000B4979"/>
    <w:rsid w:val="000B49E2"/>
    <w:rsid w:val="000B49F8"/>
    <w:rsid w:val="000B4B0C"/>
    <w:rsid w:val="000B4D76"/>
    <w:rsid w:val="000B4E17"/>
    <w:rsid w:val="000B4E7E"/>
    <w:rsid w:val="000B4ECC"/>
    <w:rsid w:val="000B4EFE"/>
    <w:rsid w:val="000B4F22"/>
    <w:rsid w:val="000B5096"/>
    <w:rsid w:val="000B518A"/>
    <w:rsid w:val="000B51BA"/>
    <w:rsid w:val="000B53D6"/>
    <w:rsid w:val="000B5551"/>
    <w:rsid w:val="000B560C"/>
    <w:rsid w:val="000B5642"/>
    <w:rsid w:val="000B572D"/>
    <w:rsid w:val="000B575B"/>
    <w:rsid w:val="000B57C0"/>
    <w:rsid w:val="000B5818"/>
    <w:rsid w:val="000B5877"/>
    <w:rsid w:val="000B5884"/>
    <w:rsid w:val="000B58CE"/>
    <w:rsid w:val="000B592A"/>
    <w:rsid w:val="000B59EB"/>
    <w:rsid w:val="000B5A40"/>
    <w:rsid w:val="000B5A51"/>
    <w:rsid w:val="000B5B29"/>
    <w:rsid w:val="000B5B51"/>
    <w:rsid w:val="000B5B93"/>
    <w:rsid w:val="000B5BD5"/>
    <w:rsid w:val="000B5CE8"/>
    <w:rsid w:val="000B5D27"/>
    <w:rsid w:val="000B5DA4"/>
    <w:rsid w:val="000B5DD8"/>
    <w:rsid w:val="000B5E9A"/>
    <w:rsid w:val="000B5F6B"/>
    <w:rsid w:val="000B6022"/>
    <w:rsid w:val="000B602D"/>
    <w:rsid w:val="000B6089"/>
    <w:rsid w:val="000B60AB"/>
    <w:rsid w:val="000B61AD"/>
    <w:rsid w:val="000B6258"/>
    <w:rsid w:val="000B6346"/>
    <w:rsid w:val="000B638B"/>
    <w:rsid w:val="000B63CE"/>
    <w:rsid w:val="000B63F1"/>
    <w:rsid w:val="000B6421"/>
    <w:rsid w:val="000B6445"/>
    <w:rsid w:val="000B64E9"/>
    <w:rsid w:val="000B64FC"/>
    <w:rsid w:val="000B65C8"/>
    <w:rsid w:val="000B6696"/>
    <w:rsid w:val="000B66B1"/>
    <w:rsid w:val="000B670F"/>
    <w:rsid w:val="000B6781"/>
    <w:rsid w:val="000B67C8"/>
    <w:rsid w:val="000B67F6"/>
    <w:rsid w:val="000B68A5"/>
    <w:rsid w:val="000B69B3"/>
    <w:rsid w:val="000B69B4"/>
    <w:rsid w:val="000B69CB"/>
    <w:rsid w:val="000B69F7"/>
    <w:rsid w:val="000B6A3D"/>
    <w:rsid w:val="000B6B12"/>
    <w:rsid w:val="000B6B76"/>
    <w:rsid w:val="000B6BCF"/>
    <w:rsid w:val="000B6CDD"/>
    <w:rsid w:val="000B6D02"/>
    <w:rsid w:val="000B6D45"/>
    <w:rsid w:val="000B6D4A"/>
    <w:rsid w:val="000B6D6C"/>
    <w:rsid w:val="000B6DE4"/>
    <w:rsid w:val="000B6E25"/>
    <w:rsid w:val="000B6E57"/>
    <w:rsid w:val="000B6EC4"/>
    <w:rsid w:val="000B6ED9"/>
    <w:rsid w:val="000B6EE8"/>
    <w:rsid w:val="000B6FAA"/>
    <w:rsid w:val="000B71B1"/>
    <w:rsid w:val="000B72A3"/>
    <w:rsid w:val="000B73CF"/>
    <w:rsid w:val="000B7428"/>
    <w:rsid w:val="000B7452"/>
    <w:rsid w:val="000B7575"/>
    <w:rsid w:val="000B76FD"/>
    <w:rsid w:val="000B775D"/>
    <w:rsid w:val="000B7867"/>
    <w:rsid w:val="000B78B1"/>
    <w:rsid w:val="000B79C0"/>
    <w:rsid w:val="000B7AD5"/>
    <w:rsid w:val="000B7B7E"/>
    <w:rsid w:val="000B7BB7"/>
    <w:rsid w:val="000B7C9C"/>
    <w:rsid w:val="000B7CB5"/>
    <w:rsid w:val="000B7CF1"/>
    <w:rsid w:val="000B7D20"/>
    <w:rsid w:val="000B7D35"/>
    <w:rsid w:val="000B7D40"/>
    <w:rsid w:val="000B7E2F"/>
    <w:rsid w:val="000B7E39"/>
    <w:rsid w:val="000B7E77"/>
    <w:rsid w:val="000B7E82"/>
    <w:rsid w:val="000B7E8A"/>
    <w:rsid w:val="000B7E94"/>
    <w:rsid w:val="000B7EF5"/>
    <w:rsid w:val="000B7F8B"/>
    <w:rsid w:val="000C02B1"/>
    <w:rsid w:val="000C02DE"/>
    <w:rsid w:val="000C034C"/>
    <w:rsid w:val="000C03C1"/>
    <w:rsid w:val="000C0458"/>
    <w:rsid w:val="000C0552"/>
    <w:rsid w:val="000C05B6"/>
    <w:rsid w:val="000C060A"/>
    <w:rsid w:val="000C0684"/>
    <w:rsid w:val="000C0719"/>
    <w:rsid w:val="000C072A"/>
    <w:rsid w:val="000C073E"/>
    <w:rsid w:val="000C089A"/>
    <w:rsid w:val="000C0941"/>
    <w:rsid w:val="000C09BC"/>
    <w:rsid w:val="000C0A2A"/>
    <w:rsid w:val="000C0AB4"/>
    <w:rsid w:val="000C0B4E"/>
    <w:rsid w:val="000C0B56"/>
    <w:rsid w:val="000C0B67"/>
    <w:rsid w:val="000C0BA8"/>
    <w:rsid w:val="000C0BD6"/>
    <w:rsid w:val="000C0D06"/>
    <w:rsid w:val="000C0DAC"/>
    <w:rsid w:val="000C0DE5"/>
    <w:rsid w:val="000C0E1E"/>
    <w:rsid w:val="000C0E5C"/>
    <w:rsid w:val="000C0F03"/>
    <w:rsid w:val="000C0FA3"/>
    <w:rsid w:val="000C0FBB"/>
    <w:rsid w:val="000C1006"/>
    <w:rsid w:val="000C120A"/>
    <w:rsid w:val="000C1228"/>
    <w:rsid w:val="000C13C5"/>
    <w:rsid w:val="000C14FB"/>
    <w:rsid w:val="000C1603"/>
    <w:rsid w:val="000C1613"/>
    <w:rsid w:val="000C1658"/>
    <w:rsid w:val="000C16B0"/>
    <w:rsid w:val="000C16D8"/>
    <w:rsid w:val="000C1728"/>
    <w:rsid w:val="000C1741"/>
    <w:rsid w:val="000C174C"/>
    <w:rsid w:val="000C178D"/>
    <w:rsid w:val="000C17AC"/>
    <w:rsid w:val="000C17C4"/>
    <w:rsid w:val="000C181A"/>
    <w:rsid w:val="000C181B"/>
    <w:rsid w:val="000C189F"/>
    <w:rsid w:val="000C1901"/>
    <w:rsid w:val="000C1903"/>
    <w:rsid w:val="000C190B"/>
    <w:rsid w:val="000C1950"/>
    <w:rsid w:val="000C19B0"/>
    <w:rsid w:val="000C1A0A"/>
    <w:rsid w:val="000C1A73"/>
    <w:rsid w:val="000C1AA4"/>
    <w:rsid w:val="000C1AF0"/>
    <w:rsid w:val="000C1B52"/>
    <w:rsid w:val="000C1B5E"/>
    <w:rsid w:val="000C1B7C"/>
    <w:rsid w:val="000C1BD3"/>
    <w:rsid w:val="000C1BD9"/>
    <w:rsid w:val="000C1BF8"/>
    <w:rsid w:val="000C1C0C"/>
    <w:rsid w:val="000C1C3D"/>
    <w:rsid w:val="000C1CD7"/>
    <w:rsid w:val="000C1D06"/>
    <w:rsid w:val="000C1D9A"/>
    <w:rsid w:val="000C1DE5"/>
    <w:rsid w:val="000C1E18"/>
    <w:rsid w:val="000C1E1D"/>
    <w:rsid w:val="000C1E9C"/>
    <w:rsid w:val="000C1EFB"/>
    <w:rsid w:val="000C200E"/>
    <w:rsid w:val="000C2010"/>
    <w:rsid w:val="000C2028"/>
    <w:rsid w:val="000C2034"/>
    <w:rsid w:val="000C2116"/>
    <w:rsid w:val="000C2129"/>
    <w:rsid w:val="000C21AA"/>
    <w:rsid w:val="000C2335"/>
    <w:rsid w:val="000C2363"/>
    <w:rsid w:val="000C24DB"/>
    <w:rsid w:val="000C25B0"/>
    <w:rsid w:val="000C264F"/>
    <w:rsid w:val="000C2690"/>
    <w:rsid w:val="000C26AD"/>
    <w:rsid w:val="000C26B5"/>
    <w:rsid w:val="000C26D3"/>
    <w:rsid w:val="000C28D3"/>
    <w:rsid w:val="000C28E7"/>
    <w:rsid w:val="000C28FF"/>
    <w:rsid w:val="000C29C5"/>
    <w:rsid w:val="000C29C8"/>
    <w:rsid w:val="000C29F8"/>
    <w:rsid w:val="000C2A9F"/>
    <w:rsid w:val="000C2AC9"/>
    <w:rsid w:val="000C2B4A"/>
    <w:rsid w:val="000C2B82"/>
    <w:rsid w:val="000C2BDE"/>
    <w:rsid w:val="000C2BEA"/>
    <w:rsid w:val="000C2C51"/>
    <w:rsid w:val="000C2C9A"/>
    <w:rsid w:val="000C2CB7"/>
    <w:rsid w:val="000C2CD1"/>
    <w:rsid w:val="000C2CF3"/>
    <w:rsid w:val="000C2CFB"/>
    <w:rsid w:val="000C2D03"/>
    <w:rsid w:val="000C2D23"/>
    <w:rsid w:val="000C2D9A"/>
    <w:rsid w:val="000C2E43"/>
    <w:rsid w:val="000C3058"/>
    <w:rsid w:val="000C3112"/>
    <w:rsid w:val="000C31B7"/>
    <w:rsid w:val="000C31EB"/>
    <w:rsid w:val="000C325D"/>
    <w:rsid w:val="000C32E8"/>
    <w:rsid w:val="000C3322"/>
    <w:rsid w:val="000C3331"/>
    <w:rsid w:val="000C3343"/>
    <w:rsid w:val="000C344F"/>
    <w:rsid w:val="000C34B7"/>
    <w:rsid w:val="000C3554"/>
    <w:rsid w:val="000C357D"/>
    <w:rsid w:val="000C359E"/>
    <w:rsid w:val="000C36F9"/>
    <w:rsid w:val="000C373B"/>
    <w:rsid w:val="000C3790"/>
    <w:rsid w:val="000C3808"/>
    <w:rsid w:val="000C3890"/>
    <w:rsid w:val="000C38F1"/>
    <w:rsid w:val="000C3911"/>
    <w:rsid w:val="000C3936"/>
    <w:rsid w:val="000C39E2"/>
    <w:rsid w:val="000C3A36"/>
    <w:rsid w:val="000C3A40"/>
    <w:rsid w:val="000C3A50"/>
    <w:rsid w:val="000C3B09"/>
    <w:rsid w:val="000C3B62"/>
    <w:rsid w:val="000C3B6B"/>
    <w:rsid w:val="000C3B8E"/>
    <w:rsid w:val="000C3BD6"/>
    <w:rsid w:val="000C3BF2"/>
    <w:rsid w:val="000C3C05"/>
    <w:rsid w:val="000C3D2A"/>
    <w:rsid w:val="000C3D34"/>
    <w:rsid w:val="000C3D6F"/>
    <w:rsid w:val="000C3E08"/>
    <w:rsid w:val="000C3E67"/>
    <w:rsid w:val="000C3E6D"/>
    <w:rsid w:val="000C3E97"/>
    <w:rsid w:val="000C3F00"/>
    <w:rsid w:val="000C3F12"/>
    <w:rsid w:val="000C3F39"/>
    <w:rsid w:val="000C3F7B"/>
    <w:rsid w:val="000C3F99"/>
    <w:rsid w:val="000C4064"/>
    <w:rsid w:val="000C4147"/>
    <w:rsid w:val="000C4171"/>
    <w:rsid w:val="000C41A3"/>
    <w:rsid w:val="000C4216"/>
    <w:rsid w:val="000C4340"/>
    <w:rsid w:val="000C449B"/>
    <w:rsid w:val="000C459B"/>
    <w:rsid w:val="000C45EF"/>
    <w:rsid w:val="000C45FA"/>
    <w:rsid w:val="000C4633"/>
    <w:rsid w:val="000C468B"/>
    <w:rsid w:val="000C46AC"/>
    <w:rsid w:val="000C46AE"/>
    <w:rsid w:val="000C46F2"/>
    <w:rsid w:val="000C4768"/>
    <w:rsid w:val="000C476E"/>
    <w:rsid w:val="000C47DF"/>
    <w:rsid w:val="000C4866"/>
    <w:rsid w:val="000C4998"/>
    <w:rsid w:val="000C4A2D"/>
    <w:rsid w:val="000C4A43"/>
    <w:rsid w:val="000C4A52"/>
    <w:rsid w:val="000C4A93"/>
    <w:rsid w:val="000C4B37"/>
    <w:rsid w:val="000C4C04"/>
    <w:rsid w:val="000C4D64"/>
    <w:rsid w:val="000C4D69"/>
    <w:rsid w:val="000C4F79"/>
    <w:rsid w:val="000C4F99"/>
    <w:rsid w:val="000C4FC4"/>
    <w:rsid w:val="000C5072"/>
    <w:rsid w:val="000C512C"/>
    <w:rsid w:val="000C5156"/>
    <w:rsid w:val="000C5192"/>
    <w:rsid w:val="000C522F"/>
    <w:rsid w:val="000C5236"/>
    <w:rsid w:val="000C5252"/>
    <w:rsid w:val="000C5292"/>
    <w:rsid w:val="000C52B0"/>
    <w:rsid w:val="000C52C6"/>
    <w:rsid w:val="000C52D0"/>
    <w:rsid w:val="000C52FC"/>
    <w:rsid w:val="000C532A"/>
    <w:rsid w:val="000C536C"/>
    <w:rsid w:val="000C5449"/>
    <w:rsid w:val="000C54B7"/>
    <w:rsid w:val="000C54F4"/>
    <w:rsid w:val="000C5502"/>
    <w:rsid w:val="000C5519"/>
    <w:rsid w:val="000C55E6"/>
    <w:rsid w:val="000C55FF"/>
    <w:rsid w:val="000C57D2"/>
    <w:rsid w:val="000C5897"/>
    <w:rsid w:val="000C58CA"/>
    <w:rsid w:val="000C59C8"/>
    <w:rsid w:val="000C5A06"/>
    <w:rsid w:val="000C5AC8"/>
    <w:rsid w:val="000C5AEF"/>
    <w:rsid w:val="000C5B3E"/>
    <w:rsid w:val="000C5B49"/>
    <w:rsid w:val="000C5B7A"/>
    <w:rsid w:val="000C5B8B"/>
    <w:rsid w:val="000C5C85"/>
    <w:rsid w:val="000C5F17"/>
    <w:rsid w:val="000C6103"/>
    <w:rsid w:val="000C612F"/>
    <w:rsid w:val="000C6257"/>
    <w:rsid w:val="000C6275"/>
    <w:rsid w:val="000C6282"/>
    <w:rsid w:val="000C62E5"/>
    <w:rsid w:val="000C6367"/>
    <w:rsid w:val="000C6383"/>
    <w:rsid w:val="000C642C"/>
    <w:rsid w:val="000C6452"/>
    <w:rsid w:val="000C6574"/>
    <w:rsid w:val="000C6652"/>
    <w:rsid w:val="000C66DF"/>
    <w:rsid w:val="000C6770"/>
    <w:rsid w:val="000C6773"/>
    <w:rsid w:val="000C67F6"/>
    <w:rsid w:val="000C68C2"/>
    <w:rsid w:val="000C694A"/>
    <w:rsid w:val="000C69E5"/>
    <w:rsid w:val="000C6A0A"/>
    <w:rsid w:val="000C6A57"/>
    <w:rsid w:val="000C6A99"/>
    <w:rsid w:val="000C6B03"/>
    <w:rsid w:val="000C6B5D"/>
    <w:rsid w:val="000C6C72"/>
    <w:rsid w:val="000C6C9A"/>
    <w:rsid w:val="000C6D5E"/>
    <w:rsid w:val="000C6DFF"/>
    <w:rsid w:val="000C6E86"/>
    <w:rsid w:val="000C7032"/>
    <w:rsid w:val="000C706F"/>
    <w:rsid w:val="000C71E0"/>
    <w:rsid w:val="000C72C7"/>
    <w:rsid w:val="000C72FA"/>
    <w:rsid w:val="000C7309"/>
    <w:rsid w:val="000C73B8"/>
    <w:rsid w:val="000C7466"/>
    <w:rsid w:val="000C754D"/>
    <w:rsid w:val="000C755E"/>
    <w:rsid w:val="000C75BE"/>
    <w:rsid w:val="000C7665"/>
    <w:rsid w:val="000C76DB"/>
    <w:rsid w:val="000C77FF"/>
    <w:rsid w:val="000C784C"/>
    <w:rsid w:val="000C7947"/>
    <w:rsid w:val="000C7958"/>
    <w:rsid w:val="000C797B"/>
    <w:rsid w:val="000C7B15"/>
    <w:rsid w:val="000C7C01"/>
    <w:rsid w:val="000C7CA3"/>
    <w:rsid w:val="000C7CB2"/>
    <w:rsid w:val="000C7CB7"/>
    <w:rsid w:val="000C7D4F"/>
    <w:rsid w:val="000C7DE1"/>
    <w:rsid w:val="000C7E1B"/>
    <w:rsid w:val="000C7E28"/>
    <w:rsid w:val="000C7E9A"/>
    <w:rsid w:val="000C7ED6"/>
    <w:rsid w:val="000C7F04"/>
    <w:rsid w:val="000C7F8D"/>
    <w:rsid w:val="000C7FA6"/>
    <w:rsid w:val="000C7FEE"/>
    <w:rsid w:val="000CC502"/>
    <w:rsid w:val="000D0005"/>
    <w:rsid w:val="000D002F"/>
    <w:rsid w:val="000D00C0"/>
    <w:rsid w:val="000D00C6"/>
    <w:rsid w:val="000D016B"/>
    <w:rsid w:val="000D0199"/>
    <w:rsid w:val="000D019F"/>
    <w:rsid w:val="000D0355"/>
    <w:rsid w:val="000D0377"/>
    <w:rsid w:val="000D039D"/>
    <w:rsid w:val="000D0400"/>
    <w:rsid w:val="000D04CE"/>
    <w:rsid w:val="000D05D8"/>
    <w:rsid w:val="000D0604"/>
    <w:rsid w:val="000D06DD"/>
    <w:rsid w:val="000D07E0"/>
    <w:rsid w:val="000D0813"/>
    <w:rsid w:val="000D08A8"/>
    <w:rsid w:val="000D08F8"/>
    <w:rsid w:val="000D0904"/>
    <w:rsid w:val="000D0972"/>
    <w:rsid w:val="000D0B23"/>
    <w:rsid w:val="000D0B72"/>
    <w:rsid w:val="000D0B7B"/>
    <w:rsid w:val="000D0B94"/>
    <w:rsid w:val="000D0C14"/>
    <w:rsid w:val="000D0CCE"/>
    <w:rsid w:val="000D0E4C"/>
    <w:rsid w:val="000D0EC7"/>
    <w:rsid w:val="000D107B"/>
    <w:rsid w:val="000D110E"/>
    <w:rsid w:val="000D11BD"/>
    <w:rsid w:val="000D11C7"/>
    <w:rsid w:val="000D1233"/>
    <w:rsid w:val="000D12F6"/>
    <w:rsid w:val="000D1324"/>
    <w:rsid w:val="000D1339"/>
    <w:rsid w:val="000D1406"/>
    <w:rsid w:val="000D1439"/>
    <w:rsid w:val="000D14D3"/>
    <w:rsid w:val="000D1537"/>
    <w:rsid w:val="000D15EC"/>
    <w:rsid w:val="000D1640"/>
    <w:rsid w:val="000D16C1"/>
    <w:rsid w:val="000D1722"/>
    <w:rsid w:val="000D18E1"/>
    <w:rsid w:val="000D1912"/>
    <w:rsid w:val="000D1990"/>
    <w:rsid w:val="000D1A13"/>
    <w:rsid w:val="000D1A78"/>
    <w:rsid w:val="000D1AB4"/>
    <w:rsid w:val="000D1B7B"/>
    <w:rsid w:val="000D1BA2"/>
    <w:rsid w:val="000D1BB9"/>
    <w:rsid w:val="000D1C80"/>
    <w:rsid w:val="000D1CBB"/>
    <w:rsid w:val="000D1CC7"/>
    <w:rsid w:val="000D1CCD"/>
    <w:rsid w:val="000D1D4F"/>
    <w:rsid w:val="000D1D51"/>
    <w:rsid w:val="000D1D88"/>
    <w:rsid w:val="000D1DF1"/>
    <w:rsid w:val="000D1E3E"/>
    <w:rsid w:val="000D1E8F"/>
    <w:rsid w:val="000D1F0D"/>
    <w:rsid w:val="000D1FB7"/>
    <w:rsid w:val="000D216F"/>
    <w:rsid w:val="000D219B"/>
    <w:rsid w:val="000D219C"/>
    <w:rsid w:val="000D21AB"/>
    <w:rsid w:val="000D2222"/>
    <w:rsid w:val="000D22AD"/>
    <w:rsid w:val="000D2337"/>
    <w:rsid w:val="000D2374"/>
    <w:rsid w:val="000D2380"/>
    <w:rsid w:val="000D25BD"/>
    <w:rsid w:val="000D26E5"/>
    <w:rsid w:val="000D2713"/>
    <w:rsid w:val="000D2732"/>
    <w:rsid w:val="000D284B"/>
    <w:rsid w:val="000D2965"/>
    <w:rsid w:val="000D299B"/>
    <w:rsid w:val="000D2A6E"/>
    <w:rsid w:val="000D2B06"/>
    <w:rsid w:val="000D2B34"/>
    <w:rsid w:val="000D2CA8"/>
    <w:rsid w:val="000D2CC6"/>
    <w:rsid w:val="000D2D1F"/>
    <w:rsid w:val="000D2D35"/>
    <w:rsid w:val="000D2D41"/>
    <w:rsid w:val="000D2E34"/>
    <w:rsid w:val="000D2EEF"/>
    <w:rsid w:val="000D2F35"/>
    <w:rsid w:val="000D2F86"/>
    <w:rsid w:val="000D3070"/>
    <w:rsid w:val="000D313B"/>
    <w:rsid w:val="000D314D"/>
    <w:rsid w:val="000D3239"/>
    <w:rsid w:val="000D32A0"/>
    <w:rsid w:val="000D330C"/>
    <w:rsid w:val="000D332A"/>
    <w:rsid w:val="000D3338"/>
    <w:rsid w:val="000D3374"/>
    <w:rsid w:val="000D3404"/>
    <w:rsid w:val="000D3412"/>
    <w:rsid w:val="000D3429"/>
    <w:rsid w:val="000D343B"/>
    <w:rsid w:val="000D3491"/>
    <w:rsid w:val="000D3534"/>
    <w:rsid w:val="000D354A"/>
    <w:rsid w:val="000D3562"/>
    <w:rsid w:val="000D3737"/>
    <w:rsid w:val="000D38E7"/>
    <w:rsid w:val="000D3969"/>
    <w:rsid w:val="000D39F5"/>
    <w:rsid w:val="000D3ADC"/>
    <w:rsid w:val="000D3AF4"/>
    <w:rsid w:val="000D3B0B"/>
    <w:rsid w:val="000D3B10"/>
    <w:rsid w:val="000D3BD0"/>
    <w:rsid w:val="000D3BD1"/>
    <w:rsid w:val="000D3C40"/>
    <w:rsid w:val="000D3C68"/>
    <w:rsid w:val="000D3C74"/>
    <w:rsid w:val="000D3CEF"/>
    <w:rsid w:val="000D3D53"/>
    <w:rsid w:val="000D3DBC"/>
    <w:rsid w:val="000D3E3C"/>
    <w:rsid w:val="000D3E9E"/>
    <w:rsid w:val="000D3FEF"/>
    <w:rsid w:val="000D3FFE"/>
    <w:rsid w:val="000D4055"/>
    <w:rsid w:val="000D4078"/>
    <w:rsid w:val="000D4102"/>
    <w:rsid w:val="000D42A9"/>
    <w:rsid w:val="000D4348"/>
    <w:rsid w:val="000D4372"/>
    <w:rsid w:val="000D43D4"/>
    <w:rsid w:val="000D43DF"/>
    <w:rsid w:val="000D43E9"/>
    <w:rsid w:val="000D43ED"/>
    <w:rsid w:val="000D43FF"/>
    <w:rsid w:val="000D4406"/>
    <w:rsid w:val="000D4460"/>
    <w:rsid w:val="000D4472"/>
    <w:rsid w:val="000D447D"/>
    <w:rsid w:val="000D4485"/>
    <w:rsid w:val="000D44D1"/>
    <w:rsid w:val="000D44F1"/>
    <w:rsid w:val="000D45C0"/>
    <w:rsid w:val="000D46FF"/>
    <w:rsid w:val="000D4737"/>
    <w:rsid w:val="000D473C"/>
    <w:rsid w:val="000D4791"/>
    <w:rsid w:val="000D479B"/>
    <w:rsid w:val="000D47D0"/>
    <w:rsid w:val="000D47FF"/>
    <w:rsid w:val="000D48CD"/>
    <w:rsid w:val="000D48EF"/>
    <w:rsid w:val="000D491C"/>
    <w:rsid w:val="000D49C0"/>
    <w:rsid w:val="000D4A08"/>
    <w:rsid w:val="000D4A1A"/>
    <w:rsid w:val="000D4A88"/>
    <w:rsid w:val="000D4BA1"/>
    <w:rsid w:val="000D4BDB"/>
    <w:rsid w:val="000D4C17"/>
    <w:rsid w:val="000D4C8E"/>
    <w:rsid w:val="000D4E1F"/>
    <w:rsid w:val="000D4E2D"/>
    <w:rsid w:val="000D4E47"/>
    <w:rsid w:val="000D4FC5"/>
    <w:rsid w:val="000D4FF2"/>
    <w:rsid w:val="000D5067"/>
    <w:rsid w:val="000D511D"/>
    <w:rsid w:val="000D51C8"/>
    <w:rsid w:val="000D51EE"/>
    <w:rsid w:val="000D521B"/>
    <w:rsid w:val="000D52A6"/>
    <w:rsid w:val="000D52A7"/>
    <w:rsid w:val="000D52BD"/>
    <w:rsid w:val="000D5399"/>
    <w:rsid w:val="000D539E"/>
    <w:rsid w:val="000D53A7"/>
    <w:rsid w:val="000D543C"/>
    <w:rsid w:val="000D547F"/>
    <w:rsid w:val="000D54FA"/>
    <w:rsid w:val="000D5613"/>
    <w:rsid w:val="000D56A7"/>
    <w:rsid w:val="000D56E8"/>
    <w:rsid w:val="000D571A"/>
    <w:rsid w:val="000D57C2"/>
    <w:rsid w:val="000D5808"/>
    <w:rsid w:val="000D5812"/>
    <w:rsid w:val="000D5835"/>
    <w:rsid w:val="000D5844"/>
    <w:rsid w:val="000D584C"/>
    <w:rsid w:val="000D58C0"/>
    <w:rsid w:val="000D58FA"/>
    <w:rsid w:val="000D5973"/>
    <w:rsid w:val="000D59D7"/>
    <w:rsid w:val="000D5BB2"/>
    <w:rsid w:val="000D5BF5"/>
    <w:rsid w:val="000D5C37"/>
    <w:rsid w:val="000D5D12"/>
    <w:rsid w:val="000D5DFA"/>
    <w:rsid w:val="000D5E31"/>
    <w:rsid w:val="000D5E32"/>
    <w:rsid w:val="000D5EC9"/>
    <w:rsid w:val="000D5F0E"/>
    <w:rsid w:val="000D5FD5"/>
    <w:rsid w:val="000D6067"/>
    <w:rsid w:val="000D611D"/>
    <w:rsid w:val="000D6183"/>
    <w:rsid w:val="000D6230"/>
    <w:rsid w:val="000D6267"/>
    <w:rsid w:val="000D62AE"/>
    <w:rsid w:val="000D634B"/>
    <w:rsid w:val="000D6352"/>
    <w:rsid w:val="000D63A0"/>
    <w:rsid w:val="000D6400"/>
    <w:rsid w:val="000D6408"/>
    <w:rsid w:val="000D640B"/>
    <w:rsid w:val="000D6465"/>
    <w:rsid w:val="000D6494"/>
    <w:rsid w:val="000D64A2"/>
    <w:rsid w:val="000D64F5"/>
    <w:rsid w:val="000D6501"/>
    <w:rsid w:val="000D6505"/>
    <w:rsid w:val="000D6533"/>
    <w:rsid w:val="000D6617"/>
    <w:rsid w:val="000D6637"/>
    <w:rsid w:val="000D663B"/>
    <w:rsid w:val="000D6678"/>
    <w:rsid w:val="000D66B0"/>
    <w:rsid w:val="000D67A3"/>
    <w:rsid w:val="000D67F2"/>
    <w:rsid w:val="000D6822"/>
    <w:rsid w:val="000D6845"/>
    <w:rsid w:val="000D684E"/>
    <w:rsid w:val="000D686C"/>
    <w:rsid w:val="000D6933"/>
    <w:rsid w:val="000D69A0"/>
    <w:rsid w:val="000D69B7"/>
    <w:rsid w:val="000D6A42"/>
    <w:rsid w:val="000D6AA6"/>
    <w:rsid w:val="000D6B0D"/>
    <w:rsid w:val="000D6B36"/>
    <w:rsid w:val="000D6C4C"/>
    <w:rsid w:val="000D6C53"/>
    <w:rsid w:val="000D6D16"/>
    <w:rsid w:val="000D6D22"/>
    <w:rsid w:val="000D6D6F"/>
    <w:rsid w:val="000D6E9A"/>
    <w:rsid w:val="000D6FD2"/>
    <w:rsid w:val="000D701D"/>
    <w:rsid w:val="000D7085"/>
    <w:rsid w:val="000D70AE"/>
    <w:rsid w:val="000D7138"/>
    <w:rsid w:val="000D71A7"/>
    <w:rsid w:val="000D71B3"/>
    <w:rsid w:val="000D71C7"/>
    <w:rsid w:val="000D721D"/>
    <w:rsid w:val="000D725B"/>
    <w:rsid w:val="000D72B5"/>
    <w:rsid w:val="000D7300"/>
    <w:rsid w:val="000D731C"/>
    <w:rsid w:val="000D733E"/>
    <w:rsid w:val="000D7482"/>
    <w:rsid w:val="000D74AA"/>
    <w:rsid w:val="000D74B2"/>
    <w:rsid w:val="000D7565"/>
    <w:rsid w:val="000D7612"/>
    <w:rsid w:val="000D7666"/>
    <w:rsid w:val="000D7684"/>
    <w:rsid w:val="000D76A5"/>
    <w:rsid w:val="000D7763"/>
    <w:rsid w:val="000D778F"/>
    <w:rsid w:val="000D7797"/>
    <w:rsid w:val="000D78D4"/>
    <w:rsid w:val="000D78E9"/>
    <w:rsid w:val="000D7964"/>
    <w:rsid w:val="000D7967"/>
    <w:rsid w:val="000D79AD"/>
    <w:rsid w:val="000D7A19"/>
    <w:rsid w:val="000D7A55"/>
    <w:rsid w:val="000D7B3A"/>
    <w:rsid w:val="000D7B5B"/>
    <w:rsid w:val="000D7BAB"/>
    <w:rsid w:val="000D7C5A"/>
    <w:rsid w:val="000D7C99"/>
    <w:rsid w:val="000D7D66"/>
    <w:rsid w:val="000D7D72"/>
    <w:rsid w:val="000D7EAD"/>
    <w:rsid w:val="000D7F75"/>
    <w:rsid w:val="000D7F94"/>
    <w:rsid w:val="000D7FC8"/>
    <w:rsid w:val="000D7FD7"/>
    <w:rsid w:val="000E00CD"/>
    <w:rsid w:val="000E00E4"/>
    <w:rsid w:val="000E0131"/>
    <w:rsid w:val="000E0216"/>
    <w:rsid w:val="000E0254"/>
    <w:rsid w:val="000E0271"/>
    <w:rsid w:val="000E0276"/>
    <w:rsid w:val="000E02C7"/>
    <w:rsid w:val="000E0470"/>
    <w:rsid w:val="000E0493"/>
    <w:rsid w:val="000E04BE"/>
    <w:rsid w:val="000E04E8"/>
    <w:rsid w:val="000E0667"/>
    <w:rsid w:val="000E06D1"/>
    <w:rsid w:val="000E0747"/>
    <w:rsid w:val="000E0755"/>
    <w:rsid w:val="000E07DD"/>
    <w:rsid w:val="000E088F"/>
    <w:rsid w:val="000E0892"/>
    <w:rsid w:val="000E0976"/>
    <w:rsid w:val="000E09FE"/>
    <w:rsid w:val="000E0A19"/>
    <w:rsid w:val="000E0ADA"/>
    <w:rsid w:val="000E0B4F"/>
    <w:rsid w:val="000E0BB2"/>
    <w:rsid w:val="000E0C97"/>
    <w:rsid w:val="000E0D4B"/>
    <w:rsid w:val="000E0DE7"/>
    <w:rsid w:val="000E0F15"/>
    <w:rsid w:val="000E0F4D"/>
    <w:rsid w:val="000E0F8A"/>
    <w:rsid w:val="000E0FF3"/>
    <w:rsid w:val="000E10D0"/>
    <w:rsid w:val="000E11CC"/>
    <w:rsid w:val="000E129B"/>
    <w:rsid w:val="000E12ED"/>
    <w:rsid w:val="000E130A"/>
    <w:rsid w:val="000E1333"/>
    <w:rsid w:val="000E136B"/>
    <w:rsid w:val="000E1383"/>
    <w:rsid w:val="000E13EF"/>
    <w:rsid w:val="000E1470"/>
    <w:rsid w:val="000E14C8"/>
    <w:rsid w:val="000E14EC"/>
    <w:rsid w:val="000E155A"/>
    <w:rsid w:val="000E1677"/>
    <w:rsid w:val="000E16B2"/>
    <w:rsid w:val="000E16B5"/>
    <w:rsid w:val="000E16C1"/>
    <w:rsid w:val="000E16E1"/>
    <w:rsid w:val="000E1753"/>
    <w:rsid w:val="000E1816"/>
    <w:rsid w:val="000E1848"/>
    <w:rsid w:val="000E185C"/>
    <w:rsid w:val="000E186B"/>
    <w:rsid w:val="000E1875"/>
    <w:rsid w:val="000E1955"/>
    <w:rsid w:val="000E19F1"/>
    <w:rsid w:val="000E1A8E"/>
    <w:rsid w:val="000E1AD2"/>
    <w:rsid w:val="000E1B2A"/>
    <w:rsid w:val="000E1BCC"/>
    <w:rsid w:val="000E1C62"/>
    <w:rsid w:val="000E1CA4"/>
    <w:rsid w:val="000E1CAD"/>
    <w:rsid w:val="000E1CC4"/>
    <w:rsid w:val="000E1D4A"/>
    <w:rsid w:val="000E1DA8"/>
    <w:rsid w:val="000E1DC0"/>
    <w:rsid w:val="000E1E16"/>
    <w:rsid w:val="000E1EE9"/>
    <w:rsid w:val="000E1FAB"/>
    <w:rsid w:val="000E2010"/>
    <w:rsid w:val="000E2054"/>
    <w:rsid w:val="000E2099"/>
    <w:rsid w:val="000E20EF"/>
    <w:rsid w:val="000E211E"/>
    <w:rsid w:val="000E2173"/>
    <w:rsid w:val="000E223A"/>
    <w:rsid w:val="000E229A"/>
    <w:rsid w:val="000E2316"/>
    <w:rsid w:val="000E234C"/>
    <w:rsid w:val="000E253A"/>
    <w:rsid w:val="000E262F"/>
    <w:rsid w:val="000E26FF"/>
    <w:rsid w:val="000E272D"/>
    <w:rsid w:val="000E27D7"/>
    <w:rsid w:val="000E27ED"/>
    <w:rsid w:val="000E2854"/>
    <w:rsid w:val="000E28F0"/>
    <w:rsid w:val="000E28F2"/>
    <w:rsid w:val="000E290F"/>
    <w:rsid w:val="000E2976"/>
    <w:rsid w:val="000E29AE"/>
    <w:rsid w:val="000E29F3"/>
    <w:rsid w:val="000E2A02"/>
    <w:rsid w:val="000E2B04"/>
    <w:rsid w:val="000E2B4C"/>
    <w:rsid w:val="000E2B90"/>
    <w:rsid w:val="000E2C21"/>
    <w:rsid w:val="000E2C38"/>
    <w:rsid w:val="000E2C56"/>
    <w:rsid w:val="000E2CBF"/>
    <w:rsid w:val="000E2CE9"/>
    <w:rsid w:val="000E2D2E"/>
    <w:rsid w:val="000E2D92"/>
    <w:rsid w:val="000E2DB5"/>
    <w:rsid w:val="000E2E89"/>
    <w:rsid w:val="000E2E95"/>
    <w:rsid w:val="000E2EC3"/>
    <w:rsid w:val="000E2F28"/>
    <w:rsid w:val="000E3046"/>
    <w:rsid w:val="000E307C"/>
    <w:rsid w:val="000E30D6"/>
    <w:rsid w:val="000E30EB"/>
    <w:rsid w:val="000E3120"/>
    <w:rsid w:val="000E312E"/>
    <w:rsid w:val="000E3235"/>
    <w:rsid w:val="000E326B"/>
    <w:rsid w:val="000E330B"/>
    <w:rsid w:val="000E33A6"/>
    <w:rsid w:val="000E3509"/>
    <w:rsid w:val="000E35C0"/>
    <w:rsid w:val="000E3655"/>
    <w:rsid w:val="000E36C0"/>
    <w:rsid w:val="000E36C6"/>
    <w:rsid w:val="000E37AB"/>
    <w:rsid w:val="000E37B2"/>
    <w:rsid w:val="000E3830"/>
    <w:rsid w:val="000E3876"/>
    <w:rsid w:val="000E391B"/>
    <w:rsid w:val="000E392C"/>
    <w:rsid w:val="000E392D"/>
    <w:rsid w:val="000E3955"/>
    <w:rsid w:val="000E395F"/>
    <w:rsid w:val="000E39DB"/>
    <w:rsid w:val="000E3A2B"/>
    <w:rsid w:val="000E3A3C"/>
    <w:rsid w:val="000E3B01"/>
    <w:rsid w:val="000E3B61"/>
    <w:rsid w:val="000E3B76"/>
    <w:rsid w:val="000E3B80"/>
    <w:rsid w:val="000E3BA0"/>
    <w:rsid w:val="000E3BCB"/>
    <w:rsid w:val="000E3C1A"/>
    <w:rsid w:val="000E3C3D"/>
    <w:rsid w:val="000E3CA9"/>
    <w:rsid w:val="000E3D36"/>
    <w:rsid w:val="000E3D88"/>
    <w:rsid w:val="000E3E54"/>
    <w:rsid w:val="000E3E5C"/>
    <w:rsid w:val="000E3E6D"/>
    <w:rsid w:val="000E3E72"/>
    <w:rsid w:val="000E3EAF"/>
    <w:rsid w:val="000E3F46"/>
    <w:rsid w:val="000E3FEF"/>
    <w:rsid w:val="000E4005"/>
    <w:rsid w:val="000E4039"/>
    <w:rsid w:val="000E4139"/>
    <w:rsid w:val="000E4140"/>
    <w:rsid w:val="000E4346"/>
    <w:rsid w:val="000E435B"/>
    <w:rsid w:val="000E4391"/>
    <w:rsid w:val="000E4444"/>
    <w:rsid w:val="000E44CB"/>
    <w:rsid w:val="000E44CC"/>
    <w:rsid w:val="000E44D0"/>
    <w:rsid w:val="000E44D8"/>
    <w:rsid w:val="000E44E9"/>
    <w:rsid w:val="000E4533"/>
    <w:rsid w:val="000E4546"/>
    <w:rsid w:val="000E4552"/>
    <w:rsid w:val="000E458A"/>
    <w:rsid w:val="000E45B9"/>
    <w:rsid w:val="000E45E7"/>
    <w:rsid w:val="000E4747"/>
    <w:rsid w:val="000E4752"/>
    <w:rsid w:val="000E4820"/>
    <w:rsid w:val="000E482F"/>
    <w:rsid w:val="000E485C"/>
    <w:rsid w:val="000E4894"/>
    <w:rsid w:val="000E48D2"/>
    <w:rsid w:val="000E48E4"/>
    <w:rsid w:val="000E4A07"/>
    <w:rsid w:val="000E4AF5"/>
    <w:rsid w:val="000E4B46"/>
    <w:rsid w:val="000E4CD0"/>
    <w:rsid w:val="000E4CFC"/>
    <w:rsid w:val="000E4D3B"/>
    <w:rsid w:val="000E4DED"/>
    <w:rsid w:val="000E4DFB"/>
    <w:rsid w:val="000E4E22"/>
    <w:rsid w:val="000E4E94"/>
    <w:rsid w:val="000E4F20"/>
    <w:rsid w:val="000E4F4C"/>
    <w:rsid w:val="000E4F98"/>
    <w:rsid w:val="000E4FD0"/>
    <w:rsid w:val="000E506E"/>
    <w:rsid w:val="000E5187"/>
    <w:rsid w:val="000E5222"/>
    <w:rsid w:val="000E52BA"/>
    <w:rsid w:val="000E52EB"/>
    <w:rsid w:val="000E5351"/>
    <w:rsid w:val="000E542D"/>
    <w:rsid w:val="000E5438"/>
    <w:rsid w:val="000E544D"/>
    <w:rsid w:val="000E546D"/>
    <w:rsid w:val="000E5471"/>
    <w:rsid w:val="000E5484"/>
    <w:rsid w:val="000E54D5"/>
    <w:rsid w:val="000E5530"/>
    <w:rsid w:val="000E55E3"/>
    <w:rsid w:val="000E5631"/>
    <w:rsid w:val="000E5666"/>
    <w:rsid w:val="000E5672"/>
    <w:rsid w:val="000E5676"/>
    <w:rsid w:val="000E56C8"/>
    <w:rsid w:val="000E56EC"/>
    <w:rsid w:val="000E577F"/>
    <w:rsid w:val="000E589A"/>
    <w:rsid w:val="000E58AB"/>
    <w:rsid w:val="000E58BE"/>
    <w:rsid w:val="000E590F"/>
    <w:rsid w:val="000E599B"/>
    <w:rsid w:val="000E59B8"/>
    <w:rsid w:val="000E5A59"/>
    <w:rsid w:val="000E5A80"/>
    <w:rsid w:val="000E5AF3"/>
    <w:rsid w:val="000E5B3F"/>
    <w:rsid w:val="000E5B4B"/>
    <w:rsid w:val="000E5B95"/>
    <w:rsid w:val="000E5BBC"/>
    <w:rsid w:val="000E5BED"/>
    <w:rsid w:val="000E5C27"/>
    <w:rsid w:val="000E5DE9"/>
    <w:rsid w:val="000E5E21"/>
    <w:rsid w:val="000E5EC2"/>
    <w:rsid w:val="000E6006"/>
    <w:rsid w:val="000E6029"/>
    <w:rsid w:val="000E606A"/>
    <w:rsid w:val="000E609C"/>
    <w:rsid w:val="000E60E0"/>
    <w:rsid w:val="000E611A"/>
    <w:rsid w:val="000E6201"/>
    <w:rsid w:val="000E62CB"/>
    <w:rsid w:val="000E6355"/>
    <w:rsid w:val="000E643B"/>
    <w:rsid w:val="000E649C"/>
    <w:rsid w:val="000E65F8"/>
    <w:rsid w:val="000E6634"/>
    <w:rsid w:val="000E66E3"/>
    <w:rsid w:val="000E6713"/>
    <w:rsid w:val="000E67D0"/>
    <w:rsid w:val="000E686C"/>
    <w:rsid w:val="000E69A5"/>
    <w:rsid w:val="000E69D1"/>
    <w:rsid w:val="000E6AC5"/>
    <w:rsid w:val="000E6BC5"/>
    <w:rsid w:val="000E6C2E"/>
    <w:rsid w:val="000E6C5F"/>
    <w:rsid w:val="000E6D5C"/>
    <w:rsid w:val="000E6E47"/>
    <w:rsid w:val="000E6F92"/>
    <w:rsid w:val="000E7060"/>
    <w:rsid w:val="000E7079"/>
    <w:rsid w:val="000E70D2"/>
    <w:rsid w:val="000E7118"/>
    <w:rsid w:val="000E7197"/>
    <w:rsid w:val="000E71FE"/>
    <w:rsid w:val="000E72DC"/>
    <w:rsid w:val="000E73FA"/>
    <w:rsid w:val="000E751E"/>
    <w:rsid w:val="000E7586"/>
    <w:rsid w:val="000E75DA"/>
    <w:rsid w:val="000E7766"/>
    <w:rsid w:val="000E780D"/>
    <w:rsid w:val="000E788D"/>
    <w:rsid w:val="000E7985"/>
    <w:rsid w:val="000E7A38"/>
    <w:rsid w:val="000E7A76"/>
    <w:rsid w:val="000E7A9B"/>
    <w:rsid w:val="000E7B6D"/>
    <w:rsid w:val="000E7C38"/>
    <w:rsid w:val="000E7C62"/>
    <w:rsid w:val="000E7CB3"/>
    <w:rsid w:val="000E7CCE"/>
    <w:rsid w:val="000E7D49"/>
    <w:rsid w:val="000E7D7E"/>
    <w:rsid w:val="000E7D9C"/>
    <w:rsid w:val="000E7DE3"/>
    <w:rsid w:val="000E7DF3"/>
    <w:rsid w:val="000E7EAD"/>
    <w:rsid w:val="000E7F29"/>
    <w:rsid w:val="000E7F79"/>
    <w:rsid w:val="000E7FAC"/>
    <w:rsid w:val="000E7FB2"/>
    <w:rsid w:val="000E7FD9"/>
    <w:rsid w:val="000F0110"/>
    <w:rsid w:val="000F015D"/>
    <w:rsid w:val="000F0213"/>
    <w:rsid w:val="000F021F"/>
    <w:rsid w:val="000F0276"/>
    <w:rsid w:val="000F02C5"/>
    <w:rsid w:val="000F0393"/>
    <w:rsid w:val="000F03D4"/>
    <w:rsid w:val="000F0533"/>
    <w:rsid w:val="000F054C"/>
    <w:rsid w:val="000F05D2"/>
    <w:rsid w:val="000F06C1"/>
    <w:rsid w:val="000F06C6"/>
    <w:rsid w:val="000F0702"/>
    <w:rsid w:val="000F0722"/>
    <w:rsid w:val="000F0786"/>
    <w:rsid w:val="000F07D2"/>
    <w:rsid w:val="000F07F2"/>
    <w:rsid w:val="000F08EE"/>
    <w:rsid w:val="000F0A33"/>
    <w:rsid w:val="000F0A9F"/>
    <w:rsid w:val="000F0AA9"/>
    <w:rsid w:val="000F0AB4"/>
    <w:rsid w:val="000F0ACA"/>
    <w:rsid w:val="000F0B59"/>
    <w:rsid w:val="000F0BAD"/>
    <w:rsid w:val="000F0C98"/>
    <w:rsid w:val="000F0CB5"/>
    <w:rsid w:val="000F0D4C"/>
    <w:rsid w:val="000F0DC4"/>
    <w:rsid w:val="000F0E28"/>
    <w:rsid w:val="000F0E50"/>
    <w:rsid w:val="000F0EA6"/>
    <w:rsid w:val="000F0F36"/>
    <w:rsid w:val="000F0F57"/>
    <w:rsid w:val="000F0F76"/>
    <w:rsid w:val="000F0FB4"/>
    <w:rsid w:val="000F0FD7"/>
    <w:rsid w:val="000F0FE0"/>
    <w:rsid w:val="000F0FE6"/>
    <w:rsid w:val="000F1015"/>
    <w:rsid w:val="000F101A"/>
    <w:rsid w:val="000F101C"/>
    <w:rsid w:val="000F1093"/>
    <w:rsid w:val="000F10EC"/>
    <w:rsid w:val="000F10EF"/>
    <w:rsid w:val="000F115C"/>
    <w:rsid w:val="000F1169"/>
    <w:rsid w:val="000F11BF"/>
    <w:rsid w:val="000F1215"/>
    <w:rsid w:val="000F1288"/>
    <w:rsid w:val="000F13E4"/>
    <w:rsid w:val="000F144D"/>
    <w:rsid w:val="000F144E"/>
    <w:rsid w:val="000F14E0"/>
    <w:rsid w:val="000F1508"/>
    <w:rsid w:val="000F1554"/>
    <w:rsid w:val="000F1557"/>
    <w:rsid w:val="000F15A8"/>
    <w:rsid w:val="000F1621"/>
    <w:rsid w:val="000F1811"/>
    <w:rsid w:val="000F1891"/>
    <w:rsid w:val="000F18A1"/>
    <w:rsid w:val="000F18B5"/>
    <w:rsid w:val="000F1907"/>
    <w:rsid w:val="000F191B"/>
    <w:rsid w:val="000F191E"/>
    <w:rsid w:val="000F19AE"/>
    <w:rsid w:val="000F19DB"/>
    <w:rsid w:val="000F19DE"/>
    <w:rsid w:val="000F1A21"/>
    <w:rsid w:val="000F1A33"/>
    <w:rsid w:val="000F1A3E"/>
    <w:rsid w:val="000F1B36"/>
    <w:rsid w:val="000F1B5E"/>
    <w:rsid w:val="000F1C13"/>
    <w:rsid w:val="000F1C3B"/>
    <w:rsid w:val="000F1C50"/>
    <w:rsid w:val="000F1DE0"/>
    <w:rsid w:val="000F1E8C"/>
    <w:rsid w:val="000F1EEA"/>
    <w:rsid w:val="000F1F15"/>
    <w:rsid w:val="000F1FB6"/>
    <w:rsid w:val="000F1FDE"/>
    <w:rsid w:val="000F1FFB"/>
    <w:rsid w:val="000F20A9"/>
    <w:rsid w:val="000F2227"/>
    <w:rsid w:val="000F222E"/>
    <w:rsid w:val="000F22BA"/>
    <w:rsid w:val="000F22C0"/>
    <w:rsid w:val="000F22ED"/>
    <w:rsid w:val="000F2349"/>
    <w:rsid w:val="000F2355"/>
    <w:rsid w:val="000F23A7"/>
    <w:rsid w:val="000F2420"/>
    <w:rsid w:val="000F252B"/>
    <w:rsid w:val="000F2636"/>
    <w:rsid w:val="000F2644"/>
    <w:rsid w:val="000F27C7"/>
    <w:rsid w:val="000F28D6"/>
    <w:rsid w:val="000F297C"/>
    <w:rsid w:val="000F29E5"/>
    <w:rsid w:val="000F29E8"/>
    <w:rsid w:val="000F2A2B"/>
    <w:rsid w:val="000F2ABF"/>
    <w:rsid w:val="000F2AE9"/>
    <w:rsid w:val="000F2B02"/>
    <w:rsid w:val="000F2B33"/>
    <w:rsid w:val="000F2BC0"/>
    <w:rsid w:val="000F2C23"/>
    <w:rsid w:val="000F2C78"/>
    <w:rsid w:val="000F2CBB"/>
    <w:rsid w:val="000F2D5C"/>
    <w:rsid w:val="000F2DC1"/>
    <w:rsid w:val="000F2E56"/>
    <w:rsid w:val="000F2ECE"/>
    <w:rsid w:val="000F2EDC"/>
    <w:rsid w:val="000F2F57"/>
    <w:rsid w:val="000F3054"/>
    <w:rsid w:val="000F30F8"/>
    <w:rsid w:val="000F313C"/>
    <w:rsid w:val="000F3324"/>
    <w:rsid w:val="000F33CD"/>
    <w:rsid w:val="000F34EC"/>
    <w:rsid w:val="000F34ED"/>
    <w:rsid w:val="000F3778"/>
    <w:rsid w:val="000F37FE"/>
    <w:rsid w:val="000F3801"/>
    <w:rsid w:val="000F380E"/>
    <w:rsid w:val="000F3875"/>
    <w:rsid w:val="000F3959"/>
    <w:rsid w:val="000F3992"/>
    <w:rsid w:val="000F3A2B"/>
    <w:rsid w:val="000F3AFE"/>
    <w:rsid w:val="000F3BBF"/>
    <w:rsid w:val="000F3C1C"/>
    <w:rsid w:val="000F3CF7"/>
    <w:rsid w:val="000F3D4D"/>
    <w:rsid w:val="000F3D58"/>
    <w:rsid w:val="000F3E9E"/>
    <w:rsid w:val="000F3EA9"/>
    <w:rsid w:val="000F3EB9"/>
    <w:rsid w:val="000F3F24"/>
    <w:rsid w:val="000F3F5A"/>
    <w:rsid w:val="000F3FB4"/>
    <w:rsid w:val="000F4063"/>
    <w:rsid w:val="000F407C"/>
    <w:rsid w:val="000F4093"/>
    <w:rsid w:val="000F40CA"/>
    <w:rsid w:val="000F4144"/>
    <w:rsid w:val="000F4172"/>
    <w:rsid w:val="000F419C"/>
    <w:rsid w:val="000F41B8"/>
    <w:rsid w:val="000F41CA"/>
    <w:rsid w:val="000F4217"/>
    <w:rsid w:val="000F4325"/>
    <w:rsid w:val="000F4339"/>
    <w:rsid w:val="000F4388"/>
    <w:rsid w:val="000F43A4"/>
    <w:rsid w:val="000F43B2"/>
    <w:rsid w:val="000F447C"/>
    <w:rsid w:val="000F451B"/>
    <w:rsid w:val="000F4526"/>
    <w:rsid w:val="000F4534"/>
    <w:rsid w:val="000F4552"/>
    <w:rsid w:val="000F458A"/>
    <w:rsid w:val="000F4680"/>
    <w:rsid w:val="000F46B5"/>
    <w:rsid w:val="000F4737"/>
    <w:rsid w:val="000F4746"/>
    <w:rsid w:val="000F487D"/>
    <w:rsid w:val="000F48DA"/>
    <w:rsid w:val="000F49B3"/>
    <w:rsid w:val="000F4A0D"/>
    <w:rsid w:val="000F4AA0"/>
    <w:rsid w:val="000F4B0D"/>
    <w:rsid w:val="000F4B46"/>
    <w:rsid w:val="000F4CA1"/>
    <w:rsid w:val="000F4DE9"/>
    <w:rsid w:val="000F4E1A"/>
    <w:rsid w:val="000F4E65"/>
    <w:rsid w:val="000F4E6C"/>
    <w:rsid w:val="000F4E84"/>
    <w:rsid w:val="000F4F28"/>
    <w:rsid w:val="000F4FE9"/>
    <w:rsid w:val="000F5020"/>
    <w:rsid w:val="000F5124"/>
    <w:rsid w:val="000F514D"/>
    <w:rsid w:val="000F518D"/>
    <w:rsid w:val="000F5243"/>
    <w:rsid w:val="000F524B"/>
    <w:rsid w:val="000F52B4"/>
    <w:rsid w:val="000F5361"/>
    <w:rsid w:val="000F545B"/>
    <w:rsid w:val="000F5462"/>
    <w:rsid w:val="000F5479"/>
    <w:rsid w:val="000F54B9"/>
    <w:rsid w:val="000F5572"/>
    <w:rsid w:val="000F557F"/>
    <w:rsid w:val="000F5595"/>
    <w:rsid w:val="000F5597"/>
    <w:rsid w:val="000F5614"/>
    <w:rsid w:val="000F5685"/>
    <w:rsid w:val="000F569A"/>
    <w:rsid w:val="000F5720"/>
    <w:rsid w:val="000F578B"/>
    <w:rsid w:val="000F5794"/>
    <w:rsid w:val="000F57CE"/>
    <w:rsid w:val="000F57EA"/>
    <w:rsid w:val="000F5852"/>
    <w:rsid w:val="000F58AA"/>
    <w:rsid w:val="000F598A"/>
    <w:rsid w:val="000F5998"/>
    <w:rsid w:val="000F59B7"/>
    <w:rsid w:val="000F5A9C"/>
    <w:rsid w:val="000F5ADB"/>
    <w:rsid w:val="000F5AF5"/>
    <w:rsid w:val="000F5C5F"/>
    <w:rsid w:val="000F5CD8"/>
    <w:rsid w:val="000F5D0D"/>
    <w:rsid w:val="000F5DAF"/>
    <w:rsid w:val="000F5E63"/>
    <w:rsid w:val="000F5E89"/>
    <w:rsid w:val="000F5F5C"/>
    <w:rsid w:val="000F5FD9"/>
    <w:rsid w:val="000F6074"/>
    <w:rsid w:val="000F60F7"/>
    <w:rsid w:val="000F610D"/>
    <w:rsid w:val="000F615A"/>
    <w:rsid w:val="000F6189"/>
    <w:rsid w:val="000F6292"/>
    <w:rsid w:val="000F6367"/>
    <w:rsid w:val="000F641A"/>
    <w:rsid w:val="000F645D"/>
    <w:rsid w:val="000F6468"/>
    <w:rsid w:val="000F64AD"/>
    <w:rsid w:val="000F6566"/>
    <w:rsid w:val="000F6628"/>
    <w:rsid w:val="000F663A"/>
    <w:rsid w:val="000F6720"/>
    <w:rsid w:val="000F67FE"/>
    <w:rsid w:val="000F6834"/>
    <w:rsid w:val="000F687D"/>
    <w:rsid w:val="000F687E"/>
    <w:rsid w:val="000F6900"/>
    <w:rsid w:val="000F6924"/>
    <w:rsid w:val="000F6959"/>
    <w:rsid w:val="000F6A3A"/>
    <w:rsid w:val="000F6B14"/>
    <w:rsid w:val="000F6BD6"/>
    <w:rsid w:val="000F6DC4"/>
    <w:rsid w:val="000F6F01"/>
    <w:rsid w:val="000F6FAD"/>
    <w:rsid w:val="000F7001"/>
    <w:rsid w:val="000F7026"/>
    <w:rsid w:val="000F7031"/>
    <w:rsid w:val="000F713F"/>
    <w:rsid w:val="000F715D"/>
    <w:rsid w:val="000F7272"/>
    <w:rsid w:val="000F7273"/>
    <w:rsid w:val="000F73B0"/>
    <w:rsid w:val="000F73F2"/>
    <w:rsid w:val="000F746E"/>
    <w:rsid w:val="000F7529"/>
    <w:rsid w:val="000F7686"/>
    <w:rsid w:val="000F768E"/>
    <w:rsid w:val="000F7709"/>
    <w:rsid w:val="000F7715"/>
    <w:rsid w:val="000F775C"/>
    <w:rsid w:val="000F77C6"/>
    <w:rsid w:val="000F7817"/>
    <w:rsid w:val="000F78BA"/>
    <w:rsid w:val="000F7980"/>
    <w:rsid w:val="000F79FE"/>
    <w:rsid w:val="000F7A16"/>
    <w:rsid w:val="000F7A85"/>
    <w:rsid w:val="000F7AC5"/>
    <w:rsid w:val="000F7B30"/>
    <w:rsid w:val="000F7B78"/>
    <w:rsid w:val="000F7C8E"/>
    <w:rsid w:val="000F7C98"/>
    <w:rsid w:val="000F7E2F"/>
    <w:rsid w:val="000F7E44"/>
    <w:rsid w:val="000F7E99"/>
    <w:rsid w:val="000F7EEC"/>
    <w:rsid w:val="000F7F7B"/>
    <w:rsid w:val="0010004D"/>
    <w:rsid w:val="00100077"/>
    <w:rsid w:val="001000D3"/>
    <w:rsid w:val="0010017C"/>
    <w:rsid w:val="001001AD"/>
    <w:rsid w:val="001001B6"/>
    <w:rsid w:val="001001CF"/>
    <w:rsid w:val="001001D0"/>
    <w:rsid w:val="001002A8"/>
    <w:rsid w:val="001002DC"/>
    <w:rsid w:val="001002E3"/>
    <w:rsid w:val="001003AD"/>
    <w:rsid w:val="0010040D"/>
    <w:rsid w:val="001004A5"/>
    <w:rsid w:val="00100500"/>
    <w:rsid w:val="001005B3"/>
    <w:rsid w:val="00100719"/>
    <w:rsid w:val="00100759"/>
    <w:rsid w:val="00100802"/>
    <w:rsid w:val="00100884"/>
    <w:rsid w:val="0010088E"/>
    <w:rsid w:val="001008CD"/>
    <w:rsid w:val="0010097C"/>
    <w:rsid w:val="001009A3"/>
    <w:rsid w:val="001009A9"/>
    <w:rsid w:val="001009CE"/>
    <w:rsid w:val="00100AEE"/>
    <w:rsid w:val="00100B5F"/>
    <w:rsid w:val="00100C37"/>
    <w:rsid w:val="00100D3B"/>
    <w:rsid w:val="00100D3C"/>
    <w:rsid w:val="00100D64"/>
    <w:rsid w:val="00100DB6"/>
    <w:rsid w:val="00100DC2"/>
    <w:rsid w:val="00100E54"/>
    <w:rsid w:val="00100E9D"/>
    <w:rsid w:val="00100F23"/>
    <w:rsid w:val="00100FA6"/>
    <w:rsid w:val="00100FFF"/>
    <w:rsid w:val="00101067"/>
    <w:rsid w:val="001010D5"/>
    <w:rsid w:val="001010F0"/>
    <w:rsid w:val="00101137"/>
    <w:rsid w:val="00101198"/>
    <w:rsid w:val="001011A6"/>
    <w:rsid w:val="00101298"/>
    <w:rsid w:val="00101321"/>
    <w:rsid w:val="00101347"/>
    <w:rsid w:val="00101354"/>
    <w:rsid w:val="0010135F"/>
    <w:rsid w:val="00101383"/>
    <w:rsid w:val="00101385"/>
    <w:rsid w:val="00101391"/>
    <w:rsid w:val="001013B2"/>
    <w:rsid w:val="00101437"/>
    <w:rsid w:val="00101489"/>
    <w:rsid w:val="00101533"/>
    <w:rsid w:val="001015BE"/>
    <w:rsid w:val="001016C3"/>
    <w:rsid w:val="001017DE"/>
    <w:rsid w:val="0010182C"/>
    <w:rsid w:val="001018DD"/>
    <w:rsid w:val="00101942"/>
    <w:rsid w:val="00101A54"/>
    <w:rsid w:val="00101AF0"/>
    <w:rsid w:val="00101C30"/>
    <w:rsid w:val="00101C66"/>
    <w:rsid w:val="00101CC9"/>
    <w:rsid w:val="00101D3C"/>
    <w:rsid w:val="00101D5C"/>
    <w:rsid w:val="00101E0C"/>
    <w:rsid w:val="00101E3E"/>
    <w:rsid w:val="00101E69"/>
    <w:rsid w:val="00101E81"/>
    <w:rsid w:val="00101F15"/>
    <w:rsid w:val="001020F0"/>
    <w:rsid w:val="00102157"/>
    <w:rsid w:val="001021B4"/>
    <w:rsid w:val="001022E5"/>
    <w:rsid w:val="00102399"/>
    <w:rsid w:val="0010239A"/>
    <w:rsid w:val="001023A4"/>
    <w:rsid w:val="001023D1"/>
    <w:rsid w:val="0010247A"/>
    <w:rsid w:val="0010248A"/>
    <w:rsid w:val="001024FA"/>
    <w:rsid w:val="00102586"/>
    <w:rsid w:val="00102590"/>
    <w:rsid w:val="00102599"/>
    <w:rsid w:val="00102638"/>
    <w:rsid w:val="00102663"/>
    <w:rsid w:val="0010269B"/>
    <w:rsid w:val="001026A6"/>
    <w:rsid w:val="001026FE"/>
    <w:rsid w:val="001027B8"/>
    <w:rsid w:val="001029E2"/>
    <w:rsid w:val="00102A70"/>
    <w:rsid w:val="00102ACB"/>
    <w:rsid w:val="00102B96"/>
    <w:rsid w:val="00102BD0"/>
    <w:rsid w:val="00102C19"/>
    <w:rsid w:val="00102CFA"/>
    <w:rsid w:val="00102D25"/>
    <w:rsid w:val="00102EC4"/>
    <w:rsid w:val="00102FA0"/>
    <w:rsid w:val="00102FB0"/>
    <w:rsid w:val="00103021"/>
    <w:rsid w:val="0010303B"/>
    <w:rsid w:val="00103050"/>
    <w:rsid w:val="001030F4"/>
    <w:rsid w:val="00103183"/>
    <w:rsid w:val="001031AC"/>
    <w:rsid w:val="001031F9"/>
    <w:rsid w:val="0010333D"/>
    <w:rsid w:val="00103350"/>
    <w:rsid w:val="0010339C"/>
    <w:rsid w:val="00103420"/>
    <w:rsid w:val="00103590"/>
    <w:rsid w:val="00103670"/>
    <w:rsid w:val="00103682"/>
    <w:rsid w:val="001036E7"/>
    <w:rsid w:val="0010379B"/>
    <w:rsid w:val="00103814"/>
    <w:rsid w:val="0010381B"/>
    <w:rsid w:val="001038B1"/>
    <w:rsid w:val="001038B9"/>
    <w:rsid w:val="001038CE"/>
    <w:rsid w:val="001038FF"/>
    <w:rsid w:val="00103925"/>
    <w:rsid w:val="00103A55"/>
    <w:rsid w:val="00103A7F"/>
    <w:rsid w:val="00103A87"/>
    <w:rsid w:val="00103AD8"/>
    <w:rsid w:val="00103AF5"/>
    <w:rsid w:val="00103C5D"/>
    <w:rsid w:val="00103C7A"/>
    <w:rsid w:val="00103D20"/>
    <w:rsid w:val="00103D23"/>
    <w:rsid w:val="00103D96"/>
    <w:rsid w:val="00103DD7"/>
    <w:rsid w:val="00103E0C"/>
    <w:rsid w:val="00103E0D"/>
    <w:rsid w:val="00103F14"/>
    <w:rsid w:val="00103F6D"/>
    <w:rsid w:val="00103F7F"/>
    <w:rsid w:val="0010400F"/>
    <w:rsid w:val="0010402B"/>
    <w:rsid w:val="0010409F"/>
    <w:rsid w:val="001040C8"/>
    <w:rsid w:val="00104235"/>
    <w:rsid w:val="0010424F"/>
    <w:rsid w:val="0010426D"/>
    <w:rsid w:val="0010428C"/>
    <w:rsid w:val="001042D4"/>
    <w:rsid w:val="001042D5"/>
    <w:rsid w:val="00104331"/>
    <w:rsid w:val="001043D5"/>
    <w:rsid w:val="001043DD"/>
    <w:rsid w:val="001043E7"/>
    <w:rsid w:val="00104550"/>
    <w:rsid w:val="00104611"/>
    <w:rsid w:val="00104674"/>
    <w:rsid w:val="0010467E"/>
    <w:rsid w:val="001046AF"/>
    <w:rsid w:val="001046B7"/>
    <w:rsid w:val="001046E1"/>
    <w:rsid w:val="00104759"/>
    <w:rsid w:val="0010476D"/>
    <w:rsid w:val="0010479F"/>
    <w:rsid w:val="001047CC"/>
    <w:rsid w:val="00104826"/>
    <w:rsid w:val="001048D7"/>
    <w:rsid w:val="00104A34"/>
    <w:rsid w:val="00104AA1"/>
    <w:rsid w:val="00104ABD"/>
    <w:rsid w:val="00104B14"/>
    <w:rsid w:val="00104BAD"/>
    <w:rsid w:val="00104BE1"/>
    <w:rsid w:val="00104C37"/>
    <w:rsid w:val="00104C41"/>
    <w:rsid w:val="00104CAD"/>
    <w:rsid w:val="00104CBB"/>
    <w:rsid w:val="00104CD0"/>
    <w:rsid w:val="00104D26"/>
    <w:rsid w:val="00104D28"/>
    <w:rsid w:val="00104D7A"/>
    <w:rsid w:val="00104DB6"/>
    <w:rsid w:val="00104E02"/>
    <w:rsid w:val="00104E6A"/>
    <w:rsid w:val="00104E78"/>
    <w:rsid w:val="00104EC2"/>
    <w:rsid w:val="00104EFF"/>
    <w:rsid w:val="00104F16"/>
    <w:rsid w:val="00104F4E"/>
    <w:rsid w:val="0010506C"/>
    <w:rsid w:val="001050FC"/>
    <w:rsid w:val="0010516E"/>
    <w:rsid w:val="001051A7"/>
    <w:rsid w:val="001051BC"/>
    <w:rsid w:val="001051E1"/>
    <w:rsid w:val="00105287"/>
    <w:rsid w:val="00105333"/>
    <w:rsid w:val="00105337"/>
    <w:rsid w:val="0010538C"/>
    <w:rsid w:val="00105437"/>
    <w:rsid w:val="0010546C"/>
    <w:rsid w:val="00105500"/>
    <w:rsid w:val="00105505"/>
    <w:rsid w:val="0010555F"/>
    <w:rsid w:val="001055A8"/>
    <w:rsid w:val="001055F0"/>
    <w:rsid w:val="001055F2"/>
    <w:rsid w:val="001055F4"/>
    <w:rsid w:val="0010562D"/>
    <w:rsid w:val="001056D6"/>
    <w:rsid w:val="00105743"/>
    <w:rsid w:val="00105772"/>
    <w:rsid w:val="00105797"/>
    <w:rsid w:val="001057CB"/>
    <w:rsid w:val="00105806"/>
    <w:rsid w:val="0010590D"/>
    <w:rsid w:val="00105955"/>
    <w:rsid w:val="0010597B"/>
    <w:rsid w:val="00105B1D"/>
    <w:rsid w:val="00105CC9"/>
    <w:rsid w:val="00105CED"/>
    <w:rsid w:val="00105D7C"/>
    <w:rsid w:val="00105D80"/>
    <w:rsid w:val="00105E14"/>
    <w:rsid w:val="00105E7F"/>
    <w:rsid w:val="00105E85"/>
    <w:rsid w:val="00105FD1"/>
    <w:rsid w:val="00106078"/>
    <w:rsid w:val="001060A5"/>
    <w:rsid w:val="001060EC"/>
    <w:rsid w:val="00106116"/>
    <w:rsid w:val="001061AF"/>
    <w:rsid w:val="001061C6"/>
    <w:rsid w:val="001061DC"/>
    <w:rsid w:val="00106255"/>
    <w:rsid w:val="001062CB"/>
    <w:rsid w:val="001062D7"/>
    <w:rsid w:val="001062F8"/>
    <w:rsid w:val="0010634A"/>
    <w:rsid w:val="00106370"/>
    <w:rsid w:val="0010640A"/>
    <w:rsid w:val="00106609"/>
    <w:rsid w:val="0010661E"/>
    <w:rsid w:val="0010665F"/>
    <w:rsid w:val="00106665"/>
    <w:rsid w:val="00106670"/>
    <w:rsid w:val="0010674F"/>
    <w:rsid w:val="0010683B"/>
    <w:rsid w:val="00106842"/>
    <w:rsid w:val="001068CA"/>
    <w:rsid w:val="00106902"/>
    <w:rsid w:val="00106988"/>
    <w:rsid w:val="0010699F"/>
    <w:rsid w:val="00106B3C"/>
    <w:rsid w:val="00106BB2"/>
    <w:rsid w:val="00106CB2"/>
    <w:rsid w:val="00106CF9"/>
    <w:rsid w:val="00106D45"/>
    <w:rsid w:val="00106D4B"/>
    <w:rsid w:val="00106D7E"/>
    <w:rsid w:val="00106DB5"/>
    <w:rsid w:val="00106DE3"/>
    <w:rsid w:val="00106E39"/>
    <w:rsid w:val="00106E60"/>
    <w:rsid w:val="00106F60"/>
    <w:rsid w:val="00107026"/>
    <w:rsid w:val="0010707E"/>
    <w:rsid w:val="001070B9"/>
    <w:rsid w:val="00107111"/>
    <w:rsid w:val="00107164"/>
    <w:rsid w:val="00107196"/>
    <w:rsid w:val="00107254"/>
    <w:rsid w:val="00107264"/>
    <w:rsid w:val="0010730D"/>
    <w:rsid w:val="001073F8"/>
    <w:rsid w:val="001074D3"/>
    <w:rsid w:val="001074F7"/>
    <w:rsid w:val="00107584"/>
    <w:rsid w:val="001075A8"/>
    <w:rsid w:val="001075E8"/>
    <w:rsid w:val="00107610"/>
    <w:rsid w:val="00107615"/>
    <w:rsid w:val="0010765E"/>
    <w:rsid w:val="0010770C"/>
    <w:rsid w:val="0010788D"/>
    <w:rsid w:val="00107948"/>
    <w:rsid w:val="001079F3"/>
    <w:rsid w:val="00107A03"/>
    <w:rsid w:val="00107A15"/>
    <w:rsid w:val="00107AF0"/>
    <w:rsid w:val="00107B54"/>
    <w:rsid w:val="00107CC7"/>
    <w:rsid w:val="00107CFD"/>
    <w:rsid w:val="00107D75"/>
    <w:rsid w:val="00107E0D"/>
    <w:rsid w:val="00107FE1"/>
    <w:rsid w:val="0011003D"/>
    <w:rsid w:val="00110075"/>
    <w:rsid w:val="00110089"/>
    <w:rsid w:val="0011008D"/>
    <w:rsid w:val="001100BC"/>
    <w:rsid w:val="001100F0"/>
    <w:rsid w:val="001100F1"/>
    <w:rsid w:val="001100FF"/>
    <w:rsid w:val="00110205"/>
    <w:rsid w:val="0011024B"/>
    <w:rsid w:val="00110280"/>
    <w:rsid w:val="0011031F"/>
    <w:rsid w:val="0011033C"/>
    <w:rsid w:val="001103D8"/>
    <w:rsid w:val="001104C9"/>
    <w:rsid w:val="00110502"/>
    <w:rsid w:val="00110513"/>
    <w:rsid w:val="0011053D"/>
    <w:rsid w:val="00110544"/>
    <w:rsid w:val="00110548"/>
    <w:rsid w:val="0011057B"/>
    <w:rsid w:val="0011059E"/>
    <w:rsid w:val="001105CF"/>
    <w:rsid w:val="001105D9"/>
    <w:rsid w:val="0011063F"/>
    <w:rsid w:val="00110689"/>
    <w:rsid w:val="00110693"/>
    <w:rsid w:val="001106BB"/>
    <w:rsid w:val="001106C4"/>
    <w:rsid w:val="00110727"/>
    <w:rsid w:val="00110730"/>
    <w:rsid w:val="00110760"/>
    <w:rsid w:val="00110860"/>
    <w:rsid w:val="001108A9"/>
    <w:rsid w:val="001108FA"/>
    <w:rsid w:val="00110A5F"/>
    <w:rsid w:val="00110A70"/>
    <w:rsid w:val="00110AED"/>
    <w:rsid w:val="00110B91"/>
    <w:rsid w:val="00110BAA"/>
    <w:rsid w:val="00110C5C"/>
    <w:rsid w:val="00110C81"/>
    <w:rsid w:val="00110CBF"/>
    <w:rsid w:val="00110CDA"/>
    <w:rsid w:val="00110DED"/>
    <w:rsid w:val="00110DFE"/>
    <w:rsid w:val="00110F62"/>
    <w:rsid w:val="00110FB1"/>
    <w:rsid w:val="00110FD0"/>
    <w:rsid w:val="00110FE3"/>
    <w:rsid w:val="00111036"/>
    <w:rsid w:val="0011104A"/>
    <w:rsid w:val="001110A9"/>
    <w:rsid w:val="00111134"/>
    <w:rsid w:val="0011116A"/>
    <w:rsid w:val="0011118F"/>
    <w:rsid w:val="00111210"/>
    <w:rsid w:val="00111234"/>
    <w:rsid w:val="00111249"/>
    <w:rsid w:val="0011128B"/>
    <w:rsid w:val="00111330"/>
    <w:rsid w:val="00111344"/>
    <w:rsid w:val="001113AF"/>
    <w:rsid w:val="00111437"/>
    <w:rsid w:val="0011148F"/>
    <w:rsid w:val="00111494"/>
    <w:rsid w:val="00111524"/>
    <w:rsid w:val="00111548"/>
    <w:rsid w:val="00111571"/>
    <w:rsid w:val="00111578"/>
    <w:rsid w:val="00111649"/>
    <w:rsid w:val="0011164C"/>
    <w:rsid w:val="00111658"/>
    <w:rsid w:val="00111691"/>
    <w:rsid w:val="00111693"/>
    <w:rsid w:val="0011170D"/>
    <w:rsid w:val="00111725"/>
    <w:rsid w:val="00111762"/>
    <w:rsid w:val="00111790"/>
    <w:rsid w:val="001117F0"/>
    <w:rsid w:val="0011184E"/>
    <w:rsid w:val="001118B4"/>
    <w:rsid w:val="001118D8"/>
    <w:rsid w:val="001118F1"/>
    <w:rsid w:val="001119B5"/>
    <w:rsid w:val="001119EA"/>
    <w:rsid w:val="00111A05"/>
    <w:rsid w:val="00111A1F"/>
    <w:rsid w:val="00111AC1"/>
    <w:rsid w:val="00111AD4"/>
    <w:rsid w:val="00111B4C"/>
    <w:rsid w:val="00111B85"/>
    <w:rsid w:val="00111C02"/>
    <w:rsid w:val="00111CA4"/>
    <w:rsid w:val="00111D54"/>
    <w:rsid w:val="00111D57"/>
    <w:rsid w:val="00111D88"/>
    <w:rsid w:val="00111E7C"/>
    <w:rsid w:val="00111EBF"/>
    <w:rsid w:val="00111F40"/>
    <w:rsid w:val="00111F86"/>
    <w:rsid w:val="0011212D"/>
    <w:rsid w:val="00112141"/>
    <w:rsid w:val="00112160"/>
    <w:rsid w:val="001121EB"/>
    <w:rsid w:val="001121F2"/>
    <w:rsid w:val="001122CE"/>
    <w:rsid w:val="001122D5"/>
    <w:rsid w:val="00112309"/>
    <w:rsid w:val="001123C7"/>
    <w:rsid w:val="001123EA"/>
    <w:rsid w:val="00112469"/>
    <w:rsid w:val="00112594"/>
    <w:rsid w:val="001127EC"/>
    <w:rsid w:val="00112800"/>
    <w:rsid w:val="00112827"/>
    <w:rsid w:val="00112905"/>
    <w:rsid w:val="00112942"/>
    <w:rsid w:val="0011294E"/>
    <w:rsid w:val="001129F3"/>
    <w:rsid w:val="00112AE1"/>
    <w:rsid w:val="00112B31"/>
    <w:rsid w:val="00112B89"/>
    <w:rsid w:val="00112B9C"/>
    <w:rsid w:val="00112C32"/>
    <w:rsid w:val="00112CE6"/>
    <w:rsid w:val="00112D0D"/>
    <w:rsid w:val="00112E34"/>
    <w:rsid w:val="00112F32"/>
    <w:rsid w:val="00112F95"/>
    <w:rsid w:val="00112FCD"/>
    <w:rsid w:val="0011302C"/>
    <w:rsid w:val="0011304C"/>
    <w:rsid w:val="0011306B"/>
    <w:rsid w:val="001130C9"/>
    <w:rsid w:val="001130ED"/>
    <w:rsid w:val="00113101"/>
    <w:rsid w:val="001131D0"/>
    <w:rsid w:val="0011333F"/>
    <w:rsid w:val="001133C1"/>
    <w:rsid w:val="00113491"/>
    <w:rsid w:val="00113495"/>
    <w:rsid w:val="00113566"/>
    <w:rsid w:val="001135AB"/>
    <w:rsid w:val="001135D7"/>
    <w:rsid w:val="00113643"/>
    <w:rsid w:val="0011374B"/>
    <w:rsid w:val="00113768"/>
    <w:rsid w:val="0011378D"/>
    <w:rsid w:val="001137D2"/>
    <w:rsid w:val="001138A8"/>
    <w:rsid w:val="001138B7"/>
    <w:rsid w:val="001138F0"/>
    <w:rsid w:val="0011396D"/>
    <w:rsid w:val="00113BF7"/>
    <w:rsid w:val="00113C3F"/>
    <w:rsid w:val="00113CD5"/>
    <w:rsid w:val="00113D02"/>
    <w:rsid w:val="00113D22"/>
    <w:rsid w:val="00113D80"/>
    <w:rsid w:val="00113DC1"/>
    <w:rsid w:val="00113F3A"/>
    <w:rsid w:val="0011401D"/>
    <w:rsid w:val="0011404A"/>
    <w:rsid w:val="001140DE"/>
    <w:rsid w:val="00114137"/>
    <w:rsid w:val="00114153"/>
    <w:rsid w:val="00114187"/>
    <w:rsid w:val="001141B5"/>
    <w:rsid w:val="001141F1"/>
    <w:rsid w:val="00114227"/>
    <w:rsid w:val="001142D1"/>
    <w:rsid w:val="00114342"/>
    <w:rsid w:val="00114349"/>
    <w:rsid w:val="0011434B"/>
    <w:rsid w:val="001143C8"/>
    <w:rsid w:val="001143D6"/>
    <w:rsid w:val="001143DE"/>
    <w:rsid w:val="00114405"/>
    <w:rsid w:val="001145AE"/>
    <w:rsid w:val="001145F0"/>
    <w:rsid w:val="00114777"/>
    <w:rsid w:val="00114791"/>
    <w:rsid w:val="001147A2"/>
    <w:rsid w:val="001147D4"/>
    <w:rsid w:val="001147E1"/>
    <w:rsid w:val="0011489B"/>
    <w:rsid w:val="0011499A"/>
    <w:rsid w:val="001149B1"/>
    <w:rsid w:val="00114AED"/>
    <w:rsid w:val="00114B13"/>
    <w:rsid w:val="00114BCE"/>
    <w:rsid w:val="00114BF3"/>
    <w:rsid w:val="00114CDF"/>
    <w:rsid w:val="00114D1C"/>
    <w:rsid w:val="00114D5F"/>
    <w:rsid w:val="00114DE6"/>
    <w:rsid w:val="00114EE7"/>
    <w:rsid w:val="00114F8F"/>
    <w:rsid w:val="00114F91"/>
    <w:rsid w:val="00114F95"/>
    <w:rsid w:val="0011510C"/>
    <w:rsid w:val="00115140"/>
    <w:rsid w:val="00115231"/>
    <w:rsid w:val="00115234"/>
    <w:rsid w:val="00115248"/>
    <w:rsid w:val="00115251"/>
    <w:rsid w:val="00115294"/>
    <w:rsid w:val="001152C3"/>
    <w:rsid w:val="001152F9"/>
    <w:rsid w:val="0011532B"/>
    <w:rsid w:val="0011554D"/>
    <w:rsid w:val="001155AB"/>
    <w:rsid w:val="001155EF"/>
    <w:rsid w:val="00115603"/>
    <w:rsid w:val="001156A4"/>
    <w:rsid w:val="0011579B"/>
    <w:rsid w:val="001157C2"/>
    <w:rsid w:val="0011586C"/>
    <w:rsid w:val="00115874"/>
    <w:rsid w:val="0011587E"/>
    <w:rsid w:val="001158C4"/>
    <w:rsid w:val="001158D0"/>
    <w:rsid w:val="0011593F"/>
    <w:rsid w:val="00115A14"/>
    <w:rsid w:val="00115A43"/>
    <w:rsid w:val="00115A5C"/>
    <w:rsid w:val="00115ABC"/>
    <w:rsid w:val="00115AC0"/>
    <w:rsid w:val="00115B1A"/>
    <w:rsid w:val="00115CBB"/>
    <w:rsid w:val="00115D52"/>
    <w:rsid w:val="00115DA6"/>
    <w:rsid w:val="00115DB7"/>
    <w:rsid w:val="00115E84"/>
    <w:rsid w:val="00115E94"/>
    <w:rsid w:val="00116008"/>
    <w:rsid w:val="00116034"/>
    <w:rsid w:val="00116098"/>
    <w:rsid w:val="001160C8"/>
    <w:rsid w:val="001160CE"/>
    <w:rsid w:val="001160E5"/>
    <w:rsid w:val="00116103"/>
    <w:rsid w:val="0011621F"/>
    <w:rsid w:val="0011624A"/>
    <w:rsid w:val="001162AA"/>
    <w:rsid w:val="001162CD"/>
    <w:rsid w:val="001162CF"/>
    <w:rsid w:val="00116316"/>
    <w:rsid w:val="001165EE"/>
    <w:rsid w:val="00116817"/>
    <w:rsid w:val="0011681C"/>
    <w:rsid w:val="001168A8"/>
    <w:rsid w:val="0011690E"/>
    <w:rsid w:val="0011695F"/>
    <w:rsid w:val="00116981"/>
    <w:rsid w:val="001169A2"/>
    <w:rsid w:val="001169BA"/>
    <w:rsid w:val="00116A97"/>
    <w:rsid w:val="00116B07"/>
    <w:rsid w:val="00116BF3"/>
    <w:rsid w:val="00116C7B"/>
    <w:rsid w:val="00116DF3"/>
    <w:rsid w:val="00116E2D"/>
    <w:rsid w:val="00116F2A"/>
    <w:rsid w:val="00116F42"/>
    <w:rsid w:val="00116FC9"/>
    <w:rsid w:val="00117056"/>
    <w:rsid w:val="00117066"/>
    <w:rsid w:val="00117183"/>
    <w:rsid w:val="00117292"/>
    <w:rsid w:val="0011729B"/>
    <w:rsid w:val="001173B7"/>
    <w:rsid w:val="001173C0"/>
    <w:rsid w:val="001173E9"/>
    <w:rsid w:val="001173F8"/>
    <w:rsid w:val="00117488"/>
    <w:rsid w:val="00117497"/>
    <w:rsid w:val="0011756E"/>
    <w:rsid w:val="0011758E"/>
    <w:rsid w:val="00117593"/>
    <w:rsid w:val="00117660"/>
    <w:rsid w:val="001176E1"/>
    <w:rsid w:val="0011774A"/>
    <w:rsid w:val="0011775B"/>
    <w:rsid w:val="00117850"/>
    <w:rsid w:val="00117968"/>
    <w:rsid w:val="00117988"/>
    <w:rsid w:val="00117989"/>
    <w:rsid w:val="00117993"/>
    <w:rsid w:val="001179CC"/>
    <w:rsid w:val="001179D3"/>
    <w:rsid w:val="00117A0F"/>
    <w:rsid w:val="00117A5A"/>
    <w:rsid w:val="00117D83"/>
    <w:rsid w:val="00117DD1"/>
    <w:rsid w:val="00117EAA"/>
    <w:rsid w:val="00117EFB"/>
    <w:rsid w:val="00117F18"/>
    <w:rsid w:val="00120002"/>
    <w:rsid w:val="0012004E"/>
    <w:rsid w:val="00120122"/>
    <w:rsid w:val="0012015E"/>
    <w:rsid w:val="001201AE"/>
    <w:rsid w:val="00120218"/>
    <w:rsid w:val="00120268"/>
    <w:rsid w:val="00120269"/>
    <w:rsid w:val="00120472"/>
    <w:rsid w:val="001204A4"/>
    <w:rsid w:val="001204AC"/>
    <w:rsid w:val="001204C1"/>
    <w:rsid w:val="0012052D"/>
    <w:rsid w:val="00120574"/>
    <w:rsid w:val="0012061D"/>
    <w:rsid w:val="0012067C"/>
    <w:rsid w:val="00120689"/>
    <w:rsid w:val="00120698"/>
    <w:rsid w:val="0012082F"/>
    <w:rsid w:val="001208A2"/>
    <w:rsid w:val="0012094A"/>
    <w:rsid w:val="0012097A"/>
    <w:rsid w:val="001209E4"/>
    <w:rsid w:val="00120A28"/>
    <w:rsid w:val="00120A98"/>
    <w:rsid w:val="00120AE5"/>
    <w:rsid w:val="00120AFA"/>
    <w:rsid w:val="00120B57"/>
    <w:rsid w:val="00120C09"/>
    <w:rsid w:val="00120C9D"/>
    <w:rsid w:val="00120D98"/>
    <w:rsid w:val="00120DC1"/>
    <w:rsid w:val="00120EF3"/>
    <w:rsid w:val="00120F32"/>
    <w:rsid w:val="00120F54"/>
    <w:rsid w:val="00120FAD"/>
    <w:rsid w:val="00120FD8"/>
    <w:rsid w:val="00120FEB"/>
    <w:rsid w:val="00121015"/>
    <w:rsid w:val="0012103C"/>
    <w:rsid w:val="0012103D"/>
    <w:rsid w:val="001210C3"/>
    <w:rsid w:val="001210FF"/>
    <w:rsid w:val="0012118E"/>
    <w:rsid w:val="00121280"/>
    <w:rsid w:val="00121296"/>
    <w:rsid w:val="00121336"/>
    <w:rsid w:val="0012133F"/>
    <w:rsid w:val="001213EC"/>
    <w:rsid w:val="0012140E"/>
    <w:rsid w:val="0012148A"/>
    <w:rsid w:val="001214E7"/>
    <w:rsid w:val="00121579"/>
    <w:rsid w:val="0012173D"/>
    <w:rsid w:val="0012175E"/>
    <w:rsid w:val="001217AB"/>
    <w:rsid w:val="001217E9"/>
    <w:rsid w:val="00121837"/>
    <w:rsid w:val="00121844"/>
    <w:rsid w:val="0012188D"/>
    <w:rsid w:val="001218D4"/>
    <w:rsid w:val="001219D3"/>
    <w:rsid w:val="00121B9E"/>
    <w:rsid w:val="00121BCA"/>
    <w:rsid w:val="00121CD3"/>
    <w:rsid w:val="00121D48"/>
    <w:rsid w:val="00121DA5"/>
    <w:rsid w:val="00121EA4"/>
    <w:rsid w:val="00121EB1"/>
    <w:rsid w:val="00121EF0"/>
    <w:rsid w:val="00121F21"/>
    <w:rsid w:val="00121FA0"/>
    <w:rsid w:val="001220A2"/>
    <w:rsid w:val="001220BA"/>
    <w:rsid w:val="0012210B"/>
    <w:rsid w:val="00122303"/>
    <w:rsid w:val="00122359"/>
    <w:rsid w:val="0012247E"/>
    <w:rsid w:val="00122491"/>
    <w:rsid w:val="001224DD"/>
    <w:rsid w:val="00122554"/>
    <w:rsid w:val="001225C2"/>
    <w:rsid w:val="00122716"/>
    <w:rsid w:val="00122794"/>
    <w:rsid w:val="0012282B"/>
    <w:rsid w:val="0012289B"/>
    <w:rsid w:val="001228B3"/>
    <w:rsid w:val="001228E7"/>
    <w:rsid w:val="001228EC"/>
    <w:rsid w:val="001228F9"/>
    <w:rsid w:val="00122A11"/>
    <w:rsid w:val="00122AAD"/>
    <w:rsid w:val="00122AF9"/>
    <w:rsid w:val="00122B6E"/>
    <w:rsid w:val="00122C85"/>
    <w:rsid w:val="00122CB6"/>
    <w:rsid w:val="00122CF1"/>
    <w:rsid w:val="00122F13"/>
    <w:rsid w:val="00122F16"/>
    <w:rsid w:val="00122F85"/>
    <w:rsid w:val="0012303A"/>
    <w:rsid w:val="00123056"/>
    <w:rsid w:val="00123057"/>
    <w:rsid w:val="00123069"/>
    <w:rsid w:val="00123105"/>
    <w:rsid w:val="00123121"/>
    <w:rsid w:val="001231C1"/>
    <w:rsid w:val="001231D4"/>
    <w:rsid w:val="001232CD"/>
    <w:rsid w:val="0012333D"/>
    <w:rsid w:val="001234AE"/>
    <w:rsid w:val="00123598"/>
    <w:rsid w:val="001235E0"/>
    <w:rsid w:val="001237C0"/>
    <w:rsid w:val="001237E2"/>
    <w:rsid w:val="00123855"/>
    <w:rsid w:val="00123889"/>
    <w:rsid w:val="001238BC"/>
    <w:rsid w:val="001239AE"/>
    <w:rsid w:val="001239C1"/>
    <w:rsid w:val="001239FD"/>
    <w:rsid w:val="00123A0A"/>
    <w:rsid w:val="00123A1B"/>
    <w:rsid w:val="00123A26"/>
    <w:rsid w:val="00123A27"/>
    <w:rsid w:val="00123A48"/>
    <w:rsid w:val="00123A81"/>
    <w:rsid w:val="00123AEA"/>
    <w:rsid w:val="00123B04"/>
    <w:rsid w:val="00123B0F"/>
    <w:rsid w:val="00123B37"/>
    <w:rsid w:val="00123B51"/>
    <w:rsid w:val="00123B64"/>
    <w:rsid w:val="00123BB0"/>
    <w:rsid w:val="00123BFC"/>
    <w:rsid w:val="00123C3A"/>
    <w:rsid w:val="00123C4B"/>
    <w:rsid w:val="00123D04"/>
    <w:rsid w:val="00123DB6"/>
    <w:rsid w:val="00123DF3"/>
    <w:rsid w:val="00123DF8"/>
    <w:rsid w:val="00123E04"/>
    <w:rsid w:val="00123ECC"/>
    <w:rsid w:val="00123F11"/>
    <w:rsid w:val="00123F4B"/>
    <w:rsid w:val="00123F89"/>
    <w:rsid w:val="0012400B"/>
    <w:rsid w:val="001241E7"/>
    <w:rsid w:val="00124272"/>
    <w:rsid w:val="001242ED"/>
    <w:rsid w:val="0012434C"/>
    <w:rsid w:val="001243B2"/>
    <w:rsid w:val="001243EA"/>
    <w:rsid w:val="001243F8"/>
    <w:rsid w:val="00124400"/>
    <w:rsid w:val="001244FB"/>
    <w:rsid w:val="00124503"/>
    <w:rsid w:val="0012457D"/>
    <w:rsid w:val="00124589"/>
    <w:rsid w:val="00124650"/>
    <w:rsid w:val="00124764"/>
    <w:rsid w:val="001247C8"/>
    <w:rsid w:val="001248B2"/>
    <w:rsid w:val="0012492E"/>
    <w:rsid w:val="00124982"/>
    <w:rsid w:val="001249A2"/>
    <w:rsid w:val="00124AA5"/>
    <w:rsid w:val="00124AE8"/>
    <w:rsid w:val="00124BC2"/>
    <w:rsid w:val="00124C57"/>
    <w:rsid w:val="00124D1E"/>
    <w:rsid w:val="00124D4B"/>
    <w:rsid w:val="00124E03"/>
    <w:rsid w:val="00124E2C"/>
    <w:rsid w:val="00124E81"/>
    <w:rsid w:val="00124EFB"/>
    <w:rsid w:val="00124F33"/>
    <w:rsid w:val="00124FEF"/>
    <w:rsid w:val="00125097"/>
    <w:rsid w:val="0012513D"/>
    <w:rsid w:val="00125188"/>
    <w:rsid w:val="001251C0"/>
    <w:rsid w:val="001251CC"/>
    <w:rsid w:val="0012524D"/>
    <w:rsid w:val="00125484"/>
    <w:rsid w:val="0012554B"/>
    <w:rsid w:val="00125559"/>
    <w:rsid w:val="0012555B"/>
    <w:rsid w:val="001256FC"/>
    <w:rsid w:val="00125778"/>
    <w:rsid w:val="001257A1"/>
    <w:rsid w:val="0012582D"/>
    <w:rsid w:val="0012592E"/>
    <w:rsid w:val="00125974"/>
    <w:rsid w:val="001259BE"/>
    <w:rsid w:val="001259CC"/>
    <w:rsid w:val="001259F0"/>
    <w:rsid w:val="00125A41"/>
    <w:rsid w:val="00125A78"/>
    <w:rsid w:val="00125B35"/>
    <w:rsid w:val="00125C0B"/>
    <w:rsid w:val="00125C40"/>
    <w:rsid w:val="00125C46"/>
    <w:rsid w:val="00125CBD"/>
    <w:rsid w:val="00125CDA"/>
    <w:rsid w:val="00125D3D"/>
    <w:rsid w:val="00125D6D"/>
    <w:rsid w:val="00125D96"/>
    <w:rsid w:val="00125DA0"/>
    <w:rsid w:val="00125EA4"/>
    <w:rsid w:val="00125F06"/>
    <w:rsid w:val="00125F3A"/>
    <w:rsid w:val="00125F79"/>
    <w:rsid w:val="001260A7"/>
    <w:rsid w:val="00126264"/>
    <w:rsid w:val="0012637C"/>
    <w:rsid w:val="001264CD"/>
    <w:rsid w:val="0012651D"/>
    <w:rsid w:val="0012654B"/>
    <w:rsid w:val="001265DD"/>
    <w:rsid w:val="001265F8"/>
    <w:rsid w:val="00126610"/>
    <w:rsid w:val="00126661"/>
    <w:rsid w:val="0012666E"/>
    <w:rsid w:val="00126800"/>
    <w:rsid w:val="00126816"/>
    <w:rsid w:val="00126939"/>
    <w:rsid w:val="001269CC"/>
    <w:rsid w:val="001269F2"/>
    <w:rsid w:val="00126A3B"/>
    <w:rsid w:val="00126A3F"/>
    <w:rsid w:val="00126A58"/>
    <w:rsid w:val="00126A5C"/>
    <w:rsid w:val="00126AB5"/>
    <w:rsid w:val="00126B63"/>
    <w:rsid w:val="00126B81"/>
    <w:rsid w:val="00126BCF"/>
    <w:rsid w:val="00126BE9"/>
    <w:rsid w:val="00126C1A"/>
    <w:rsid w:val="00126ED2"/>
    <w:rsid w:val="00126EEB"/>
    <w:rsid w:val="00126F39"/>
    <w:rsid w:val="00127133"/>
    <w:rsid w:val="00127136"/>
    <w:rsid w:val="00127138"/>
    <w:rsid w:val="00127139"/>
    <w:rsid w:val="00127147"/>
    <w:rsid w:val="0012716B"/>
    <w:rsid w:val="001271A1"/>
    <w:rsid w:val="00127278"/>
    <w:rsid w:val="001272FC"/>
    <w:rsid w:val="00127318"/>
    <w:rsid w:val="00127319"/>
    <w:rsid w:val="0012731A"/>
    <w:rsid w:val="001273AD"/>
    <w:rsid w:val="001273CA"/>
    <w:rsid w:val="001273E3"/>
    <w:rsid w:val="001273E9"/>
    <w:rsid w:val="00127425"/>
    <w:rsid w:val="00127473"/>
    <w:rsid w:val="00127480"/>
    <w:rsid w:val="001274DF"/>
    <w:rsid w:val="0012752B"/>
    <w:rsid w:val="00127562"/>
    <w:rsid w:val="00127572"/>
    <w:rsid w:val="00127717"/>
    <w:rsid w:val="0012773A"/>
    <w:rsid w:val="00127740"/>
    <w:rsid w:val="001277BD"/>
    <w:rsid w:val="001277C0"/>
    <w:rsid w:val="00127A26"/>
    <w:rsid w:val="00127AF8"/>
    <w:rsid w:val="00127BCE"/>
    <w:rsid w:val="00127DC0"/>
    <w:rsid w:val="00127DE8"/>
    <w:rsid w:val="00127DEF"/>
    <w:rsid w:val="00127E76"/>
    <w:rsid w:val="00127F05"/>
    <w:rsid w:val="00127F81"/>
    <w:rsid w:val="0013013C"/>
    <w:rsid w:val="00130183"/>
    <w:rsid w:val="0013019E"/>
    <w:rsid w:val="0013028C"/>
    <w:rsid w:val="001302E1"/>
    <w:rsid w:val="00130336"/>
    <w:rsid w:val="00130391"/>
    <w:rsid w:val="0013039C"/>
    <w:rsid w:val="001303F8"/>
    <w:rsid w:val="0013046D"/>
    <w:rsid w:val="001304A7"/>
    <w:rsid w:val="0013050C"/>
    <w:rsid w:val="001305A7"/>
    <w:rsid w:val="00130663"/>
    <w:rsid w:val="00130677"/>
    <w:rsid w:val="00130692"/>
    <w:rsid w:val="001306FA"/>
    <w:rsid w:val="00130705"/>
    <w:rsid w:val="00130808"/>
    <w:rsid w:val="00130928"/>
    <w:rsid w:val="00130A47"/>
    <w:rsid w:val="00130A4B"/>
    <w:rsid w:val="00130AA4"/>
    <w:rsid w:val="00130AB0"/>
    <w:rsid w:val="00130ADA"/>
    <w:rsid w:val="00130B35"/>
    <w:rsid w:val="00130B55"/>
    <w:rsid w:val="00130C39"/>
    <w:rsid w:val="00130C3E"/>
    <w:rsid w:val="00130C87"/>
    <w:rsid w:val="00130CC8"/>
    <w:rsid w:val="00130CFE"/>
    <w:rsid w:val="00130D25"/>
    <w:rsid w:val="00130D65"/>
    <w:rsid w:val="00130DC1"/>
    <w:rsid w:val="00130EB6"/>
    <w:rsid w:val="00130F57"/>
    <w:rsid w:val="00131075"/>
    <w:rsid w:val="001310BC"/>
    <w:rsid w:val="00131184"/>
    <w:rsid w:val="00131213"/>
    <w:rsid w:val="001312DA"/>
    <w:rsid w:val="001312DF"/>
    <w:rsid w:val="00131307"/>
    <w:rsid w:val="001313DC"/>
    <w:rsid w:val="00131462"/>
    <w:rsid w:val="00131484"/>
    <w:rsid w:val="001314A0"/>
    <w:rsid w:val="0013154B"/>
    <w:rsid w:val="0013155F"/>
    <w:rsid w:val="00131571"/>
    <w:rsid w:val="001315A8"/>
    <w:rsid w:val="001315CE"/>
    <w:rsid w:val="001315E2"/>
    <w:rsid w:val="001315FA"/>
    <w:rsid w:val="0013163E"/>
    <w:rsid w:val="0013167D"/>
    <w:rsid w:val="001316E7"/>
    <w:rsid w:val="00131727"/>
    <w:rsid w:val="00131728"/>
    <w:rsid w:val="0013173D"/>
    <w:rsid w:val="001317D7"/>
    <w:rsid w:val="001317EC"/>
    <w:rsid w:val="00131835"/>
    <w:rsid w:val="00131854"/>
    <w:rsid w:val="00131988"/>
    <w:rsid w:val="00131A91"/>
    <w:rsid w:val="00131AC4"/>
    <w:rsid w:val="00131AD9"/>
    <w:rsid w:val="00131ADA"/>
    <w:rsid w:val="00131B5B"/>
    <w:rsid w:val="00131B60"/>
    <w:rsid w:val="00131CA9"/>
    <w:rsid w:val="00131D94"/>
    <w:rsid w:val="00131D9A"/>
    <w:rsid w:val="00131DA1"/>
    <w:rsid w:val="00131DF4"/>
    <w:rsid w:val="00131E88"/>
    <w:rsid w:val="00131EC2"/>
    <w:rsid w:val="00131EF2"/>
    <w:rsid w:val="00131F43"/>
    <w:rsid w:val="00131F74"/>
    <w:rsid w:val="00132145"/>
    <w:rsid w:val="00132150"/>
    <w:rsid w:val="00132329"/>
    <w:rsid w:val="00132365"/>
    <w:rsid w:val="001323EE"/>
    <w:rsid w:val="001325E5"/>
    <w:rsid w:val="00132742"/>
    <w:rsid w:val="00132967"/>
    <w:rsid w:val="00132A5E"/>
    <w:rsid w:val="00132A70"/>
    <w:rsid w:val="00132A71"/>
    <w:rsid w:val="00132AD2"/>
    <w:rsid w:val="00132BA2"/>
    <w:rsid w:val="00132C15"/>
    <w:rsid w:val="00132C20"/>
    <w:rsid w:val="00132C52"/>
    <w:rsid w:val="00132C94"/>
    <w:rsid w:val="00132CE7"/>
    <w:rsid w:val="00132D10"/>
    <w:rsid w:val="00132D16"/>
    <w:rsid w:val="00132D7D"/>
    <w:rsid w:val="00132DF2"/>
    <w:rsid w:val="00132E21"/>
    <w:rsid w:val="00132EC3"/>
    <w:rsid w:val="00132ECB"/>
    <w:rsid w:val="00132F7E"/>
    <w:rsid w:val="00132FBA"/>
    <w:rsid w:val="0013300F"/>
    <w:rsid w:val="00133093"/>
    <w:rsid w:val="001330C0"/>
    <w:rsid w:val="00133191"/>
    <w:rsid w:val="00133213"/>
    <w:rsid w:val="00133323"/>
    <w:rsid w:val="0013332D"/>
    <w:rsid w:val="00133398"/>
    <w:rsid w:val="001333B2"/>
    <w:rsid w:val="001333C7"/>
    <w:rsid w:val="001333C9"/>
    <w:rsid w:val="001333DE"/>
    <w:rsid w:val="0013340E"/>
    <w:rsid w:val="0013349A"/>
    <w:rsid w:val="001334D2"/>
    <w:rsid w:val="001336EF"/>
    <w:rsid w:val="00133717"/>
    <w:rsid w:val="00133743"/>
    <w:rsid w:val="001337A0"/>
    <w:rsid w:val="00133840"/>
    <w:rsid w:val="0013385F"/>
    <w:rsid w:val="00133873"/>
    <w:rsid w:val="001338A7"/>
    <w:rsid w:val="0013398A"/>
    <w:rsid w:val="00133990"/>
    <w:rsid w:val="001339EE"/>
    <w:rsid w:val="00133A2F"/>
    <w:rsid w:val="00133A34"/>
    <w:rsid w:val="00133C96"/>
    <w:rsid w:val="00133CD9"/>
    <w:rsid w:val="00133D22"/>
    <w:rsid w:val="00133D5C"/>
    <w:rsid w:val="00133DFD"/>
    <w:rsid w:val="00133EB9"/>
    <w:rsid w:val="00133F00"/>
    <w:rsid w:val="00133F22"/>
    <w:rsid w:val="00133F6C"/>
    <w:rsid w:val="00134050"/>
    <w:rsid w:val="0013410C"/>
    <w:rsid w:val="00134118"/>
    <w:rsid w:val="00134180"/>
    <w:rsid w:val="001341E6"/>
    <w:rsid w:val="0013429E"/>
    <w:rsid w:val="001342F1"/>
    <w:rsid w:val="0013430B"/>
    <w:rsid w:val="00134312"/>
    <w:rsid w:val="00134318"/>
    <w:rsid w:val="001343B6"/>
    <w:rsid w:val="00134448"/>
    <w:rsid w:val="00134483"/>
    <w:rsid w:val="001344AF"/>
    <w:rsid w:val="001344DF"/>
    <w:rsid w:val="00134555"/>
    <w:rsid w:val="001345F2"/>
    <w:rsid w:val="00134718"/>
    <w:rsid w:val="0013475D"/>
    <w:rsid w:val="0013493D"/>
    <w:rsid w:val="00134A5E"/>
    <w:rsid w:val="00134AED"/>
    <w:rsid w:val="00134B2F"/>
    <w:rsid w:val="00134B78"/>
    <w:rsid w:val="00134B7E"/>
    <w:rsid w:val="00134B99"/>
    <w:rsid w:val="00134C13"/>
    <w:rsid w:val="00134C38"/>
    <w:rsid w:val="00134C74"/>
    <w:rsid w:val="00134CCC"/>
    <w:rsid w:val="00134CE1"/>
    <w:rsid w:val="00134D65"/>
    <w:rsid w:val="00134E31"/>
    <w:rsid w:val="00134E8F"/>
    <w:rsid w:val="00134ECE"/>
    <w:rsid w:val="00134EF6"/>
    <w:rsid w:val="00134FFA"/>
    <w:rsid w:val="0013500B"/>
    <w:rsid w:val="00135047"/>
    <w:rsid w:val="00135126"/>
    <w:rsid w:val="0013518F"/>
    <w:rsid w:val="00135273"/>
    <w:rsid w:val="0013529B"/>
    <w:rsid w:val="001352B7"/>
    <w:rsid w:val="001352F9"/>
    <w:rsid w:val="001352FA"/>
    <w:rsid w:val="0013534E"/>
    <w:rsid w:val="0013539D"/>
    <w:rsid w:val="00135438"/>
    <w:rsid w:val="0013547F"/>
    <w:rsid w:val="0013549F"/>
    <w:rsid w:val="001354B8"/>
    <w:rsid w:val="001354ED"/>
    <w:rsid w:val="00135634"/>
    <w:rsid w:val="001356ED"/>
    <w:rsid w:val="001357C7"/>
    <w:rsid w:val="001357EF"/>
    <w:rsid w:val="0013580D"/>
    <w:rsid w:val="0013589C"/>
    <w:rsid w:val="001358A8"/>
    <w:rsid w:val="00135901"/>
    <w:rsid w:val="001359AB"/>
    <w:rsid w:val="00135A2F"/>
    <w:rsid w:val="00135A7C"/>
    <w:rsid w:val="00135AD3"/>
    <w:rsid w:val="00135C4B"/>
    <w:rsid w:val="00135C7A"/>
    <w:rsid w:val="00135C95"/>
    <w:rsid w:val="00135CB0"/>
    <w:rsid w:val="00135E46"/>
    <w:rsid w:val="00135E5A"/>
    <w:rsid w:val="00135EA9"/>
    <w:rsid w:val="00135ECF"/>
    <w:rsid w:val="00135EF5"/>
    <w:rsid w:val="00136080"/>
    <w:rsid w:val="00136117"/>
    <w:rsid w:val="00136192"/>
    <w:rsid w:val="0013625B"/>
    <w:rsid w:val="001363A2"/>
    <w:rsid w:val="001363E5"/>
    <w:rsid w:val="00136436"/>
    <w:rsid w:val="00136528"/>
    <w:rsid w:val="001365F8"/>
    <w:rsid w:val="00136742"/>
    <w:rsid w:val="001367A5"/>
    <w:rsid w:val="001368DA"/>
    <w:rsid w:val="001368E3"/>
    <w:rsid w:val="001368EC"/>
    <w:rsid w:val="00136947"/>
    <w:rsid w:val="0013697B"/>
    <w:rsid w:val="001369D0"/>
    <w:rsid w:val="001369DC"/>
    <w:rsid w:val="00136A15"/>
    <w:rsid w:val="00136AE1"/>
    <w:rsid w:val="00136C17"/>
    <w:rsid w:val="00136C6C"/>
    <w:rsid w:val="00136D74"/>
    <w:rsid w:val="00136DEB"/>
    <w:rsid w:val="00136F05"/>
    <w:rsid w:val="00136F07"/>
    <w:rsid w:val="00136F1E"/>
    <w:rsid w:val="00136F9A"/>
    <w:rsid w:val="00137016"/>
    <w:rsid w:val="00137042"/>
    <w:rsid w:val="001370CD"/>
    <w:rsid w:val="00137280"/>
    <w:rsid w:val="0013738A"/>
    <w:rsid w:val="0013739C"/>
    <w:rsid w:val="001374C1"/>
    <w:rsid w:val="001374D8"/>
    <w:rsid w:val="0013752A"/>
    <w:rsid w:val="00137557"/>
    <w:rsid w:val="00137572"/>
    <w:rsid w:val="00137604"/>
    <w:rsid w:val="00137652"/>
    <w:rsid w:val="00137676"/>
    <w:rsid w:val="001376E3"/>
    <w:rsid w:val="00137777"/>
    <w:rsid w:val="001377E1"/>
    <w:rsid w:val="00137977"/>
    <w:rsid w:val="001379DC"/>
    <w:rsid w:val="00137A2C"/>
    <w:rsid w:val="00137BA6"/>
    <w:rsid w:val="00137BBB"/>
    <w:rsid w:val="00137C46"/>
    <w:rsid w:val="00137C4E"/>
    <w:rsid w:val="00137CAD"/>
    <w:rsid w:val="00137D1F"/>
    <w:rsid w:val="00137D9B"/>
    <w:rsid w:val="00137DCD"/>
    <w:rsid w:val="00137E57"/>
    <w:rsid w:val="00140000"/>
    <w:rsid w:val="00140116"/>
    <w:rsid w:val="00140127"/>
    <w:rsid w:val="00140174"/>
    <w:rsid w:val="001401B9"/>
    <w:rsid w:val="0014023B"/>
    <w:rsid w:val="001402C6"/>
    <w:rsid w:val="00140403"/>
    <w:rsid w:val="001405AC"/>
    <w:rsid w:val="0014064A"/>
    <w:rsid w:val="00140651"/>
    <w:rsid w:val="00140722"/>
    <w:rsid w:val="00140770"/>
    <w:rsid w:val="001409FB"/>
    <w:rsid w:val="00140A51"/>
    <w:rsid w:val="00140B84"/>
    <w:rsid w:val="00140B87"/>
    <w:rsid w:val="00140B9A"/>
    <w:rsid w:val="00140BBE"/>
    <w:rsid w:val="00140BDE"/>
    <w:rsid w:val="00140BE7"/>
    <w:rsid w:val="00140CBA"/>
    <w:rsid w:val="00140D49"/>
    <w:rsid w:val="00140D61"/>
    <w:rsid w:val="00140D67"/>
    <w:rsid w:val="00140E18"/>
    <w:rsid w:val="00140E30"/>
    <w:rsid w:val="00140E61"/>
    <w:rsid w:val="0014100C"/>
    <w:rsid w:val="00141135"/>
    <w:rsid w:val="0014114B"/>
    <w:rsid w:val="00141161"/>
    <w:rsid w:val="001411B9"/>
    <w:rsid w:val="00141264"/>
    <w:rsid w:val="00141275"/>
    <w:rsid w:val="0014127F"/>
    <w:rsid w:val="0014139E"/>
    <w:rsid w:val="001413CB"/>
    <w:rsid w:val="001414B7"/>
    <w:rsid w:val="001414FA"/>
    <w:rsid w:val="001415B0"/>
    <w:rsid w:val="00141609"/>
    <w:rsid w:val="0014160B"/>
    <w:rsid w:val="0014173C"/>
    <w:rsid w:val="00141781"/>
    <w:rsid w:val="001417C6"/>
    <w:rsid w:val="00141805"/>
    <w:rsid w:val="00141860"/>
    <w:rsid w:val="001419C9"/>
    <w:rsid w:val="00141A3A"/>
    <w:rsid w:val="00141A40"/>
    <w:rsid w:val="00141B22"/>
    <w:rsid w:val="00141B78"/>
    <w:rsid w:val="00141BB1"/>
    <w:rsid w:val="00141C01"/>
    <w:rsid w:val="00141C6D"/>
    <w:rsid w:val="00141CEC"/>
    <w:rsid w:val="00141D76"/>
    <w:rsid w:val="00141EB8"/>
    <w:rsid w:val="00141EE2"/>
    <w:rsid w:val="00141F06"/>
    <w:rsid w:val="00141F66"/>
    <w:rsid w:val="00141F67"/>
    <w:rsid w:val="0014200D"/>
    <w:rsid w:val="001420C5"/>
    <w:rsid w:val="001420FE"/>
    <w:rsid w:val="00142185"/>
    <w:rsid w:val="001421C0"/>
    <w:rsid w:val="001421C6"/>
    <w:rsid w:val="0014225A"/>
    <w:rsid w:val="00142294"/>
    <w:rsid w:val="0014240D"/>
    <w:rsid w:val="00142470"/>
    <w:rsid w:val="001424BE"/>
    <w:rsid w:val="001424E7"/>
    <w:rsid w:val="00142516"/>
    <w:rsid w:val="00142581"/>
    <w:rsid w:val="00142582"/>
    <w:rsid w:val="001425BA"/>
    <w:rsid w:val="00142620"/>
    <w:rsid w:val="00142628"/>
    <w:rsid w:val="0014263A"/>
    <w:rsid w:val="00142680"/>
    <w:rsid w:val="0014273B"/>
    <w:rsid w:val="001427F9"/>
    <w:rsid w:val="00142842"/>
    <w:rsid w:val="00142868"/>
    <w:rsid w:val="001428D2"/>
    <w:rsid w:val="001428F0"/>
    <w:rsid w:val="001428FF"/>
    <w:rsid w:val="00142933"/>
    <w:rsid w:val="001429F4"/>
    <w:rsid w:val="001429F6"/>
    <w:rsid w:val="00142B17"/>
    <w:rsid w:val="00142B51"/>
    <w:rsid w:val="00142B60"/>
    <w:rsid w:val="00142C5C"/>
    <w:rsid w:val="00142CA7"/>
    <w:rsid w:val="00142CE6"/>
    <w:rsid w:val="00142D23"/>
    <w:rsid w:val="00142D24"/>
    <w:rsid w:val="00142D8B"/>
    <w:rsid w:val="00142D99"/>
    <w:rsid w:val="00142DB7"/>
    <w:rsid w:val="00142E93"/>
    <w:rsid w:val="00142EAC"/>
    <w:rsid w:val="00142EB8"/>
    <w:rsid w:val="00142F0D"/>
    <w:rsid w:val="00142F7D"/>
    <w:rsid w:val="00142F8A"/>
    <w:rsid w:val="00142FF0"/>
    <w:rsid w:val="0014301A"/>
    <w:rsid w:val="001430A4"/>
    <w:rsid w:val="00143101"/>
    <w:rsid w:val="001431CE"/>
    <w:rsid w:val="001431F7"/>
    <w:rsid w:val="00143247"/>
    <w:rsid w:val="00143291"/>
    <w:rsid w:val="001432F8"/>
    <w:rsid w:val="001434EC"/>
    <w:rsid w:val="001434F5"/>
    <w:rsid w:val="00143554"/>
    <w:rsid w:val="00143595"/>
    <w:rsid w:val="00143613"/>
    <w:rsid w:val="00143752"/>
    <w:rsid w:val="0014375A"/>
    <w:rsid w:val="00143790"/>
    <w:rsid w:val="001437C3"/>
    <w:rsid w:val="0014383D"/>
    <w:rsid w:val="00143843"/>
    <w:rsid w:val="0014394D"/>
    <w:rsid w:val="0014396A"/>
    <w:rsid w:val="00143A4A"/>
    <w:rsid w:val="00143BB3"/>
    <w:rsid w:val="00143BD1"/>
    <w:rsid w:val="00143C12"/>
    <w:rsid w:val="00143C60"/>
    <w:rsid w:val="00143D08"/>
    <w:rsid w:val="00143D51"/>
    <w:rsid w:val="00143D7E"/>
    <w:rsid w:val="00143DD0"/>
    <w:rsid w:val="00143DEA"/>
    <w:rsid w:val="00143DF8"/>
    <w:rsid w:val="00143E29"/>
    <w:rsid w:val="00143E56"/>
    <w:rsid w:val="00143E6E"/>
    <w:rsid w:val="00143EF9"/>
    <w:rsid w:val="00143F2C"/>
    <w:rsid w:val="00143FF1"/>
    <w:rsid w:val="00144148"/>
    <w:rsid w:val="00144166"/>
    <w:rsid w:val="00144226"/>
    <w:rsid w:val="00144304"/>
    <w:rsid w:val="0014432D"/>
    <w:rsid w:val="0014449E"/>
    <w:rsid w:val="001444F5"/>
    <w:rsid w:val="00144596"/>
    <w:rsid w:val="0014469D"/>
    <w:rsid w:val="0014470A"/>
    <w:rsid w:val="0014472C"/>
    <w:rsid w:val="001447F5"/>
    <w:rsid w:val="0014490C"/>
    <w:rsid w:val="001449B6"/>
    <w:rsid w:val="001449B9"/>
    <w:rsid w:val="00144A59"/>
    <w:rsid w:val="00144AEB"/>
    <w:rsid w:val="00144AF6"/>
    <w:rsid w:val="00144B4B"/>
    <w:rsid w:val="00144B65"/>
    <w:rsid w:val="00144D3C"/>
    <w:rsid w:val="00144D6D"/>
    <w:rsid w:val="00144DA0"/>
    <w:rsid w:val="00144E08"/>
    <w:rsid w:val="00144EF1"/>
    <w:rsid w:val="001450D7"/>
    <w:rsid w:val="001451B9"/>
    <w:rsid w:val="00145233"/>
    <w:rsid w:val="00145250"/>
    <w:rsid w:val="001452BA"/>
    <w:rsid w:val="00145336"/>
    <w:rsid w:val="00145392"/>
    <w:rsid w:val="001453AB"/>
    <w:rsid w:val="00145412"/>
    <w:rsid w:val="0014545B"/>
    <w:rsid w:val="001454E4"/>
    <w:rsid w:val="0014550B"/>
    <w:rsid w:val="001455EA"/>
    <w:rsid w:val="00145720"/>
    <w:rsid w:val="0014579E"/>
    <w:rsid w:val="001457CF"/>
    <w:rsid w:val="001458DF"/>
    <w:rsid w:val="001458F0"/>
    <w:rsid w:val="00145909"/>
    <w:rsid w:val="0014597E"/>
    <w:rsid w:val="001459D3"/>
    <w:rsid w:val="00145A13"/>
    <w:rsid w:val="00145A1A"/>
    <w:rsid w:val="00145A36"/>
    <w:rsid w:val="00145A82"/>
    <w:rsid w:val="00145A8C"/>
    <w:rsid w:val="00145B03"/>
    <w:rsid w:val="00145B92"/>
    <w:rsid w:val="00145BA1"/>
    <w:rsid w:val="00145DCC"/>
    <w:rsid w:val="00145F22"/>
    <w:rsid w:val="00146057"/>
    <w:rsid w:val="00146075"/>
    <w:rsid w:val="00146160"/>
    <w:rsid w:val="00146183"/>
    <w:rsid w:val="0014618E"/>
    <w:rsid w:val="001462C0"/>
    <w:rsid w:val="0014632E"/>
    <w:rsid w:val="00146376"/>
    <w:rsid w:val="001463E5"/>
    <w:rsid w:val="00146417"/>
    <w:rsid w:val="00146462"/>
    <w:rsid w:val="00146539"/>
    <w:rsid w:val="00146550"/>
    <w:rsid w:val="001465A4"/>
    <w:rsid w:val="001465AD"/>
    <w:rsid w:val="001468B3"/>
    <w:rsid w:val="001468F6"/>
    <w:rsid w:val="0014694F"/>
    <w:rsid w:val="001469E3"/>
    <w:rsid w:val="00146A26"/>
    <w:rsid w:val="00146AE6"/>
    <w:rsid w:val="00146B0C"/>
    <w:rsid w:val="00146B42"/>
    <w:rsid w:val="00146B58"/>
    <w:rsid w:val="00146B71"/>
    <w:rsid w:val="00146BDC"/>
    <w:rsid w:val="00146BF0"/>
    <w:rsid w:val="00146C3D"/>
    <w:rsid w:val="00146D37"/>
    <w:rsid w:val="0014700F"/>
    <w:rsid w:val="001470B9"/>
    <w:rsid w:val="001470D8"/>
    <w:rsid w:val="00147192"/>
    <w:rsid w:val="00147281"/>
    <w:rsid w:val="00147289"/>
    <w:rsid w:val="001472B2"/>
    <w:rsid w:val="001472C7"/>
    <w:rsid w:val="0014735A"/>
    <w:rsid w:val="00147387"/>
    <w:rsid w:val="00147394"/>
    <w:rsid w:val="001473CF"/>
    <w:rsid w:val="00147483"/>
    <w:rsid w:val="001474E6"/>
    <w:rsid w:val="001474E7"/>
    <w:rsid w:val="001474EC"/>
    <w:rsid w:val="001474EF"/>
    <w:rsid w:val="001476C1"/>
    <w:rsid w:val="001477A0"/>
    <w:rsid w:val="001477B9"/>
    <w:rsid w:val="00147826"/>
    <w:rsid w:val="001478B1"/>
    <w:rsid w:val="001478C1"/>
    <w:rsid w:val="001479FD"/>
    <w:rsid w:val="00147A3F"/>
    <w:rsid w:val="00147AF7"/>
    <w:rsid w:val="00147C45"/>
    <w:rsid w:val="00147C56"/>
    <w:rsid w:val="00147CEA"/>
    <w:rsid w:val="00147D6A"/>
    <w:rsid w:val="00147EB7"/>
    <w:rsid w:val="00147F6A"/>
    <w:rsid w:val="00147FFE"/>
    <w:rsid w:val="0015010E"/>
    <w:rsid w:val="00150120"/>
    <w:rsid w:val="001502DE"/>
    <w:rsid w:val="00150302"/>
    <w:rsid w:val="00150309"/>
    <w:rsid w:val="00150338"/>
    <w:rsid w:val="00150351"/>
    <w:rsid w:val="0015035B"/>
    <w:rsid w:val="0015037E"/>
    <w:rsid w:val="0015038E"/>
    <w:rsid w:val="001503E0"/>
    <w:rsid w:val="0015041E"/>
    <w:rsid w:val="001504D5"/>
    <w:rsid w:val="001504D8"/>
    <w:rsid w:val="00150528"/>
    <w:rsid w:val="001505BA"/>
    <w:rsid w:val="00150601"/>
    <w:rsid w:val="001506F9"/>
    <w:rsid w:val="00150708"/>
    <w:rsid w:val="0015075B"/>
    <w:rsid w:val="0015079B"/>
    <w:rsid w:val="00150823"/>
    <w:rsid w:val="0015089E"/>
    <w:rsid w:val="001509A0"/>
    <w:rsid w:val="001509F3"/>
    <w:rsid w:val="00150AD9"/>
    <w:rsid w:val="00150BBA"/>
    <w:rsid w:val="00150CA0"/>
    <w:rsid w:val="00150CD4"/>
    <w:rsid w:val="00150D3E"/>
    <w:rsid w:val="00150D40"/>
    <w:rsid w:val="00150D72"/>
    <w:rsid w:val="00150F0C"/>
    <w:rsid w:val="00150F10"/>
    <w:rsid w:val="00150F4B"/>
    <w:rsid w:val="00150F7B"/>
    <w:rsid w:val="00150F8A"/>
    <w:rsid w:val="00150FF7"/>
    <w:rsid w:val="00151071"/>
    <w:rsid w:val="001510C3"/>
    <w:rsid w:val="0015126B"/>
    <w:rsid w:val="001512F7"/>
    <w:rsid w:val="001513A7"/>
    <w:rsid w:val="001513F3"/>
    <w:rsid w:val="00151458"/>
    <w:rsid w:val="001514A8"/>
    <w:rsid w:val="001514B9"/>
    <w:rsid w:val="0015151E"/>
    <w:rsid w:val="001515BB"/>
    <w:rsid w:val="001515C1"/>
    <w:rsid w:val="00151600"/>
    <w:rsid w:val="001516C0"/>
    <w:rsid w:val="001517D7"/>
    <w:rsid w:val="001517FF"/>
    <w:rsid w:val="00151819"/>
    <w:rsid w:val="00151842"/>
    <w:rsid w:val="00151843"/>
    <w:rsid w:val="001518A8"/>
    <w:rsid w:val="001519D1"/>
    <w:rsid w:val="00151A91"/>
    <w:rsid w:val="00151A9D"/>
    <w:rsid w:val="00151AC6"/>
    <w:rsid w:val="00151ACB"/>
    <w:rsid w:val="00151ADD"/>
    <w:rsid w:val="00151D08"/>
    <w:rsid w:val="00151FE1"/>
    <w:rsid w:val="00152075"/>
    <w:rsid w:val="001520B6"/>
    <w:rsid w:val="001520C7"/>
    <w:rsid w:val="001520F4"/>
    <w:rsid w:val="001521E7"/>
    <w:rsid w:val="00152210"/>
    <w:rsid w:val="00152227"/>
    <w:rsid w:val="00152248"/>
    <w:rsid w:val="00152275"/>
    <w:rsid w:val="001522A0"/>
    <w:rsid w:val="001522BE"/>
    <w:rsid w:val="0015230B"/>
    <w:rsid w:val="0015231E"/>
    <w:rsid w:val="0015235D"/>
    <w:rsid w:val="00152370"/>
    <w:rsid w:val="0015239F"/>
    <w:rsid w:val="001523E5"/>
    <w:rsid w:val="00152422"/>
    <w:rsid w:val="001526CF"/>
    <w:rsid w:val="0015276E"/>
    <w:rsid w:val="0015278E"/>
    <w:rsid w:val="00152792"/>
    <w:rsid w:val="001527EE"/>
    <w:rsid w:val="00152854"/>
    <w:rsid w:val="0015287D"/>
    <w:rsid w:val="0015288F"/>
    <w:rsid w:val="00152893"/>
    <w:rsid w:val="0015291E"/>
    <w:rsid w:val="00152937"/>
    <w:rsid w:val="001529FE"/>
    <w:rsid w:val="00152A40"/>
    <w:rsid w:val="00152B1B"/>
    <w:rsid w:val="00152C3E"/>
    <w:rsid w:val="00152C5D"/>
    <w:rsid w:val="00152CCC"/>
    <w:rsid w:val="00152D49"/>
    <w:rsid w:val="00152DCB"/>
    <w:rsid w:val="00152E05"/>
    <w:rsid w:val="00152E18"/>
    <w:rsid w:val="00152E21"/>
    <w:rsid w:val="00152E2F"/>
    <w:rsid w:val="00152E65"/>
    <w:rsid w:val="00152EBB"/>
    <w:rsid w:val="00152ED8"/>
    <w:rsid w:val="00152F28"/>
    <w:rsid w:val="00152F37"/>
    <w:rsid w:val="00152F74"/>
    <w:rsid w:val="00153027"/>
    <w:rsid w:val="00153051"/>
    <w:rsid w:val="00153078"/>
    <w:rsid w:val="001530BD"/>
    <w:rsid w:val="001530CB"/>
    <w:rsid w:val="0015327F"/>
    <w:rsid w:val="00153322"/>
    <w:rsid w:val="0015333C"/>
    <w:rsid w:val="0015336D"/>
    <w:rsid w:val="00153371"/>
    <w:rsid w:val="0015337E"/>
    <w:rsid w:val="00153386"/>
    <w:rsid w:val="00153411"/>
    <w:rsid w:val="00153491"/>
    <w:rsid w:val="00153516"/>
    <w:rsid w:val="00153582"/>
    <w:rsid w:val="0015358B"/>
    <w:rsid w:val="001535B2"/>
    <w:rsid w:val="001535B4"/>
    <w:rsid w:val="00153677"/>
    <w:rsid w:val="001536A8"/>
    <w:rsid w:val="00153739"/>
    <w:rsid w:val="0015378C"/>
    <w:rsid w:val="0015379C"/>
    <w:rsid w:val="0015388C"/>
    <w:rsid w:val="001538A9"/>
    <w:rsid w:val="0015396D"/>
    <w:rsid w:val="00153A98"/>
    <w:rsid w:val="00153AD4"/>
    <w:rsid w:val="00153AE2"/>
    <w:rsid w:val="00153BE3"/>
    <w:rsid w:val="00153CCE"/>
    <w:rsid w:val="00153D50"/>
    <w:rsid w:val="00153DC0"/>
    <w:rsid w:val="00153EB1"/>
    <w:rsid w:val="00153EF8"/>
    <w:rsid w:val="00153FFD"/>
    <w:rsid w:val="00154178"/>
    <w:rsid w:val="0015421B"/>
    <w:rsid w:val="0015432C"/>
    <w:rsid w:val="00154381"/>
    <w:rsid w:val="001543D4"/>
    <w:rsid w:val="00154423"/>
    <w:rsid w:val="00154462"/>
    <w:rsid w:val="00154464"/>
    <w:rsid w:val="00154484"/>
    <w:rsid w:val="001544D1"/>
    <w:rsid w:val="0015450E"/>
    <w:rsid w:val="00154536"/>
    <w:rsid w:val="0015462F"/>
    <w:rsid w:val="001546C5"/>
    <w:rsid w:val="001546E4"/>
    <w:rsid w:val="0015477C"/>
    <w:rsid w:val="001547D0"/>
    <w:rsid w:val="001547F2"/>
    <w:rsid w:val="0015481F"/>
    <w:rsid w:val="001548CA"/>
    <w:rsid w:val="001548D7"/>
    <w:rsid w:val="0015495B"/>
    <w:rsid w:val="00154A1B"/>
    <w:rsid w:val="00154A9F"/>
    <w:rsid w:val="00154AC6"/>
    <w:rsid w:val="00154AEA"/>
    <w:rsid w:val="00154B49"/>
    <w:rsid w:val="00154BEA"/>
    <w:rsid w:val="00154C8C"/>
    <w:rsid w:val="00154DD8"/>
    <w:rsid w:val="00154DFB"/>
    <w:rsid w:val="00154E35"/>
    <w:rsid w:val="00154E47"/>
    <w:rsid w:val="00154F3B"/>
    <w:rsid w:val="00154FD3"/>
    <w:rsid w:val="00155005"/>
    <w:rsid w:val="0015509E"/>
    <w:rsid w:val="0015515C"/>
    <w:rsid w:val="00155185"/>
    <w:rsid w:val="0015519F"/>
    <w:rsid w:val="00155255"/>
    <w:rsid w:val="001552C8"/>
    <w:rsid w:val="00155306"/>
    <w:rsid w:val="00155316"/>
    <w:rsid w:val="001553D9"/>
    <w:rsid w:val="00155634"/>
    <w:rsid w:val="00155657"/>
    <w:rsid w:val="0015567A"/>
    <w:rsid w:val="00155706"/>
    <w:rsid w:val="00155784"/>
    <w:rsid w:val="001557C3"/>
    <w:rsid w:val="0015583F"/>
    <w:rsid w:val="001558CC"/>
    <w:rsid w:val="00155982"/>
    <w:rsid w:val="00155990"/>
    <w:rsid w:val="001559E2"/>
    <w:rsid w:val="00155ABB"/>
    <w:rsid w:val="00155B41"/>
    <w:rsid w:val="00155CFC"/>
    <w:rsid w:val="00155CFE"/>
    <w:rsid w:val="00155D0A"/>
    <w:rsid w:val="00155D8F"/>
    <w:rsid w:val="00155E44"/>
    <w:rsid w:val="00155E63"/>
    <w:rsid w:val="00155EB0"/>
    <w:rsid w:val="00155EB4"/>
    <w:rsid w:val="00155EB5"/>
    <w:rsid w:val="00155EBB"/>
    <w:rsid w:val="00155ED9"/>
    <w:rsid w:val="00155EEF"/>
    <w:rsid w:val="00155FF1"/>
    <w:rsid w:val="0015600B"/>
    <w:rsid w:val="00156096"/>
    <w:rsid w:val="001560F7"/>
    <w:rsid w:val="0015618E"/>
    <w:rsid w:val="001561FD"/>
    <w:rsid w:val="00156311"/>
    <w:rsid w:val="0015631D"/>
    <w:rsid w:val="00156386"/>
    <w:rsid w:val="00156412"/>
    <w:rsid w:val="001564ED"/>
    <w:rsid w:val="00156546"/>
    <w:rsid w:val="00156584"/>
    <w:rsid w:val="001565B3"/>
    <w:rsid w:val="001565D6"/>
    <w:rsid w:val="00156607"/>
    <w:rsid w:val="0015662A"/>
    <w:rsid w:val="00156631"/>
    <w:rsid w:val="00156660"/>
    <w:rsid w:val="00156663"/>
    <w:rsid w:val="0015667A"/>
    <w:rsid w:val="001566AF"/>
    <w:rsid w:val="001566DF"/>
    <w:rsid w:val="00156740"/>
    <w:rsid w:val="0015682C"/>
    <w:rsid w:val="00156831"/>
    <w:rsid w:val="0015686D"/>
    <w:rsid w:val="001568E3"/>
    <w:rsid w:val="00156909"/>
    <w:rsid w:val="0015691B"/>
    <w:rsid w:val="00156994"/>
    <w:rsid w:val="001569A5"/>
    <w:rsid w:val="001569F5"/>
    <w:rsid w:val="00156B08"/>
    <w:rsid w:val="00156C0B"/>
    <w:rsid w:val="00156C1F"/>
    <w:rsid w:val="00156CCD"/>
    <w:rsid w:val="00156CD6"/>
    <w:rsid w:val="00156CEA"/>
    <w:rsid w:val="00156D9C"/>
    <w:rsid w:val="00156DB9"/>
    <w:rsid w:val="00156DCF"/>
    <w:rsid w:val="00156DDC"/>
    <w:rsid w:val="00156E3E"/>
    <w:rsid w:val="00156E61"/>
    <w:rsid w:val="00156F1E"/>
    <w:rsid w:val="00156FE3"/>
    <w:rsid w:val="0015703E"/>
    <w:rsid w:val="00157096"/>
    <w:rsid w:val="001570E0"/>
    <w:rsid w:val="0015713A"/>
    <w:rsid w:val="00157171"/>
    <w:rsid w:val="001571DC"/>
    <w:rsid w:val="00157202"/>
    <w:rsid w:val="0015722B"/>
    <w:rsid w:val="001572BF"/>
    <w:rsid w:val="001573D8"/>
    <w:rsid w:val="00157408"/>
    <w:rsid w:val="00157423"/>
    <w:rsid w:val="00157487"/>
    <w:rsid w:val="0015753D"/>
    <w:rsid w:val="001575B0"/>
    <w:rsid w:val="001575B9"/>
    <w:rsid w:val="001575D2"/>
    <w:rsid w:val="001576D9"/>
    <w:rsid w:val="00157721"/>
    <w:rsid w:val="00157788"/>
    <w:rsid w:val="0015779A"/>
    <w:rsid w:val="00157959"/>
    <w:rsid w:val="001579BA"/>
    <w:rsid w:val="00157A91"/>
    <w:rsid w:val="00157A9C"/>
    <w:rsid w:val="00157ADD"/>
    <w:rsid w:val="00157ADF"/>
    <w:rsid w:val="00157C15"/>
    <w:rsid w:val="00157CBC"/>
    <w:rsid w:val="00157CCD"/>
    <w:rsid w:val="00157DCA"/>
    <w:rsid w:val="00157DD2"/>
    <w:rsid w:val="00157E33"/>
    <w:rsid w:val="00157E8D"/>
    <w:rsid w:val="00157E97"/>
    <w:rsid w:val="00157F0F"/>
    <w:rsid w:val="00157F16"/>
    <w:rsid w:val="00157FED"/>
    <w:rsid w:val="00160168"/>
    <w:rsid w:val="00160211"/>
    <w:rsid w:val="001602B5"/>
    <w:rsid w:val="00160360"/>
    <w:rsid w:val="001603CC"/>
    <w:rsid w:val="001603EB"/>
    <w:rsid w:val="001604B9"/>
    <w:rsid w:val="001605E2"/>
    <w:rsid w:val="00160601"/>
    <w:rsid w:val="00160614"/>
    <w:rsid w:val="00160697"/>
    <w:rsid w:val="001606CB"/>
    <w:rsid w:val="0016071F"/>
    <w:rsid w:val="00160730"/>
    <w:rsid w:val="0016079E"/>
    <w:rsid w:val="0016084B"/>
    <w:rsid w:val="00160896"/>
    <w:rsid w:val="0016089C"/>
    <w:rsid w:val="001608D4"/>
    <w:rsid w:val="001608F8"/>
    <w:rsid w:val="00160AFB"/>
    <w:rsid w:val="00160B98"/>
    <w:rsid w:val="00160C53"/>
    <w:rsid w:val="00160C8F"/>
    <w:rsid w:val="00160CA7"/>
    <w:rsid w:val="00160CD4"/>
    <w:rsid w:val="00160CDF"/>
    <w:rsid w:val="00160E97"/>
    <w:rsid w:val="00160EB5"/>
    <w:rsid w:val="00160EFA"/>
    <w:rsid w:val="00160F04"/>
    <w:rsid w:val="00160F2C"/>
    <w:rsid w:val="00160F7A"/>
    <w:rsid w:val="00161067"/>
    <w:rsid w:val="001611A5"/>
    <w:rsid w:val="00161217"/>
    <w:rsid w:val="0016135C"/>
    <w:rsid w:val="00161473"/>
    <w:rsid w:val="001614A0"/>
    <w:rsid w:val="001614A9"/>
    <w:rsid w:val="0016150F"/>
    <w:rsid w:val="001615FE"/>
    <w:rsid w:val="001616A7"/>
    <w:rsid w:val="00161746"/>
    <w:rsid w:val="0016175B"/>
    <w:rsid w:val="0016177E"/>
    <w:rsid w:val="00161782"/>
    <w:rsid w:val="001617A8"/>
    <w:rsid w:val="001617EA"/>
    <w:rsid w:val="00161836"/>
    <w:rsid w:val="001618AA"/>
    <w:rsid w:val="0016192B"/>
    <w:rsid w:val="00161933"/>
    <w:rsid w:val="0016196A"/>
    <w:rsid w:val="0016197C"/>
    <w:rsid w:val="001619A3"/>
    <w:rsid w:val="001619E9"/>
    <w:rsid w:val="00161A99"/>
    <w:rsid w:val="00161AFE"/>
    <w:rsid w:val="00161BC5"/>
    <w:rsid w:val="00161C51"/>
    <w:rsid w:val="00161CCA"/>
    <w:rsid w:val="00161D6C"/>
    <w:rsid w:val="00161DCF"/>
    <w:rsid w:val="00161DDC"/>
    <w:rsid w:val="00161E0D"/>
    <w:rsid w:val="00161E5E"/>
    <w:rsid w:val="00161EB9"/>
    <w:rsid w:val="00161EF4"/>
    <w:rsid w:val="00161F10"/>
    <w:rsid w:val="00161F4C"/>
    <w:rsid w:val="00161F65"/>
    <w:rsid w:val="00161FB1"/>
    <w:rsid w:val="00161FBF"/>
    <w:rsid w:val="00161FDA"/>
    <w:rsid w:val="0016204C"/>
    <w:rsid w:val="0016215C"/>
    <w:rsid w:val="0016218F"/>
    <w:rsid w:val="001621E0"/>
    <w:rsid w:val="001621E4"/>
    <w:rsid w:val="00162287"/>
    <w:rsid w:val="001622C2"/>
    <w:rsid w:val="00162325"/>
    <w:rsid w:val="00162342"/>
    <w:rsid w:val="0016238A"/>
    <w:rsid w:val="001623A4"/>
    <w:rsid w:val="00162456"/>
    <w:rsid w:val="001625FD"/>
    <w:rsid w:val="00162640"/>
    <w:rsid w:val="00162658"/>
    <w:rsid w:val="001626B8"/>
    <w:rsid w:val="001627AF"/>
    <w:rsid w:val="001627EA"/>
    <w:rsid w:val="0016295E"/>
    <w:rsid w:val="00162988"/>
    <w:rsid w:val="001629BC"/>
    <w:rsid w:val="00162A33"/>
    <w:rsid w:val="00162A66"/>
    <w:rsid w:val="00162AC7"/>
    <w:rsid w:val="00162B2E"/>
    <w:rsid w:val="00162B5A"/>
    <w:rsid w:val="00162B5B"/>
    <w:rsid w:val="00162BCB"/>
    <w:rsid w:val="00162BDC"/>
    <w:rsid w:val="00162C32"/>
    <w:rsid w:val="00162CE7"/>
    <w:rsid w:val="00162D97"/>
    <w:rsid w:val="001630CF"/>
    <w:rsid w:val="00163100"/>
    <w:rsid w:val="00163140"/>
    <w:rsid w:val="0016314B"/>
    <w:rsid w:val="00163169"/>
    <w:rsid w:val="001631D4"/>
    <w:rsid w:val="001631DF"/>
    <w:rsid w:val="00163283"/>
    <w:rsid w:val="001632F1"/>
    <w:rsid w:val="00163312"/>
    <w:rsid w:val="0016332E"/>
    <w:rsid w:val="001633CC"/>
    <w:rsid w:val="00163437"/>
    <w:rsid w:val="00163443"/>
    <w:rsid w:val="00163468"/>
    <w:rsid w:val="00163509"/>
    <w:rsid w:val="00163580"/>
    <w:rsid w:val="001635BB"/>
    <w:rsid w:val="001636E4"/>
    <w:rsid w:val="0016371D"/>
    <w:rsid w:val="00163762"/>
    <w:rsid w:val="00163772"/>
    <w:rsid w:val="0016381C"/>
    <w:rsid w:val="0016382D"/>
    <w:rsid w:val="001638FB"/>
    <w:rsid w:val="00163902"/>
    <w:rsid w:val="001639A7"/>
    <w:rsid w:val="001639BF"/>
    <w:rsid w:val="00163B60"/>
    <w:rsid w:val="00163B6C"/>
    <w:rsid w:val="00163BCD"/>
    <w:rsid w:val="00163C7B"/>
    <w:rsid w:val="00163CCA"/>
    <w:rsid w:val="00163CEC"/>
    <w:rsid w:val="00163DC4"/>
    <w:rsid w:val="00163DE4"/>
    <w:rsid w:val="00163E88"/>
    <w:rsid w:val="00163ED5"/>
    <w:rsid w:val="00163F3D"/>
    <w:rsid w:val="00163F91"/>
    <w:rsid w:val="00163FE7"/>
    <w:rsid w:val="00163FFA"/>
    <w:rsid w:val="0016400C"/>
    <w:rsid w:val="0016404D"/>
    <w:rsid w:val="001640CF"/>
    <w:rsid w:val="00164158"/>
    <w:rsid w:val="001641A5"/>
    <w:rsid w:val="00164200"/>
    <w:rsid w:val="00164254"/>
    <w:rsid w:val="001642EC"/>
    <w:rsid w:val="00164352"/>
    <w:rsid w:val="00164354"/>
    <w:rsid w:val="00164471"/>
    <w:rsid w:val="001644C2"/>
    <w:rsid w:val="00164504"/>
    <w:rsid w:val="00164528"/>
    <w:rsid w:val="0016457C"/>
    <w:rsid w:val="001645B8"/>
    <w:rsid w:val="0016464E"/>
    <w:rsid w:val="00164656"/>
    <w:rsid w:val="00164660"/>
    <w:rsid w:val="00164747"/>
    <w:rsid w:val="00164797"/>
    <w:rsid w:val="001647B1"/>
    <w:rsid w:val="0016485F"/>
    <w:rsid w:val="00164867"/>
    <w:rsid w:val="00164964"/>
    <w:rsid w:val="0016497E"/>
    <w:rsid w:val="00164A65"/>
    <w:rsid w:val="00164AD8"/>
    <w:rsid w:val="00164BEC"/>
    <w:rsid w:val="00164C44"/>
    <w:rsid w:val="00164CE6"/>
    <w:rsid w:val="00164D2D"/>
    <w:rsid w:val="00164D40"/>
    <w:rsid w:val="00164D51"/>
    <w:rsid w:val="00164EA1"/>
    <w:rsid w:val="00164F2B"/>
    <w:rsid w:val="00164F36"/>
    <w:rsid w:val="00164F8A"/>
    <w:rsid w:val="00165051"/>
    <w:rsid w:val="00165071"/>
    <w:rsid w:val="0016519F"/>
    <w:rsid w:val="001651DC"/>
    <w:rsid w:val="001651F5"/>
    <w:rsid w:val="001651F6"/>
    <w:rsid w:val="001651FB"/>
    <w:rsid w:val="00165282"/>
    <w:rsid w:val="00165395"/>
    <w:rsid w:val="001653B9"/>
    <w:rsid w:val="001653CB"/>
    <w:rsid w:val="001653D5"/>
    <w:rsid w:val="001653F1"/>
    <w:rsid w:val="0016540F"/>
    <w:rsid w:val="00165428"/>
    <w:rsid w:val="0016542D"/>
    <w:rsid w:val="001654A5"/>
    <w:rsid w:val="001654CC"/>
    <w:rsid w:val="00165538"/>
    <w:rsid w:val="00165574"/>
    <w:rsid w:val="0016557F"/>
    <w:rsid w:val="001655F9"/>
    <w:rsid w:val="00165645"/>
    <w:rsid w:val="0016564F"/>
    <w:rsid w:val="001658FF"/>
    <w:rsid w:val="0016594E"/>
    <w:rsid w:val="00165964"/>
    <w:rsid w:val="00165965"/>
    <w:rsid w:val="00165992"/>
    <w:rsid w:val="001659AC"/>
    <w:rsid w:val="001659BF"/>
    <w:rsid w:val="001659E3"/>
    <w:rsid w:val="00165A79"/>
    <w:rsid w:val="00165B9B"/>
    <w:rsid w:val="00165BCE"/>
    <w:rsid w:val="00165C1E"/>
    <w:rsid w:val="00165C84"/>
    <w:rsid w:val="00165C89"/>
    <w:rsid w:val="00165CB6"/>
    <w:rsid w:val="00165D3F"/>
    <w:rsid w:val="00165DA7"/>
    <w:rsid w:val="00165DD5"/>
    <w:rsid w:val="00165E11"/>
    <w:rsid w:val="00165E70"/>
    <w:rsid w:val="00165EAE"/>
    <w:rsid w:val="00165F61"/>
    <w:rsid w:val="0016606B"/>
    <w:rsid w:val="001660A3"/>
    <w:rsid w:val="0016617B"/>
    <w:rsid w:val="00166180"/>
    <w:rsid w:val="001661AA"/>
    <w:rsid w:val="001661ED"/>
    <w:rsid w:val="0016626D"/>
    <w:rsid w:val="001662C2"/>
    <w:rsid w:val="001662E3"/>
    <w:rsid w:val="00166318"/>
    <w:rsid w:val="001663A1"/>
    <w:rsid w:val="0016643C"/>
    <w:rsid w:val="00166467"/>
    <w:rsid w:val="00166512"/>
    <w:rsid w:val="00166516"/>
    <w:rsid w:val="001665F8"/>
    <w:rsid w:val="00166781"/>
    <w:rsid w:val="00166851"/>
    <w:rsid w:val="001668C5"/>
    <w:rsid w:val="0016690E"/>
    <w:rsid w:val="00166961"/>
    <w:rsid w:val="00166A17"/>
    <w:rsid w:val="00166A86"/>
    <w:rsid w:val="00166AA8"/>
    <w:rsid w:val="00166D24"/>
    <w:rsid w:val="00166D33"/>
    <w:rsid w:val="00166DC3"/>
    <w:rsid w:val="00166E52"/>
    <w:rsid w:val="00166E6E"/>
    <w:rsid w:val="00166F14"/>
    <w:rsid w:val="00166F1C"/>
    <w:rsid w:val="00166F3C"/>
    <w:rsid w:val="00166FE8"/>
    <w:rsid w:val="00167021"/>
    <w:rsid w:val="001670B0"/>
    <w:rsid w:val="001670FD"/>
    <w:rsid w:val="00167232"/>
    <w:rsid w:val="0016728D"/>
    <w:rsid w:val="001674BC"/>
    <w:rsid w:val="00167570"/>
    <w:rsid w:val="001675AB"/>
    <w:rsid w:val="001675E1"/>
    <w:rsid w:val="0016763D"/>
    <w:rsid w:val="00167665"/>
    <w:rsid w:val="0016767A"/>
    <w:rsid w:val="00167691"/>
    <w:rsid w:val="00167709"/>
    <w:rsid w:val="0016772A"/>
    <w:rsid w:val="0016775F"/>
    <w:rsid w:val="00167855"/>
    <w:rsid w:val="00167888"/>
    <w:rsid w:val="001678D7"/>
    <w:rsid w:val="001678DB"/>
    <w:rsid w:val="0016790C"/>
    <w:rsid w:val="00167A06"/>
    <w:rsid w:val="00167B20"/>
    <w:rsid w:val="00167B5E"/>
    <w:rsid w:val="00167BB5"/>
    <w:rsid w:val="00167BEB"/>
    <w:rsid w:val="00167C5C"/>
    <w:rsid w:val="00167D6C"/>
    <w:rsid w:val="00167DE7"/>
    <w:rsid w:val="00167E05"/>
    <w:rsid w:val="00167E38"/>
    <w:rsid w:val="00167E95"/>
    <w:rsid w:val="00167EA3"/>
    <w:rsid w:val="00167FA3"/>
    <w:rsid w:val="00167FD1"/>
    <w:rsid w:val="0017001B"/>
    <w:rsid w:val="00170027"/>
    <w:rsid w:val="00170185"/>
    <w:rsid w:val="001701E0"/>
    <w:rsid w:val="0017020E"/>
    <w:rsid w:val="00170266"/>
    <w:rsid w:val="0017027F"/>
    <w:rsid w:val="00170363"/>
    <w:rsid w:val="0017040B"/>
    <w:rsid w:val="0017046A"/>
    <w:rsid w:val="0017046E"/>
    <w:rsid w:val="0017048F"/>
    <w:rsid w:val="0017054D"/>
    <w:rsid w:val="0017057B"/>
    <w:rsid w:val="0017066D"/>
    <w:rsid w:val="001706B6"/>
    <w:rsid w:val="001706C1"/>
    <w:rsid w:val="0017088E"/>
    <w:rsid w:val="00170974"/>
    <w:rsid w:val="00170990"/>
    <w:rsid w:val="001709BE"/>
    <w:rsid w:val="00170AA3"/>
    <w:rsid w:val="00170B48"/>
    <w:rsid w:val="00170C03"/>
    <w:rsid w:val="00170C9F"/>
    <w:rsid w:val="00170D34"/>
    <w:rsid w:val="00170D61"/>
    <w:rsid w:val="00170DC2"/>
    <w:rsid w:val="00170E4A"/>
    <w:rsid w:val="00170EC9"/>
    <w:rsid w:val="00170ED8"/>
    <w:rsid w:val="00170F85"/>
    <w:rsid w:val="00170F91"/>
    <w:rsid w:val="0017103C"/>
    <w:rsid w:val="0017103E"/>
    <w:rsid w:val="00171137"/>
    <w:rsid w:val="001711E8"/>
    <w:rsid w:val="00171286"/>
    <w:rsid w:val="0017138C"/>
    <w:rsid w:val="00171447"/>
    <w:rsid w:val="00171564"/>
    <w:rsid w:val="0017157C"/>
    <w:rsid w:val="0017167A"/>
    <w:rsid w:val="00171720"/>
    <w:rsid w:val="001717F5"/>
    <w:rsid w:val="00171811"/>
    <w:rsid w:val="0017182D"/>
    <w:rsid w:val="00171890"/>
    <w:rsid w:val="001718AA"/>
    <w:rsid w:val="001718B2"/>
    <w:rsid w:val="001718F9"/>
    <w:rsid w:val="001719EC"/>
    <w:rsid w:val="00171A7E"/>
    <w:rsid w:val="00171C3E"/>
    <w:rsid w:val="00171C45"/>
    <w:rsid w:val="00171DA2"/>
    <w:rsid w:val="00171EF6"/>
    <w:rsid w:val="00171EF8"/>
    <w:rsid w:val="00171F58"/>
    <w:rsid w:val="001720AD"/>
    <w:rsid w:val="0017214A"/>
    <w:rsid w:val="001721CC"/>
    <w:rsid w:val="0017221A"/>
    <w:rsid w:val="00172297"/>
    <w:rsid w:val="001722F3"/>
    <w:rsid w:val="00172346"/>
    <w:rsid w:val="00172361"/>
    <w:rsid w:val="00172385"/>
    <w:rsid w:val="0017238C"/>
    <w:rsid w:val="001723ED"/>
    <w:rsid w:val="001723EF"/>
    <w:rsid w:val="001724E3"/>
    <w:rsid w:val="001724EB"/>
    <w:rsid w:val="001725A1"/>
    <w:rsid w:val="00172633"/>
    <w:rsid w:val="0017276B"/>
    <w:rsid w:val="00172774"/>
    <w:rsid w:val="001727DB"/>
    <w:rsid w:val="0017282D"/>
    <w:rsid w:val="001728B9"/>
    <w:rsid w:val="00172950"/>
    <w:rsid w:val="001729E2"/>
    <w:rsid w:val="00172A60"/>
    <w:rsid w:val="00172ADF"/>
    <w:rsid w:val="00172B58"/>
    <w:rsid w:val="00172B81"/>
    <w:rsid w:val="00172C5A"/>
    <w:rsid w:val="00172C6E"/>
    <w:rsid w:val="00172CC2"/>
    <w:rsid w:val="00172CC9"/>
    <w:rsid w:val="00172D0C"/>
    <w:rsid w:val="00172D15"/>
    <w:rsid w:val="00172DF0"/>
    <w:rsid w:val="00172E5B"/>
    <w:rsid w:val="00172F30"/>
    <w:rsid w:val="00172F64"/>
    <w:rsid w:val="00172F81"/>
    <w:rsid w:val="00172FAC"/>
    <w:rsid w:val="00172FE3"/>
    <w:rsid w:val="00173013"/>
    <w:rsid w:val="0017311F"/>
    <w:rsid w:val="00173167"/>
    <w:rsid w:val="0017329B"/>
    <w:rsid w:val="001732A9"/>
    <w:rsid w:val="0017338B"/>
    <w:rsid w:val="001733DD"/>
    <w:rsid w:val="001733E8"/>
    <w:rsid w:val="001733FD"/>
    <w:rsid w:val="00173477"/>
    <w:rsid w:val="001734F7"/>
    <w:rsid w:val="00173543"/>
    <w:rsid w:val="0017359B"/>
    <w:rsid w:val="001735FE"/>
    <w:rsid w:val="001736D9"/>
    <w:rsid w:val="001736F6"/>
    <w:rsid w:val="0017378F"/>
    <w:rsid w:val="001737A2"/>
    <w:rsid w:val="001737F8"/>
    <w:rsid w:val="00173834"/>
    <w:rsid w:val="00173984"/>
    <w:rsid w:val="00173994"/>
    <w:rsid w:val="001739F6"/>
    <w:rsid w:val="00173A0A"/>
    <w:rsid w:val="00173A7B"/>
    <w:rsid w:val="00173AF0"/>
    <w:rsid w:val="00173B98"/>
    <w:rsid w:val="00173BA0"/>
    <w:rsid w:val="00173BC9"/>
    <w:rsid w:val="00173C4E"/>
    <w:rsid w:val="00173C51"/>
    <w:rsid w:val="00173CA3"/>
    <w:rsid w:val="00173CF6"/>
    <w:rsid w:val="00173D06"/>
    <w:rsid w:val="00173E2C"/>
    <w:rsid w:val="00173E2F"/>
    <w:rsid w:val="00173EC1"/>
    <w:rsid w:val="00173F3A"/>
    <w:rsid w:val="00173F79"/>
    <w:rsid w:val="00173FAF"/>
    <w:rsid w:val="00173FC6"/>
    <w:rsid w:val="0017406A"/>
    <w:rsid w:val="001740AF"/>
    <w:rsid w:val="001740B5"/>
    <w:rsid w:val="001740DE"/>
    <w:rsid w:val="00174143"/>
    <w:rsid w:val="001741C5"/>
    <w:rsid w:val="00174224"/>
    <w:rsid w:val="001742F0"/>
    <w:rsid w:val="00174322"/>
    <w:rsid w:val="0017432F"/>
    <w:rsid w:val="001743CE"/>
    <w:rsid w:val="0017454D"/>
    <w:rsid w:val="0017458A"/>
    <w:rsid w:val="001745CD"/>
    <w:rsid w:val="001745E0"/>
    <w:rsid w:val="001746B8"/>
    <w:rsid w:val="001746D8"/>
    <w:rsid w:val="00174716"/>
    <w:rsid w:val="00174729"/>
    <w:rsid w:val="00174759"/>
    <w:rsid w:val="00174775"/>
    <w:rsid w:val="0017477B"/>
    <w:rsid w:val="001748A5"/>
    <w:rsid w:val="001748EB"/>
    <w:rsid w:val="00174927"/>
    <w:rsid w:val="00174951"/>
    <w:rsid w:val="0017498E"/>
    <w:rsid w:val="001749B9"/>
    <w:rsid w:val="00174A5B"/>
    <w:rsid w:val="00174B6D"/>
    <w:rsid w:val="00174C86"/>
    <w:rsid w:val="00174D3C"/>
    <w:rsid w:val="00174EBD"/>
    <w:rsid w:val="00174FC8"/>
    <w:rsid w:val="00175067"/>
    <w:rsid w:val="00175096"/>
    <w:rsid w:val="001750A2"/>
    <w:rsid w:val="001750A4"/>
    <w:rsid w:val="001750AF"/>
    <w:rsid w:val="00175133"/>
    <w:rsid w:val="0017518B"/>
    <w:rsid w:val="001751D9"/>
    <w:rsid w:val="001751E0"/>
    <w:rsid w:val="001751E2"/>
    <w:rsid w:val="001751E8"/>
    <w:rsid w:val="00175205"/>
    <w:rsid w:val="0017522A"/>
    <w:rsid w:val="0017522F"/>
    <w:rsid w:val="001753CB"/>
    <w:rsid w:val="0017540A"/>
    <w:rsid w:val="001754DB"/>
    <w:rsid w:val="00175516"/>
    <w:rsid w:val="00175542"/>
    <w:rsid w:val="001755A2"/>
    <w:rsid w:val="00175619"/>
    <w:rsid w:val="00175679"/>
    <w:rsid w:val="001756E9"/>
    <w:rsid w:val="0017571C"/>
    <w:rsid w:val="0017573B"/>
    <w:rsid w:val="0017577F"/>
    <w:rsid w:val="001757A0"/>
    <w:rsid w:val="001757D7"/>
    <w:rsid w:val="001757DF"/>
    <w:rsid w:val="001759F4"/>
    <w:rsid w:val="00175A16"/>
    <w:rsid w:val="00175A51"/>
    <w:rsid w:val="00175A5A"/>
    <w:rsid w:val="00175A95"/>
    <w:rsid w:val="00175AA3"/>
    <w:rsid w:val="00175B20"/>
    <w:rsid w:val="00175B4C"/>
    <w:rsid w:val="00175B5B"/>
    <w:rsid w:val="00175C30"/>
    <w:rsid w:val="00175C31"/>
    <w:rsid w:val="00175C5D"/>
    <w:rsid w:val="00175C64"/>
    <w:rsid w:val="00175CCB"/>
    <w:rsid w:val="00175EBC"/>
    <w:rsid w:val="00175EC9"/>
    <w:rsid w:val="00175F29"/>
    <w:rsid w:val="00175F59"/>
    <w:rsid w:val="0017608F"/>
    <w:rsid w:val="0017610B"/>
    <w:rsid w:val="00176130"/>
    <w:rsid w:val="001761B1"/>
    <w:rsid w:val="00176254"/>
    <w:rsid w:val="00176260"/>
    <w:rsid w:val="0017628D"/>
    <w:rsid w:val="00176308"/>
    <w:rsid w:val="00176316"/>
    <w:rsid w:val="00176363"/>
    <w:rsid w:val="0017638E"/>
    <w:rsid w:val="00176527"/>
    <w:rsid w:val="001765F3"/>
    <w:rsid w:val="0017663F"/>
    <w:rsid w:val="00176821"/>
    <w:rsid w:val="00176945"/>
    <w:rsid w:val="00176992"/>
    <w:rsid w:val="001769EF"/>
    <w:rsid w:val="00176B3E"/>
    <w:rsid w:val="00176B41"/>
    <w:rsid w:val="00176BC2"/>
    <w:rsid w:val="00176C90"/>
    <w:rsid w:val="00176CBD"/>
    <w:rsid w:val="00176D26"/>
    <w:rsid w:val="00176E46"/>
    <w:rsid w:val="00176E7B"/>
    <w:rsid w:val="00176F26"/>
    <w:rsid w:val="00176F58"/>
    <w:rsid w:val="00176F7D"/>
    <w:rsid w:val="00176FFF"/>
    <w:rsid w:val="00177027"/>
    <w:rsid w:val="00177028"/>
    <w:rsid w:val="0017702E"/>
    <w:rsid w:val="00177288"/>
    <w:rsid w:val="001772BC"/>
    <w:rsid w:val="00177309"/>
    <w:rsid w:val="0017731D"/>
    <w:rsid w:val="00177378"/>
    <w:rsid w:val="0017744F"/>
    <w:rsid w:val="0017750F"/>
    <w:rsid w:val="00177640"/>
    <w:rsid w:val="0017765F"/>
    <w:rsid w:val="001776B8"/>
    <w:rsid w:val="001777B3"/>
    <w:rsid w:val="001777CE"/>
    <w:rsid w:val="001777DE"/>
    <w:rsid w:val="001778D3"/>
    <w:rsid w:val="00177904"/>
    <w:rsid w:val="00177925"/>
    <w:rsid w:val="001779C6"/>
    <w:rsid w:val="001779DA"/>
    <w:rsid w:val="00177AFA"/>
    <w:rsid w:val="00177B01"/>
    <w:rsid w:val="00177B53"/>
    <w:rsid w:val="00177B6A"/>
    <w:rsid w:val="00177C3B"/>
    <w:rsid w:val="00177CF6"/>
    <w:rsid w:val="00177E7C"/>
    <w:rsid w:val="00177EDF"/>
    <w:rsid w:val="00177FCF"/>
    <w:rsid w:val="00177FE0"/>
    <w:rsid w:val="00177FEC"/>
    <w:rsid w:val="00180020"/>
    <w:rsid w:val="0018002A"/>
    <w:rsid w:val="00180093"/>
    <w:rsid w:val="00180169"/>
    <w:rsid w:val="00180289"/>
    <w:rsid w:val="00180336"/>
    <w:rsid w:val="00180362"/>
    <w:rsid w:val="0018045B"/>
    <w:rsid w:val="001804A7"/>
    <w:rsid w:val="00180550"/>
    <w:rsid w:val="001805B4"/>
    <w:rsid w:val="00180605"/>
    <w:rsid w:val="00180619"/>
    <w:rsid w:val="0018063B"/>
    <w:rsid w:val="00180659"/>
    <w:rsid w:val="0018065F"/>
    <w:rsid w:val="0018075C"/>
    <w:rsid w:val="001807DA"/>
    <w:rsid w:val="00180832"/>
    <w:rsid w:val="00180855"/>
    <w:rsid w:val="00180960"/>
    <w:rsid w:val="00180968"/>
    <w:rsid w:val="0018098F"/>
    <w:rsid w:val="00180A14"/>
    <w:rsid w:val="00180AB7"/>
    <w:rsid w:val="00180B4F"/>
    <w:rsid w:val="00180B95"/>
    <w:rsid w:val="00180BA0"/>
    <w:rsid w:val="00180CA9"/>
    <w:rsid w:val="00180CDD"/>
    <w:rsid w:val="00180F3F"/>
    <w:rsid w:val="00180FDA"/>
    <w:rsid w:val="0018101B"/>
    <w:rsid w:val="0018101F"/>
    <w:rsid w:val="00181066"/>
    <w:rsid w:val="00181088"/>
    <w:rsid w:val="001810D0"/>
    <w:rsid w:val="00181106"/>
    <w:rsid w:val="001811A8"/>
    <w:rsid w:val="001811D2"/>
    <w:rsid w:val="001811FD"/>
    <w:rsid w:val="0018125E"/>
    <w:rsid w:val="00181280"/>
    <w:rsid w:val="001812CF"/>
    <w:rsid w:val="0018139F"/>
    <w:rsid w:val="001813B5"/>
    <w:rsid w:val="001813BB"/>
    <w:rsid w:val="00181438"/>
    <w:rsid w:val="001814CC"/>
    <w:rsid w:val="00181545"/>
    <w:rsid w:val="001815C4"/>
    <w:rsid w:val="001815DB"/>
    <w:rsid w:val="00181646"/>
    <w:rsid w:val="00181783"/>
    <w:rsid w:val="001817DA"/>
    <w:rsid w:val="00181807"/>
    <w:rsid w:val="00181852"/>
    <w:rsid w:val="001818F5"/>
    <w:rsid w:val="00181940"/>
    <w:rsid w:val="00181C2C"/>
    <w:rsid w:val="00181CFC"/>
    <w:rsid w:val="00181DB3"/>
    <w:rsid w:val="00181E11"/>
    <w:rsid w:val="00181F74"/>
    <w:rsid w:val="00181FD9"/>
    <w:rsid w:val="0018213C"/>
    <w:rsid w:val="001821FA"/>
    <w:rsid w:val="00182276"/>
    <w:rsid w:val="00182307"/>
    <w:rsid w:val="0018233A"/>
    <w:rsid w:val="00182503"/>
    <w:rsid w:val="00182568"/>
    <w:rsid w:val="00182763"/>
    <w:rsid w:val="00182772"/>
    <w:rsid w:val="001827C0"/>
    <w:rsid w:val="0018284A"/>
    <w:rsid w:val="001828B2"/>
    <w:rsid w:val="001828FC"/>
    <w:rsid w:val="00182A00"/>
    <w:rsid w:val="00182A98"/>
    <w:rsid w:val="00182B80"/>
    <w:rsid w:val="00182B8A"/>
    <w:rsid w:val="00182BB1"/>
    <w:rsid w:val="00182E19"/>
    <w:rsid w:val="00182E77"/>
    <w:rsid w:val="00182EEC"/>
    <w:rsid w:val="00182F91"/>
    <w:rsid w:val="00182F97"/>
    <w:rsid w:val="00182F99"/>
    <w:rsid w:val="00183009"/>
    <w:rsid w:val="00183032"/>
    <w:rsid w:val="0018305F"/>
    <w:rsid w:val="001830AC"/>
    <w:rsid w:val="00183155"/>
    <w:rsid w:val="00183197"/>
    <w:rsid w:val="00183209"/>
    <w:rsid w:val="00183258"/>
    <w:rsid w:val="0018326F"/>
    <w:rsid w:val="001832E0"/>
    <w:rsid w:val="001832F9"/>
    <w:rsid w:val="0018345C"/>
    <w:rsid w:val="001834AC"/>
    <w:rsid w:val="00183536"/>
    <w:rsid w:val="00183596"/>
    <w:rsid w:val="001835C1"/>
    <w:rsid w:val="00183687"/>
    <w:rsid w:val="001836C8"/>
    <w:rsid w:val="0018386A"/>
    <w:rsid w:val="001838A5"/>
    <w:rsid w:val="001838AA"/>
    <w:rsid w:val="00183945"/>
    <w:rsid w:val="00183979"/>
    <w:rsid w:val="001839AD"/>
    <w:rsid w:val="001839C4"/>
    <w:rsid w:val="00183B9B"/>
    <w:rsid w:val="00183C7A"/>
    <w:rsid w:val="00183C91"/>
    <w:rsid w:val="00183C9C"/>
    <w:rsid w:val="00183CD7"/>
    <w:rsid w:val="00183DAB"/>
    <w:rsid w:val="00183DAE"/>
    <w:rsid w:val="00183DCF"/>
    <w:rsid w:val="00183E00"/>
    <w:rsid w:val="00183EF2"/>
    <w:rsid w:val="00183F5B"/>
    <w:rsid w:val="00183FFE"/>
    <w:rsid w:val="00184087"/>
    <w:rsid w:val="001840C0"/>
    <w:rsid w:val="0018412E"/>
    <w:rsid w:val="00184171"/>
    <w:rsid w:val="001842B9"/>
    <w:rsid w:val="00184384"/>
    <w:rsid w:val="00184464"/>
    <w:rsid w:val="00184544"/>
    <w:rsid w:val="0018454D"/>
    <w:rsid w:val="001845D9"/>
    <w:rsid w:val="00184637"/>
    <w:rsid w:val="001846A6"/>
    <w:rsid w:val="001846CD"/>
    <w:rsid w:val="001847AB"/>
    <w:rsid w:val="001847B8"/>
    <w:rsid w:val="001847E8"/>
    <w:rsid w:val="001847F9"/>
    <w:rsid w:val="00184800"/>
    <w:rsid w:val="001848E4"/>
    <w:rsid w:val="00184949"/>
    <w:rsid w:val="00184989"/>
    <w:rsid w:val="001849AB"/>
    <w:rsid w:val="00184A06"/>
    <w:rsid w:val="00184A16"/>
    <w:rsid w:val="00184A8D"/>
    <w:rsid w:val="00184B06"/>
    <w:rsid w:val="00184B22"/>
    <w:rsid w:val="00184B83"/>
    <w:rsid w:val="00184BC2"/>
    <w:rsid w:val="00184C01"/>
    <w:rsid w:val="00184D1E"/>
    <w:rsid w:val="00184D48"/>
    <w:rsid w:val="00184D49"/>
    <w:rsid w:val="00184E30"/>
    <w:rsid w:val="00184E69"/>
    <w:rsid w:val="00184F2E"/>
    <w:rsid w:val="00184FC7"/>
    <w:rsid w:val="00185020"/>
    <w:rsid w:val="00185064"/>
    <w:rsid w:val="001850F9"/>
    <w:rsid w:val="0018513C"/>
    <w:rsid w:val="0018526B"/>
    <w:rsid w:val="001852DF"/>
    <w:rsid w:val="0018543B"/>
    <w:rsid w:val="001854C7"/>
    <w:rsid w:val="00185613"/>
    <w:rsid w:val="00185631"/>
    <w:rsid w:val="0018566D"/>
    <w:rsid w:val="00185883"/>
    <w:rsid w:val="0018592F"/>
    <w:rsid w:val="00185A70"/>
    <w:rsid w:val="00185AAA"/>
    <w:rsid w:val="00185B0B"/>
    <w:rsid w:val="00185B1A"/>
    <w:rsid w:val="00185B45"/>
    <w:rsid w:val="00185B95"/>
    <w:rsid w:val="00185BB4"/>
    <w:rsid w:val="00185C41"/>
    <w:rsid w:val="00185C49"/>
    <w:rsid w:val="00185D15"/>
    <w:rsid w:val="00185EA8"/>
    <w:rsid w:val="00185FF2"/>
    <w:rsid w:val="00186121"/>
    <w:rsid w:val="0018618B"/>
    <w:rsid w:val="001861D3"/>
    <w:rsid w:val="0018627C"/>
    <w:rsid w:val="001863F1"/>
    <w:rsid w:val="00186470"/>
    <w:rsid w:val="0018649D"/>
    <w:rsid w:val="001864C3"/>
    <w:rsid w:val="001864F2"/>
    <w:rsid w:val="00186554"/>
    <w:rsid w:val="001865E8"/>
    <w:rsid w:val="00186654"/>
    <w:rsid w:val="00186658"/>
    <w:rsid w:val="0018667C"/>
    <w:rsid w:val="0018668D"/>
    <w:rsid w:val="001866A0"/>
    <w:rsid w:val="00186746"/>
    <w:rsid w:val="001867E3"/>
    <w:rsid w:val="00186804"/>
    <w:rsid w:val="00186825"/>
    <w:rsid w:val="00186953"/>
    <w:rsid w:val="001869C7"/>
    <w:rsid w:val="001869E3"/>
    <w:rsid w:val="001869E5"/>
    <w:rsid w:val="00186AA9"/>
    <w:rsid w:val="00186B59"/>
    <w:rsid w:val="00186C7D"/>
    <w:rsid w:val="00186C94"/>
    <w:rsid w:val="00186CAE"/>
    <w:rsid w:val="00186E98"/>
    <w:rsid w:val="00186F1B"/>
    <w:rsid w:val="00186FEA"/>
    <w:rsid w:val="0018706B"/>
    <w:rsid w:val="00187074"/>
    <w:rsid w:val="00187080"/>
    <w:rsid w:val="00187097"/>
    <w:rsid w:val="00187101"/>
    <w:rsid w:val="001871AC"/>
    <w:rsid w:val="001871B2"/>
    <w:rsid w:val="001871F4"/>
    <w:rsid w:val="00187277"/>
    <w:rsid w:val="001872C7"/>
    <w:rsid w:val="00187306"/>
    <w:rsid w:val="00187323"/>
    <w:rsid w:val="001873D9"/>
    <w:rsid w:val="001873E7"/>
    <w:rsid w:val="00187410"/>
    <w:rsid w:val="0018751D"/>
    <w:rsid w:val="00187577"/>
    <w:rsid w:val="001875F6"/>
    <w:rsid w:val="00187614"/>
    <w:rsid w:val="001876D6"/>
    <w:rsid w:val="0018770F"/>
    <w:rsid w:val="00187753"/>
    <w:rsid w:val="00187847"/>
    <w:rsid w:val="0018786D"/>
    <w:rsid w:val="001878CD"/>
    <w:rsid w:val="001878E5"/>
    <w:rsid w:val="001879A6"/>
    <w:rsid w:val="00187A01"/>
    <w:rsid w:val="00187A10"/>
    <w:rsid w:val="00187A1C"/>
    <w:rsid w:val="00187AF4"/>
    <w:rsid w:val="00187B19"/>
    <w:rsid w:val="00187B5D"/>
    <w:rsid w:val="00187B74"/>
    <w:rsid w:val="00187B8F"/>
    <w:rsid w:val="00187CEF"/>
    <w:rsid w:val="00187DC1"/>
    <w:rsid w:val="00187DCB"/>
    <w:rsid w:val="00187EAD"/>
    <w:rsid w:val="00187F55"/>
    <w:rsid w:val="00187FFC"/>
    <w:rsid w:val="00190003"/>
    <w:rsid w:val="0019000F"/>
    <w:rsid w:val="0019005D"/>
    <w:rsid w:val="0019008E"/>
    <w:rsid w:val="0019009D"/>
    <w:rsid w:val="00190276"/>
    <w:rsid w:val="00190279"/>
    <w:rsid w:val="001902DA"/>
    <w:rsid w:val="001902FA"/>
    <w:rsid w:val="00190331"/>
    <w:rsid w:val="00190396"/>
    <w:rsid w:val="001903B0"/>
    <w:rsid w:val="00190424"/>
    <w:rsid w:val="0019042B"/>
    <w:rsid w:val="001904BE"/>
    <w:rsid w:val="001905C1"/>
    <w:rsid w:val="0019064E"/>
    <w:rsid w:val="0019065D"/>
    <w:rsid w:val="00190671"/>
    <w:rsid w:val="00190715"/>
    <w:rsid w:val="0019074A"/>
    <w:rsid w:val="001907C5"/>
    <w:rsid w:val="00190831"/>
    <w:rsid w:val="0019084D"/>
    <w:rsid w:val="00190863"/>
    <w:rsid w:val="00190937"/>
    <w:rsid w:val="00190AFE"/>
    <w:rsid w:val="00190B11"/>
    <w:rsid w:val="00190CAD"/>
    <w:rsid w:val="00190D1B"/>
    <w:rsid w:val="00190E8D"/>
    <w:rsid w:val="001910ED"/>
    <w:rsid w:val="00191104"/>
    <w:rsid w:val="00191120"/>
    <w:rsid w:val="00191157"/>
    <w:rsid w:val="00191173"/>
    <w:rsid w:val="00191185"/>
    <w:rsid w:val="001911E9"/>
    <w:rsid w:val="00191240"/>
    <w:rsid w:val="00191293"/>
    <w:rsid w:val="0019129E"/>
    <w:rsid w:val="001912AE"/>
    <w:rsid w:val="001912FC"/>
    <w:rsid w:val="0019137D"/>
    <w:rsid w:val="00191396"/>
    <w:rsid w:val="001913AA"/>
    <w:rsid w:val="001913D3"/>
    <w:rsid w:val="0019141C"/>
    <w:rsid w:val="00191486"/>
    <w:rsid w:val="00191498"/>
    <w:rsid w:val="00191544"/>
    <w:rsid w:val="00191643"/>
    <w:rsid w:val="0019165F"/>
    <w:rsid w:val="001916DF"/>
    <w:rsid w:val="00191714"/>
    <w:rsid w:val="00191841"/>
    <w:rsid w:val="00191876"/>
    <w:rsid w:val="0019191F"/>
    <w:rsid w:val="00191978"/>
    <w:rsid w:val="001919FA"/>
    <w:rsid w:val="00191A1C"/>
    <w:rsid w:val="00191A8A"/>
    <w:rsid w:val="00191B2C"/>
    <w:rsid w:val="00191B61"/>
    <w:rsid w:val="00191BCC"/>
    <w:rsid w:val="00191C85"/>
    <w:rsid w:val="00191CB0"/>
    <w:rsid w:val="00191D87"/>
    <w:rsid w:val="00191DE4"/>
    <w:rsid w:val="00191DEF"/>
    <w:rsid w:val="00191E09"/>
    <w:rsid w:val="00191F60"/>
    <w:rsid w:val="00191FA2"/>
    <w:rsid w:val="00191FD2"/>
    <w:rsid w:val="00191FD7"/>
    <w:rsid w:val="00192008"/>
    <w:rsid w:val="00192128"/>
    <w:rsid w:val="0019216D"/>
    <w:rsid w:val="00192181"/>
    <w:rsid w:val="00192183"/>
    <w:rsid w:val="001921D6"/>
    <w:rsid w:val="0019221B"/>
    <w:rsid w:val="00192257"/>
    <w:rsid w:val="00192273"/>
    <w:rsid w:val="0019237E"/>
    <w:rsid w:val="0019238D"/>
    <w:rsid w:val="001923AC"/>
    <w:rsid w:val="001923D6"/>
    <w:rsid w:val="0019246F"/>
    <w:rsid w:val="0019250B"/>
    <w:rsid w:val="00192511"/>
    <w:rsid w:val="001925C8"/>
    <w:rsid w:val="001926A1"/>
    <w:rsid w:val="0019272F"/>
    <w:rsid w:val="001927DE"/>
    <w:rsid w:val="00192902"/>
    <w:rsid w:val="00192AAE"/>
    <w:rsid w:val="00192B19"/>
    <w:rsid w:val="00192B54"/>
    <w:rsid w:val="00192B9B"/>
    <w:rsid w:val="00192BA2"/>
    <w:rsid w:val="00192C11"/>
    <w:rsid w:val="00192D27"/>
    <w:rsid w:val="00192E43"/>
    <w:rsid w:val="00192E5F"/>
    <w:rsid w:val="00192EA1"/>
    <w:rsid w:val="00192EDE"/>
    <w:rsid w:val="00192F2A"/>
    <w:rsid w:val="00192FAD"/>
    <w:rsid w:val="00192FD4"/>
    <w:rsid w:val="001930BC"/>
    <w:rsid w:val="001930DA"/>
    <w:rsid w:val="0019312B"/>
    <w:rsid w:val="00193173"/>
    <w:rsid w:val="00193256"/>
    <w:rsid w:val="00193276"/>
    <w:rsid w:val="00193310"/>
    <w:rsid w:val="0019331F"/>
    <w:rsid w:val="00193366"/>
    <w:rsid w:val="00193368"/>
    <w:rsid w:val="00193397"/>
    <w:rsid w:val="001933A5"/>
    <w:rsid w:val="00193463"/>
    <w:rsid w:val="00193545"/>
    <w:rsid w:val="0019370A"/>
    <w:rsid w:val="00193789"/>
    <w:rsid w:val="001938DD"/>
    <w:rsid w:val="00193926"/>
    <w:rsid w:val="00193999"/>
    <w:rsid w:val="00193A27"/>
    <w:rsid w:val="00193A6A"/>
    <w:rsid w:val="00193AA1"/>
    <w:rsid w:val="00193AD4"/>
    <w:rsid w:val="00193AE0"/>
    <w:rsid w:val="00193B05"/>
    <w:rsid w:val="00193B15"/>
    <w:rsid w:val="00193BCD"/>
    <w:rsid w:val="00193BDC"/>
    <w:rsid w:val="00193C6C"/>
    <w:rsid w:val="00193CC0"/>
    <w:rsid w:val="00193D8F"/>
    <w:rsid w:val="00193E21"/>
    <w:rsid w:val="00193E49"/>
    <w:rsid w:val="00193EBC"/>
    <w:rsid w:val="00193F45"/>
    <w:rsid w:val="00193F96"/>
    <w:rsid w:val="00194002"/>
    <w:rsid w:val="0019406E"/>
    <w:rsid w:val="00194076"/>
    <w:rsid w:val="00194120"/>
    <w:rsid w:val="0019416E"/>
    <w:rsid w:val="001941D8"/>
    <w:rsid w:val="001942C9"/>
    <w:rsid w:val="001942EA"/>
    <w:rsid w:val="00194404"/>
    <w:rsid w:val="00194412"/>
    <w:rsid w:val="0019443E"/>
    <w:rsid w:val="0019449E"/>
    <w:rsid w:val="001946BD"/>
    <w:rsid w:val="001946F9"/>
    <w:rsid w:val="00194794"/>
    <w:rsid w:val="00194815"/>
    <w:rsid w:val="0019483F"/>
    <w:rsid w:val="001948B5"/>
    <w:rsid w:val="001948C7"/>
    <w:rsid w:val="001948E2"/>
    <w:rsid w:val="00194941"/>
    <w:rsid w:val="001949FD"/>
    <w:rsid w:val="00194A09"/>
    <w:rsid w:val="00194AFD"/>
    <w:rsid w:val="00194B01"/>
    <w:rsid w:val="00194B66"/>
    <w:rsid w:val="00194BA6"/>
    <w:rsid w:val="00194BD2"/>
    <w:rsid w:val="00194BD8"/>
    <w:rsid w:val="00194C14"/>
    <w:rsid w:val="00194C1D"/>
    <w:rsid w:val="00194C4B"/>
    <w:rsid w:val="00194CA3"/>
    <w:rsid w:val="00194CA8"/>
    <w:rsid w:val="00194D93"/>
    <w:rsid w:val="00194D9A"/>
    <w:rsid w:val="00194DD2"/>
    <w:rsid w:val="00194E03"/>
    <w:rsid w:val="00194E4E"/>
    <w:rsid w:val="00194E6B"/>
    <w:rsid w:val="00194E75"/>
    <w:rsid w:val="00194EE6"/>
    <w:rsid w:val="00194F31"/>
    <w:rsid w:val="00194F85"/>
    <w:rsid w:val="0019505D"/>
    <w:rsid w:val="00195226"/>
    <w:rsid w:val="0019525A"/>
    <w:rsid w:val="001952BB"/>
    <w:rsid w:val="0019533F"/>
    <w:rsid w:val="00195365"/>
    <w:rsid w:val="0019539C"/>
    <w:rsid w:val="001953DF"/>
    <w:rsid w:val="00195409"/>
    <w:rsid w:val="00195467"/>
    <w:rsid w:val="00195488"/>
    <w:rsid w:val="001954CA"/>
    <w:rsid w:val="001956E0"/>
    <w:rsid w:val="00195716"/>
    <w:rsid w:val="00195719"/>
    <w:rsid w:val="00195734"/>
    <w:rsid w:val="00195767"/>
    <w:rsid w:val="001957A2"/>
    <w:rsid w:val="0019582F"/>
    <w:rsid w:val="001958B8"/>
    <w:rsid w:val="001958FA"/>
    <w:rsid w:val="001959B2"/>
    <w:rsid w:val="001959C9"/>
    <w:rsid w:val="00195A1B"/>
    <w:rsid w:val="00195AC0"/>
    <w:rsid w:val="00195D07"/>
    <w:rsid w:val="00195DD6"/>
    <w:rsid w:val="00195DF7"/>
    <w:rsid w:val="00195E37"/>
    <w:rsid w:val="00195EA6"/>
    <w:rsid w:val="00195FBD"/>
    <w:rsid w:val="00196042"/>
    <w:rsid w:val="00196044"/>
    <w:rsid w:val="001960A6"/>
    <w:rsid w:val="001960D2"/>
    <w:rsid w:val="00196108"/>
    <w:rsid w:val="0019611B"/>
    <w:rsid w:val="00196145"/>
    <w:rsid w:val="00196200"/>
    <w:rsid w:val="00196209"/>
    <w:rsid w:val="00196264"/>
    <w:rsid w:val="00196374"/>
    <w:rsid w:val="0019643A"/>
    <w:rsid w:val="00196459"/>
    <w:rsid w:val="001965E6"/>
    <w:rsid w:val="001965F5"/>
    <w:rsid w:val="00196655"/>
    <w:rsid w:val="00196759"/>
    <w:rsid w:val="00196857"/>
    <w:rsid w:val="001968EF"/>
    <w:rsid w:val="00196904"/>
    <w:rsid w:val="0019693C"/>
    <w:rsid w:val="00196AE7"/>
    <w:rsid w:val="00196B1C"/>
    <w:rsid w:val="00196B8D"/>
    <w:rsid w:val="00196C58"/>
    <w:rsid w:val="00196CA4"/>
    <w:rsid w:val="00196D52"/>
    <w:rsid w:val="00196D5F"/>
    <w:rsid w:val="00196DB1"/>
    <w:rsid w:val="00196EA1"/>
    <w:rsid w:val="00196EDF"/>
    <w:rsid w:val="00196F5A"/>
    <w:rsid w:val="00196F9A"/>
    <w:rsid w:val="0019714E"/>
    <w:rsid w:val="001971E3"/>
    <w:rsid w:val="0019722F"/>
    <w:rsid w:val="00197309"/>
    <w:rsid w:val="0019732B"/>
    <w:rsid w:val="001973FB"/>
    <w:rsid w:val="00197489"/>
    <w:rsid w:val="00197579"/>
    <w:rsid w:val="001975E1"/>
    <w:rsid w:val="0019766C"/>
    <w:rsid w:val="0019781C"/>
    <w:rsid w:val="00197868"/>
    <w:rsid w:val="0019789F"/>
    <w:rsid w:val="001978D9"/>
    <w:rsid w:val="001978F9"/>
    <w:rsid w:val="001979D0"/>
    <w:rsid w:val="001979D6"/>
    <w:rsid w:val="00197AF4"/>
    <w:rsid w:val="00197B46"/>
    <w:rsid w:val="00197BAC"/>
    <w:rsid w:val="00197C28"/>
    <w:rsid w:val="00197C3D"/>
    <w:rsid w:val="00197CAE"/>
    <w:rsid w:val="00197CAF"/>
    <w:rsid w:val="00197D7F"/>
    <w:rsid w:val="00197DEB"/>
    <w:rsid w:val="00197EB9"/>
    <w:rsid w:val="00197F0B"/>
    <w:rsid w:val="00197F74"/>
    <w:rsid w:val="00197FB2"/>
    <w:rsid w:val="0019E16A"/>
    <w:rsid w:val="001A0028"/>
    <w:rsid w:val="001A007F"/>
    <w:rsid w:val="001A014E"/>
    <w:rsid w:val="001A0162"/>
    <w:rsid w:val="001A02DD"/>
    <w:rsid w:val="001A034C"/>
    <w:rsid w:val="001A0387"/>
    <w:rsid w:val="001A03F5"/>
    <w:rsid w:val="001A0492"/>
    <w:rsid w:val="001A0573"/>
    <w:rsid w:val="001A0621"/>
    <w:rsid w:val="001A06D1"/>
    <w:rsid w:val="001A072B"/>
    <w:rsid w:val="001A0791"/>
    <w:rsid w:val="001A07AA"/>
    <w:rsid w:val="001A07E6"/>
    <w:rsid w:val="001A0881"/>
    <w:rsid w:val="001A089F"/>
    <w:rsid w:val="001A08A7"/>
    <w:rsid w:val="001A08C1"/>
    <w:rsid w:val="001A0903"/>
    <w:rsid w:val="001A0912"/>
    <w:rsid w:val="001A0925"/>
    <w:rsid w:val="001A0959"/>
    <w:rsid w:val="001A09BC"/>
    <w:rsid w:val="001A09C9"/>
    <w:rsid w:val="001A09D2"/>
    <w:rsid w:val="001A0C20"/>
    <w:rsid w:val="001A0D42"/>
    <w:rsid w:val="001A0D5B"/>
    <w:rsid w:val="001A0D7A"/>
    <w:rsid w:val="001A0D99"/>
    <w:rsid w:val="001A0E06"/>
    <w:rsid w:val="001A0E22"/>
    <w:rsid w:val="001A0EB0"/>
    <w:rsid w:val="001A0F02"/>
    <w:rsid w:val="001A0F6F"/>
    <w:rsid w:val="001A10A6"/>
    <w:rsid w:val="001A1122"/>
    <w:rsid w:val="001A112B"/>
    <w:rsid w:val="001A1156"/>
    <w:rsid w:val="001A11A1"/>
    <w:rsid w:val="001A11C4"/>
    <w:rsid w:val="001A1269"/>
    <w:rsid w:val="001A1299"/>
    <w:rsid w:val="001A12C5"/>
    <w:rsid w:val="001A1361"/>
    <w:rsid w:val="001A1371"/>
    <w:rsid w:val="001A13A0"/>
    <w:rsid w:val="001A13C8"/>
    <w:rsid w:val="001A13F2"/>
    <w:rsid w:val="001A143C"/>
    <w:rsid w:val="001A16C5"/>
    <w:rsid w:val="001A16F7"/>
    <w:rsid w:val="001A176A"/>
    <w:rsid w:val="001A17AE"/>
    <w:rsid w:val="001A17C9"/>
    <w:rsid w:val="001A1810"/>
    <w:rsid w:val="001A1831"/>
    <w:rsid w:val="001A1845"/>
    <w:rsid w:val="001A19B4"/>
    <w:rsid w:val="001A19DF"/>
    <w:rsid w:val="001A1A11"/>
    <w:rsid w:val="001A1A3A"/>
    <w:rsid w:val="001A1ABE"/>
    <w:rsid w:val="001A1ABF"/>
    <w:rsid w:val="001A1AFF"/>
    <w:rsid w:val="001A1C5F"/>
    <w:rsid w:val="001A1DD7"/>
    <w:rsid w:val="001A1DD9"/>
    <w:rsid w:val="001A1E10"/>
    <w:rsid w:val="001A1E40"/>
    <w:rsid w:val="001A1E90"/>
    <w:rsid w:val="001A1EE1"/>
    <w:rsid w:val="001A1F06"/>
    <w:rsid w:val="001A1F96"/>
    <w:rsid w:val="001A1F99"/>
    <w:rsid w:val="001A1FC3"/>
    <w:rsid w:val="001A1FCE"/>
    <w:rsid w:val="001A1FF9"/>
    <w:rsid w:val="001A200F"/>
    <w:rsid w:val="001A211E"/>
    <w:rsid w:val="001A213B"/>
    <w:rsid w:val="001A21BB"/>
    <w:rsid w:val="001A2264"/>
    <w:rsid w:val="001A2329"/>
    <w:rsid w:val="001A234A"/>
    <w:rsid w:val="001A2377"/>
    <w:rsid w:val="001A2388"/>
    <w:rsid w:val="001A23B1"/>
    <w:rsid w:val="001A2442"/>
    <w:rsid w:val="001A247E"/>
    <w:rsid w:val="001A24D8"/>
    <w:rsid w:val="001A2513"/>
    <w:rsid w:val="001A2527"/>
    <w:rsid w:val="001A256A"/>
    <w:rsid w:val="001A25CD"/>
    <w:rsid w:val="001A25FC"/>
    <w:rsid w:val="001A263B"/>
    <w:rsid w:val="001A270F"/>
    <w:rsid w:val="001A274A"/>
    <w:rsid w:val="001A275C"/>
    <w:rsid w:val="001A2769"/>
    <w:rsid w:val="001A27AB"/>
    <w:rsid w:val="001A27CD"/>
    <w:rsid w:val="001A28D2"/>
    <w:rsid w:val="001A2937"/>
    <w:rsid w:val="001A2958"/>
    <w:rsid w:val="001A298B"/>
    <w:rsid w:val="001A298C"/>
    <w:rsid w:val="001A29EA"/>
    <w:rsid w:val="001A2AB5"/>
    <w:rsid w:val="001A2AE9"/>
    <w:rsid w:val="001A2B03"/>
    <w:rsid w:val="001A2B51"/>
    <w:rsid w:val="001A2B82"/>
    <w:rsid w:val="001A2B9A"/>
    <w:rsid w:val="001A2BA1"/>
    <w:rsid w:val="001A2BAC"/>
    <w:rsid w:val="001A2CA7"/>
    <w:rsid w:val="001A2D32"/>
    <w:rsid w:val="001A2E6B"/>
    <w:rsid w:val="001A2EFD"/>
    <w:rsid w:val="001A2FC6"/>
    <w:rsid w:val="001A2FDD"/>
    <w:rsid w:val="001A30A3"/>
    <w:rsid w:val="001A30C7"/>
    <w:rsid w:val="001A3112"/>
    <w:rsid w:val="001A31D4"/>
    <w:rsid w:val="001A3367"/>
    <w:rsid w:val="001A340D"/>
    <w:rsid w:val="001A34C8"/>
    <w:rsid w:val="001A34D1"/>
    <w:rsid w:val="001A359E"/>
    <w:rsid w:val="001A35DA"/>
    <w:rsid w:val="001A384A"/>
    <w:rsid w:val="001A38CF"/>
    <w:rsid w:val="001A3930"/>
    <w:rsid w:val="001A3986"/>
    <w:rsid w:val="001A3A0F"/>
    <w:rsid w:val="001A3A18"/>
    <w:rsid w:val="001A3A67"/>
    <w:rsid w:val="001A3AF5"/>
    <w:rsid w:val="001A3B7B"/>
    <w:rsid w:val="001A3BA9"/>
    <w:rsid w:val="001A3BC2"/>
    <w:rsid w:val="001A3C27"/>
    <w:rsid w:val="001A3C33"/>
    <w:rsid w:val="001A3C4C"/>
    <w:rsid w:val="001A3CBE"/>
    <w:rsid w:val="001A3D57"/>
    <w:rsid w:val="001A3DA9"/>
    <w:rsid w:val="001A3E10"/>
    <w:rsid w:val="001A3E27"/>
    <w:rsid w:val="001A3E5C"/>
    <w:rsid w:val="001A3E7A"/>
    <w:rsid w:val="001A3EA9"/>
    <w:rsid w:val="001A3EF8"/>
    <w:rsid w:val="001A3F4E"/>
    <w:rsid w:val="001A3F53"/>
    <w:rsid w:val="001A3F9F"/>
    <w:rsid w:val="001A3FC1"/>
    <w:rsid w:val="001A3FE6"/>
    <w:rsid w:val="001A40AE"/>
    <w:rsid w:val="001A40C9"/>
    <w:rsid w:val="001A413B"/>
    <w:rsid w:val="001A4268"/>
    <w:rsid w:val="001A42E1"/>
    <w:rsid w:val="001A4414"/>
    <w:rsid w:val="001A4550"/>
    <w:rsid w:val="001A4623"/>
    <w:rsid w:val="001A48CA"/>
    <w:rsid w:val="001A48D4"/>
    <w:rsid w:val="001A49FE"/>
    <w:rsid w:val="001A4A7E"/>
    <w:rsid w:val="001A4C61"/>
    <w:rsid w:val="001A4CBB"/>
    <w:rsid w:val="001A4CC5"/>
    <w:rsid w:val="001A4CFB"/>
    <w:rsid w:val="001A4CFE"/>
    <w:rsid w:val="001A4EF8"/>
    <w:rsid w:val="001A50A1"/>
    <w:rsid w:val="001A517B"/>
    <w:rsid w:val="001A51B6"/>
    <w:rsid w:val="001A51F6"/>
    <w:rsid w:val="001A5221"/>
    <w:rsid w:val="001A5260"/>
    <w:rsid w:val="001A52A4"/>
    <w:rsid w:val="001A5371"/>
    <w:rsid w:val="001A53F3"/>
    <w:rsid w:val="001A54A7"/>
    <w:rsid w:val="001A54C2"/>
    <w:rsid w:val="001A54C4"/>
    <w:rsid w:val="001A550F"/>
    <w:rsid w:val="001A5546"/>
    <w:rsid w:val="001A567A"/>
    <w:rsid w:val="001A56A9"/>
    <w:rsid w:val="001A56CC"/>
    <w:rsid w:val="001A56D1"/>
    <w:rsid w:val="001A58B4"/>
    <w:rsid w:val="001A5949"/>
    <w:rsid w:val="001A5958"/>
    <w:rsid w:val="001A5993"/>
    <w:rsid w:val="001A59B3"/>
    <w:rsid w:val="001A59C7"/>
    <w:rsid w:val="001A59DF"/>
    <w:rsid w:val="001A5A00"/>
    <w:rsid w:val="001A5A10"/>
    <w:rsid w:val="001A5A4C"/>
    <w:rsid w:val="001A5A73"/>
    <w:rsid w:val="001A5A79"/>
    <w:rsid w:val="001A5AAB"/>
    <w:rsid w:val="001A5AB2"/>
    <w:rsid w:val="001A5AD5"/>
    <w:rsid w:val="001A5B2A"/>
    <w:rsid w:val="001A5B73"/>
    <w:rsid w:val="001A5B80"/>
    <w:rsid w:val="001A5B8F"/>
    <w:rsid w:val="001A5BAA"/>
    <w:rsid w:val="001A5D71"/>
    <w:rsid w:val="001A5E26"/>
    <w:rsid w:val="001A5EC9"/>
    <w:rsid w:val="001A5ED2"/>
    <w:rsid w:val="001A6055"/>
    <w:rsid w:val="001A6165"/>
    <w:rsid w:val="001A61C2"/>
    <w:rsid w:val="001A61CC"/>
    <w:rsid w:val="001A6249"/>
    <w:rsid w:val="001A627D"/>
    <w:rsid w:val="001A6297"/>
    <w:rsid w:val="001A62D4"/>
    <w:rsid w:val="001A6310"/>
    <w:rsid w:val="001A6311"/>
    <w:rsid w:val="001A631D"/>
    <w:rsid w:val="001A6442"/>
    <w:rsid w:val="001A6485"/>
    <w:rsid w:val="001A64A4"/>
    <w:rsid w:val="001A64B3"/>
    <w:rsid w:val="001A6532"/>
    <w:rsid w:val="001A6593"/>
    <w:rsid w:val="001A663D"/>
    <w:rsid w:val="001A668D"/>
    <w:rsid w:val="001A668E"/>
    <w:rsid w:val="001A66FA"/>
    <w:rsid w:val="001A673E"/>
    <w:rsid w:val="001A6823"/>
    <w:rsid w:val="001A6872"/>
    <w:rsid w:val="001A6876"/>
    <w:rsid w:val="001A68AA"/>
    <w:rsid w:val="001A68B8"/>
    <w:rsid w:val="001A69BC"/>
    <w:rsid w:val="001A6A69"/>
    <w:rsid w:val="001A6A7F"/>
    <w:rsid w:val="001A6A89"/>
    <w:rsid w:val="001A6AB0"/>
    <w:rsid w:val="001A6AB9"/>
    <w:rsid w:val="001A6AD3"/>
    <w:rsid w:val="001A6B1B"/>
    <w:rsid w:val="001A6B1F"/>
    <w:rsid w:val="001A6B59"/>
    <w:rsid w:val="001A6B66"/>
    <w:rsid w:val="001A6B7C"/>
    <w:rsid w:val="001A6BAF"/>
    <w:rsid w:val="001A6BDA"/>
    <w:rsid w:val="001A6C59"/>
    <w:rsid w:val="001A6C80"/>
    <w:rsid w:val="001A6D55"/>
    <w:rsid w:val="001A6E76"/>
    <w:rsid w:val="001A6EB0"/>
    <w:rsid w:val="001A6F2A"/>
    <w:rsid w:val="001A6F39"/>
    <w:rsid w:val="001A6F76"/>
    <w:rsid w:val="001A6F8A"/>
    <w:rsid w:val="001A707C"/>
    <w:rsid w:val="001A7094"/>
    <w:rsid w:val="001A7111"/>
    <w:rsid w:val="001A7133"/>
    <w:rsid w:val="001A72C6"/>
    <w:rsid w:val="001A72FD"/>
    <w:rsid w:val="001A7304"/>
    <w:rsid w:val="001A7350"/>
    <w:rsid w:val="001A7358"/>
    <w:rsid w:val="001A739C"/>
    <w:rsid w:val="001A73AE"/>
    <w:rsid w:val="001A73D7"/>
    <w:rsid w:val="001A750D"/>
    <w:rsid w:val="001A7511"/>
    <w:rsid w:val="001A7526"/>
    <w:rsid w:val="001A75C0"/>
    <w:rsid w:val="001A7709"/>
    <w:rsid w:val="001A7752"/>
    <w:rsid w:val="001A77E0"/>
    <w:rsid w:val="001A7844"/>
    <w:rsid w:val="001A7856"/>
    <w:rsid w:val="001A7B1B"/>
    <w:rsid w:val="001A7B47"/>
    <w:rsid w:val="001A7B94"/>
    <w:rsid w:val="001A7C25"/>
    <w:rsid w:val="001A7C57"/>
    <w:rsid w:val="001A7C9C"/>
    <w:rsid w:val="001A7D5E"/>
    <w:rsid w:val="001A7E56"/>
    <w:rsid w:val="001A7EB2"/>
    <w:rsid w:val="001A7EE7"/>
    <w:rsid w:val="001A7EF7"/>
    <w:rsid w:val="001A7F2A"/>
    <w:rsid w:val="001A7F6E"/>
    <w:rsid w:val="001A7FC9"/>
    <w:rsid w:val="001A7FF7"/>
    <w:rsid w:val="001B0075"/>
    <w:rsid w:val="001B0082"/>
    <w:rsid w:val="001B00F5"/>
    <w:rsid w:val="001B00FE"/>
    <w:rsid w:val="001B011F"/>
    <w:rsid w:val="001B0136"/>
    <w:rsid w:val="001B0168"/>
    <w:rsid w:val="001B01A4"/>
    <w:rsid w:val="001B0327"/>
    <w:rsid w:val="001B0475"/>
    <w:rsid w:val="001B0497"/>
    <w:rsid w:val="001B05A8"/>
    <w:rsid w:val="001B05F6"/>
    <w:rsid w:val="001B066F"/>
    <w:rsid w:val="001B0765"/>
    <w:rsid w:val="001B07C2"/>
    <w:rsid w:val="001B0835"/>
    <w:rsid w:val="001B08C5"/>
    <w:rsid w:val="001B09BB"/>
    <w:rsid w:val="001B0A83"/>
    <w:rsid w:val="001B0AAC"/>
    <w:rsid w:val="001B0AD8"/>
    <w:rsid w:val="001B0B60"/>
    <w:rsid w:val="001B0BA6"/>
    <w:rsid w:val="001B0C12"/>
    <w:rsid w:val="001B0CA9"/>
    <w:rsid w:val="001B0CDC"/>
    <w:rsid w:val="001B0D1F"/>
    <w:rsid w:val="001B0D3A"/>
    <w:rsid w:val="001B0D73"/>
    <w:rsid w:val="001B0D7A"/>
    <w:rsid w:val="001B0DFD"/>
    <w:rsid w:val="001B0F16"/>
    <w:rsid w:val="001B0F68"/>
    <w:rsid w:val="001B10D3"/>
    <w:rsid w:val="001B10E1"/>
    <w:rsid w:val="001B1176"/>
    <w:rsid w:val="001B1206"/>
    <w:rsid w:val="001B122D"/>
    <w:rsid w:val="001B125F"/>
    <w:rsid w:val="001B12D8"/>
    <w:rsid w:val="001B1347"/>
    <w:rsid w:val="001B1412"/>
    <w:rsid w:val="001B14D0"/>
    <w:rsid w:val="001B14E7"/>
    <w:rsid w:val="001B151F"/>
    <w:rsid w:val="001B154C"/>
    <w:rsid w:val="001B159F"/>
    <w:rsid w:val="001B1615"/>
    <w:rsid w:val="001B1693"/>
    <w:rsid w:val="001B16C3"/>
    <w:rsid w:val="001B16D4"/>
    <w:rsid w:val="001B1708"/>
    <w:rsid w:val="001B1734"/>
    <w:rsid w:val="001B174F"/>
    <w:rsid w:val="001B175D"/>
    <w:rsid w:val="001B17A4"/>
    <w:rsid w:val="001B17DC"/>
    <w:rsid w:val="001B1812"/>
    <w:rsid w:val="001B1840"/>
    <w:rsid w:val="001B1844"/>
    <w:rsid w:val="001B1854"/>
    <w:rsid w:val="001B189E"/>
    <w:rsid w:val="001B1960"/>
    <w:rsid w:val="001B19F4"/>
    <w:rsid w:val="001B1A05"/>
    <w:rsid w:val="001B1A85"/>
    <w:rsid w:val="001B1A9A"/>
    <w:rsid w:val="001B1B16"/>
    <w:rsid w:val="001B1B39"/>
    <w:rsid w:val="001B1B58"/>
    <w:rsid w:val="001B1C1F"/>
    <w:rsid w:val="001B1C7A"/>
    <w:rsid w:val="001B1C8A"/>
    <w:rsid w:val="001B1C91"/>
    <w:rsid w:val="001B1C99"/>
    <w:rsid w:val="001B1DC5"/>
    <w:rsid w:val="001B1E6F"/>
    <w:rsid w:val="001B1E7C"/>
    <w:rsid w:val="001B1EA2"/>
    <w:rsid w:val="001B1F64"/>
    <w:rsid w:val="001B1F82"/>
    <w:rsid w:val="001B1FD7"/>
    <w:rsid w:val="001B2094"/>
    <w:rsid w:val="001B20E2"/>
    <w:rsid w:val="001B215B"/>
    <w:rsid w:val="001B217B"/>
    <w:rsid w:val="001B22D7"/>
    <w:rsid w:val="001B22E8"/>
    <w:rsid w:val="001B23F9"/>
    <w:rsid w:val="001B2531"/>
    <w:rsid w:val="001B2646"/>
    <w:rsid w:val="001B27A1"/>
    <w:rsid w:val="001B27E1"/>
    <w:rsid w:val="001B2899"/>
    <w:rsid w:val="001B2915"/>
    <w:rsid w:val="001B2917"/>
    <w:rsid w:val="001B29CF"/>
    <w:rsid w:val="001B2A7A"/>
    <w:rsid w:val="001B2A8D"/>
    <w:rsid w:val="001B2C81"/>
    <w:rsid w:val="001B2C9B"/>
    <w:rsid w:val="001B2CAD"/>
    <w:rsid w:val="001B2DDC"/>
    <w:rsid w:val="001B2E43"/>
    <w:rsid w:val="001B2E4A"/>
    <w:rsid w:val="001B2ED3"/>
    <w:rsid w:val="001B2ED7"/>
    <w:rsid w:val="001B2F24"/>
    <w:rsid w:val="001B2F79"/>
    <w:rsid w:val="001B2FDD"/>
    <w:rsid w:val="001B301C"/>
    <w:rsid w:val="001B309D"/>
    <w:rsid w:val="001B30D6"/>
    <w:rsid w:val="001B3138"/>
    <w:rsid w:val="001B31A4"/>
    <w:rsid w:val="001B324F"/>
    <w:rsid w:val="001B32A1"/>
    <w:rsid w:val="001B3420"/>
    <w:rsid w:val="001B3428"/>
    <w:rsid w:val="001B3436"/>
    <w:rsid w:val="001B34C7"/>
    <w:rsid w:val="001B3617"/>
    <w:rsid w:val="001B3741"/>
    <w:rsid w:val="001B379A"/>
    <w:rsid w:val="001B37BE"/>
    <w:rsid w:val="001B3867"/>
    <w:rsid w:val="001B38FC"/>
    <w:rsid w:val="001B3908"/>
    <w:rsid w:val="001B3A0F"/>
    <w:rsid w:val="001B3A7D"/>
    <w:rsid w:val="001B3B46"/>
    <w:rsid w:val="001B3CCB"/>
    <w:rsid w:val="001B3D15"/>
    <w:rsid w:val="001B3DEB"/>
    <w:rsid w:val="001B3E76"/>
    <w:rsid w:val="001B3F10"/>
    <w:rsid w:val="001B3F12"/>
    <w:rsid w:val="001B4001"/>
    <w:rsid w:val="001B408A"/>
    <w:rsid w:val="001B40CC"/>
    <w:rsid w:val="001B4118"/>
    <w:rsid w:val="001B4154"/>
    <w:rsid w:val="001B4181"/>
    <w:rsid w:val="001B4192"/>
    <w:rsid w:val="001B41BA"/>
    <w:rsid w:val="001B421F"/>
    <w:rsid w:val="001B4262"/>
    <w:rsid w:val="001B43E9"/>
    <w:rsid w:val="001B44A6"/>
    <w:rsid w:val="001B44C9"/>
    <w:rsid w:val="001B451E"/>
    <w:rsid w:val="001B4594"/>
    <w:rsid w:val="001B45DE"/>
    <w:rsid w:val="001B45FF"/>
    <w:rsid w:val="001B46AF"/>
    <w:rsid w:val="001B46C2"/>
    <w:rsid w:val="001B473B"/>
    <w:rsid w:val="001B4832"/>
    <w:rsid w:val="001B483B"/>
    <w:rsid w:val="001B4893"/>
    <w:rsid w:val="001B48CC"/>
    <w:rsid w:val="001B49FF"/>
    <w:rsid w:val="001B4ABA"/>
    <w:rsid w:val="001B4AEF"/>
    <w:rsid w:val="001B4C12"/>
    <w:rsid w:val="001B4D17"/>
    <w:rsid w:val="001B4D97"/>
    <w:rsid w:val="001B4E94"/>
    <w:rsid w:val="001B4EC3"/>
    <w:rsid w:val="001B4ED4"/>
    <w:rsid w:val="001B4ED5"/>
    <w:rsid w:val="001B4F2D"/>
    <w:rsid w:val="001B4F4C"/>
    <w:rsid w:val="001B4F98"/>
    <w:rsid w:val="001B505B"/>
    <w:rsid w:val="001B5124"/>
    <w:rsid w:val="001B526D"/>
    <w:rsid w:val="001B52AC"/>
    <w:rsid w:val="001B5308"/>
    <w:rsid w:val="001B53FD"/>
    <w:rsid w:val="001B5449"/>
    <w:rsid w:val="001B54FD"/>
    <w:rsid w:val="001B5553"/>
    <w:rsid w:val="001B5597"/>
    <w:rsid w:val="001B55BD"/>
    <w:rsid w:val="001B5647"/>
    <w:rsid w:val="001B564E"/>
    <w:rsid w:val="001B566C"/>
    <w:rsid w:val="001B5681"/>
    <w:rsid w:val="001B57A0"/>
    <w:rsid w:val="001B57A8"/>
    <w:rsid w:val="001B57E8"/>
    <w:rsid w:val="001B5814"/>
    <w:rsid w:val="001B5846"/>
    <w:rsid w:val="001B58D0"/>
    <w:rsid w:val="001B5915"/>
    <w:rsid w:val="001B5926"/>
    <w:rsid w:val="001B59CE"/>
    <w:rsid w:val="001B59DD"/>
    <w:rsid w:val="001B5A40"/>
    <w:rsid w:val="001B5A6F"/>
    <w:rsid w:val="001B5A9D"/>
    <w:rsid w:val="001B5B0B"/>
    <w:rsid w:val="001B5B5E"/>
    <w:rsid w:val="001B5C2A"/>
    <w:rsid w:val="001B5C77"/>
    <w:rsid w:val="001B5D34"/>
    <w:rsid w:val="001B5DF7"/>
    <w:rsid w:val="001B5E2F"/>
    <w:rsid w:val="001B5E4B"/>
    <w:rsid w:val="001B5FA5"/>
    <w:rsid w:val="001B6057"/>
    <w:rsid w:val="001B605D"/>
    <w:rsid w:val="001B60E3"/>
    <w:rsid w:val="001B60F0"/>
    <w:rsid w:val="001B6115"/>
    <w:rsid w:val="001B617F"/>
    <w:rsid w:val="001B6258"/>
    <w:rsid w:val="001B6261"/>
    <w:rsid w:val="001B6290"/>
    <w:rsid w:val="001B62DF"/>
    <w:rsid w:val="001B63D1"/>
    <w:rsid w:val="001B64B2"/>
    <w:rsid w:val="001B64D9"/>
    <w:rsid w:val="001B6619"/>
    <w:rsid w:val="001B6626"/>
    <w:rsid w:val="001B6627"/>
    <w:rsid w:val="001B6672"/>
    <w:rsid w:val="001B667A"/>
    <w:rsid w:val="001B66F5"/>
    <w:rsid w:val="001B6740"/>
    <w:rsid w:val="001B67C5"/>
    <w:rsid w:val="001B6800"/>
    <w:rsid w:val="001B685D"/>
    <w:rsid w:val="001B68A3"/>
    <w:rsid w:val="001B68A8"/>
    <w:rsid w:val="001B699C"/>
    <w:rsid w:val="001B69AD"/>
    <w:rsid w:val="001B6A69"/>
    <w:rsid w:val="001B6B06"/>
    <w:rsid w:val="001B6BA2"/>
    <w:rsid w:val="001B6C27"/>
    <w:rsid w:val="001B6CB2"/>
    <w:rsid w:val="001B6D63"/>
    <w:rsid w:val="001B6DDD"/>
    <w:rsid w:val="001B6DE6"/>
    <w:rsid w:val="001B6E69"/>
    <w:rsid w:val="001B6E83"/>
    <w:rsid w:val="001B6ED5"/>
    <w:rsid w:val="001B6EE0"/>
    <w:rsid w:val="001B6FBC"/>
    <w:rsid w:val="001B6FFE"/>
    <w:rsid w:val="001B7023"/>
    <w:rsid w:val="001B704C"/>
    <w:rsid w:val="001B7096"/>
    <w:rsid w:val="001B70DA"/>
    <w:rsid w:val="001B7151"/>
    <w:rsid w:val="001B7159"/>
    <w:rsid w:val="001B71AC"/>
    <w:rsid w:val="001B7227"/>
    <w:rsid w:val="001B727A"/>
    <w:rsid w:val="001B7360"/>
    <w:rsid w:val="001B747F"/>
    <w:rsid w:val="001B74D3"/>
    <w:rsid w:val="001B74EA"/>
    <w:rsid w:val="001B750D"/>
    <w:rsid w:val="001B7512"/>
    <w:rsid w:val="001B75CB"/>
    <w:rsid w:val="001B7635"/>
    <w:rsid w:val="001B764D"/>
    <w:rsid w:val="001B76F1"/>
    <w:rsid w:val="001B7798"/>
    <w:rsid w:val="001B7832"/>
    <w:rsid w:val="001B78EF"/>
    <w:rsid w:val="001B792B"/>
    <w:rsid w:val="001B794F"/>
    <w:rsid w:val="001B7B40"/>
    <w:rsid w:val="001B7D06"/>
    <w:rsid w:val="001B7D1F"/>
    <w:rsid w:val="001B7D31"/>
    <w:rsid w:val="001B7D6B"/>
    <w:rsid w:val="001B7E75"/>
    <w:rsid w:val="001B7F17"/>
    <w:rsid w:val="001B7FBD"/>
    <w:rsid w:val="001B7FD8"/>
    <w:rsid w:val="001B7FF2"/>
    <w:rsid w:val="001C016C"/>
    <w:rsid w:val="001C025C"/>
    <w:rsid w:val="001C0309"/>
    <w:rsid w:val="001C035E"/>
    <w:rsid w:val="001C0459"/>
    <w:rsid w:val="001C0498"/>
    <w:rsid w:val="001C0514"/>
    <w:rsid w:val="001C063D"/>
    <w:rsid w:val="001C06A5"/>
    <w:rsid w:val="001C06BA"/>
    <w:rsid w:val="001C06D9"/>
    <w:rsid w:val="001C070D"/>
    <w:rsid w:val="001C071F"/>
    <w:rsid w:val="001C0735"/>
    <w:rsid w:val="001C0824"/>
    <w:rsid w:val="001C08A3"/>
    <w:rsid w:val="001C095F"/>
    <w:rsid w:val="001C0A39"/>
    <w:rsid w:val="001C0ABD"/>
    <w:rsid w:val="001C0B2E"/>
    <w:rsid w:val="001C0BDD"/>
    <w:rsid w:val="001C0C2F"/>
    <w:rsid w:val="001C0C35"/>
    <w:rsid w:val="001C0C94"/>
    <w:rsid w:val="001C0CBC"/>
    <w:rsid w:val="001C0CEA"/>
    <w:rsid w:val="001C0D20"/>
    <w:rsid w:val="001C0DB6"/>
    <w:rsid w:val="001C0DE8"/>
    <w:rsid w:val="001C0DFB"/>
    <w:rsid w:val="001C0F03"/>
    <w:rsid w:val="001C0F35"/>
    <w:rsid w:val="001C0F4E"/>
    <w:rsid w:val="001C0F75"/>
    <w:rsid w:val="001C0FFB"/>
    <w:rsid w:val="001C1002"/>
    <w:rsid w:val="001C104E"/>
    <w:rsid w:val="001C1077"/>
    <w:rsid w:val="001C10F2"/>
    <w:rsid w:val="001C10FD"/>
    <w:rsid w:val="001C114F"/>
    <w:rsid w:val="001C1165"/>
    <w:rsid w:val="001C1167"/>
    <w:rsid w:val="001C11A0"/>
    <w:rsid w:val="001C1243"/>
    <w:rsid w:val="001C1275"/>
    <w:rsid w:val="001C12CD"/>
    <w:rsid w:val="001C1346"/>
    <w:rsid w:val="001C13CB"/>
    <w:rsid w:val="001C1494"/>
    <w:rsid w:val="001C15E0"/>
    <w:rsid w:val="001C164F"/>
    <w:rsid w:val="001C1666"/>
    <w:rsid w:val="001C1669"/>
    <w:rsid w:val="001C1683"/>
    <w:rsid w:val="001C16FC"/>
    <w:rsid w:val="001C1791"/>
    <w:rsid w:val="001C17BB"/>
    <w:rsid w:val="001C1867"/>
    <w:rsid w:val="001C18C4"/>
    <w:rsid w:val="001C18F2"/>
    <w:rsid w:val="001C1990"/>
    <w:rsid w:val="001C1A40"/>
    <w:rsid w:val="001C1A80"/>
    <w:rsid w:val="001C1AA2"/>
    <w:rsid w:val="001C1AB7"/>
    <w:rsid w:val="001C1ACC"/>
    <w:rsid w:val="001C1AD6"/>
    <w:rsid w:val="001C1B06"/>
    <w:rsid w:val="001C1B0C"/>
    <w:rsid w:val="001C1B4F"/>
    <w:rsid w:val="001C1BFD"/>
    <w:rsid w:val="001C1D38"/>
    <w:rsid w:val="001C1D3B"/>
    <w:rsid w:val="001C1D7D"/>
    <w:rsid w:val="001C1E59"/>
    <w:rsid w:val="001C1E5A"/>
    <w:rsid w:val="001C1ED3"/>
    <w:rsid w:val="001C1EDB"/>
    <w:rsid w:val="001C1EE6"/>
    <w:rsid w:val="001C1F19"/>
    <w:rsid w:val="001C1F92"/>
    <w:rsid w:val="001C2038"/>
    <w:rsid w:val="001C2115"/>
    <w:rsid w:val="001C211D"/>
    <w:rsid w:val="001C2142"/>
    <w:rsid w:val="001C227F"/>
    <w:rsid w:val="001C22A2"/>
    <w:rsid w:val="001C22AD"/>
    <w:rsid w:val="001C2348"/>
    <w:rsid w:val="001C2352"/>
    <w:rsid w:val="001C237F"/>
    <w:rsid w:val="001C23D1"/>
    <w:rsid w:val="001C23E5"/>
    <w:rsid w:val="001C2404"/>
    <w:rsid w:val="001C2470"/>
    <w:rsid w:val="001C2492"/>
    <w:rsid w:val="001C24E3"/>
    <w:rsid w:val="001C275E"/>
    <w:rsid w:val="001C2772"/>
    <w:rsid w:val="001C283F"/>
    <w:rsid w:val="001C2862"/>
    <w:rsid w:val="001C2A92"/>
    <w:rsid w:val="001C2AC6"/>
    <w:rsid w:val="001C2AD0"/>
    <w:rsid w:val="001C2B14"/>
    <w:rsid w:val="001C2B21"/>
    <w:rsid w:val="001C2B87"/>
    <w:rsid w:val="001C2D3B"/>
    <w:rsid w:val="001C2D3E"/>
    <w:rsid w:val="001C2D4C"/>
    <w:rsid w:val="001C2E45"/>
    <w:rsid w:val="001C2E76"/>
    <w:rsid w:val="001C2F48"/>
    <w:rsid w:val="001C3023"/>
    <w:rsid w:val="001C30DD"/>
    <w:rsid w:val="001C3167"/>
    <w:rsid w:val="001C31B2"/>
    <w:rsid w:val="001C3276"/>
    <w:rsid w:val="001C32DA"/>
    <w:rsid w:val="001C3316"/>
    <w:rsid w:val="001C3388"/>
    <w:rsid w:val="001C33CB"/>
    <w:rsid w:val="001C33E4"/>
    <w:rsid w:val="001C3486"/>
    <w:rsid w:val="001C34B8"/>
    <w:rsid w:val="001C351C"/>
    <w:rsid w:val="001C3578"/>
    <w:rsid w:val="001C357E"/>
    <w:rsid w:val="001C35F5"/>
    <w:rsid w:val="001C36ED"/>
    <w:rsid w:val="001C3705"/>
    <w:rsid w:val="001C371E"/>
    <w:rsid w:val="001C3783"/>
    <w:rsid w:val="001C386C"/>
    <w:rsid w:val="001C38CC"/>
    <w:rsid w:val="001C39DA"/>
    <w:rsid w:val="001C3A90"/>
    <w:rsid w:val="001C3B3F"/>
    <w:rsid w:val="001C3B64"/>
    <w:rsid w:val="001C3B87"/>
    <w:rsid w:val="001C3BC7"/>
    <w:rsid w:val="001C3CC3"/>
    <w:rsid w:val="001C3CF9"/>
    <w:rsid w:val="001C3D5E"/>
    <w:rsid w:val="001C3DDD"/>
    <w:rsid w:val="001C3DF0"/>
    <w:rsid w:val="001C3DFA"/>
    <w:rsid w:val="001C3EA5"/>
    <w:rsid w:val="001C3EF5"/>
    <w:rsid w:val="001C3EF8"/>
    <w:rsid w:val="001C3F51"/>
    <w:rsid w:val="001C3F58"/>
    <w:rsid w:val="001C3F78"/>
    <w:rsid w:val="001C4046"/>
    <w:rsid w:val="001C40E8"/>
    <w:rsid w:val="001C40EB"/>
    <w:rsid w:val="001C413D"/>
    <w:rsid w:val="001C41B4"/>
    <w:rsid w:val="001C4267"/>
    <w:rsid w:val="001C428B"/>
    <w:rsid w:val="001C42CA"/>
    <w:rsid w:val="001C4308"/>
    <w:rsid w:val="001C43F1"/>
    <w:rsid w:val="001C4412"/>
    <w:rsid w:val="001C4438"/>
    <w:rsid w:val="001C44A3"/>
    <w:rsid w:val="001C44AA"/>
    <w:rsid w:val="001C44AD"/>
    <w:rsid w:val="001C44BA"/>
    <w:rsid w:val="001C4581"/>
    <w:rsid w:val="001C45CA"/>
    <w:rsid w:val="001C461A"/>
    <w:rsid w:val="001C462C"/>
    <w:rsid w:val="001C46D2"/>
    <w:rsid w:val="001C4727"/>
    <w:rsid w:val="001C472B"/>
    <w:rsid w:val="001C4933"/>
    <w:rsid w:val="001C4971"/>
    <w:rsid w:val="001C49EC"/>
    <w:rsid w:val="001C4A24"/>
    <w:rsid w:val="001C4A54"/>
    <w:rsid w:val="001C4AD6"/>
    <w:rsid w:val="001C4AF0"/>
    <w:rsid w:val="001C4AF6"/>
    <w:rsid w:val="001C4B0D"/>
    <w:rsid w:val="001C4CDB"/>
    <w:rsid w:val="001C4D1E"/>
    <w:rsid w:val="001C4D80"/>
    <w:rsid w:val="001C4DB4"/>
    <w:rsid w:val="001C4DCA"/>
    <w:rsid w:val="001C4DDD"/>
    <w:rsid w:val="001C4DFE"/>
    <w:rsid w:val="001C4E7F"/>
    <w:rsid w:val="001C4E9B"/>
    <w:rsid w:val="001C4F27"/>
    <w:rsid w:val="001C4F4B"/>
    <w:rsid w:val="001C5000"/>
    <w:rsid w:val="001C5010"/>
    <w:rsid w:val="001C5037"/>
    <w:rsid w:val="001C505B"/>
    <w:rsid w:val="001C5310"/>
    <w:rsid w:val="001C5329"/>
    <w:rsid w:val="001C5531"/>
    <w:rsid w:val="001C562E"/>
    <w:rsid w:val="001C5638"/>
    <w:rsid w:val="001C569E"/>
    <w:rsid w:val="001C569F"/>
    <w:rsid w:val="001C5727"/>
    <w:rsid w:val="001C5903"/>
    <w:rsid w:val="001C598F"/>
    <w:rsid w:val="001C599D"/>
    <w:rsid w:val="001C59F9"/>
    <w:rsid w:val="001C5AFC"/>
    <w:rsid w:val="001C5BAB"/>
    <w:rsid w:val="001C5BB8"/>
    <w:rsid w:val="001C5BD4"/>
    <w:rsid w:val="001C5C0E"/>
    <w:rsid w:val="001C5C2E"/>
    <w:rsid w:val="001C5C47"/>
    <w:rsid w:val="001C5CE6"/>
    <w:rsid w:val="001C5CE8"/>
    <w:rsid w:val="001C5D8C"/>
    <w:rsid w:val="001C5DB2"/>
    <w:rsid w:val="001C5E30"/>
    <w:rsid w:val="001C5ED4"/>
    <w:rsid w:val="001C5F72"/>
    <w:rsid w:val="001C5F8A"/>
    <w:rsid w:val="001C6159"/>
    <w:rsid w:val="001C625A"/>
    <w:rsid w:val="001C625B"/>
    <w:rsid w:val="001C62A0"/>
    <w:rsid w:val="001C62AF"/>
    <w:rsid w:val="001C638F"/>
    <w:rsid w:val="001C639D"/>
    <w:rsid w:val="001C63F9"/>
    <w:rsid w:val="001C6557"/>
    <w:rsid w:val="001C655E"/>
    <w:rsid w:val="001C65E4"/>
    <w:rsid w:val="001C669D"/>
    <w:rsid w:val="001C66BC"/>
    <w:rsid w:val="001C66F3"/>
    <w:rsid w:val="001C6724"/>
    <w:rsid w:val="001C676A"/>
    <w:rsid w:val="001C676E"/>
    <w:rsid w:val="001C67B8"/>
    <w:rsid w:val="001C67BE"/>
    <w:rsid w:val="001C67C0"/>
    <w:rsid w:val="001C6826"/>
    <w:rsid w:val="001C683A"/>
    <w:rsid w:val="001C68A2"/>
    <w:rsid w:val="001C68A3"/>
    <w:rsid w:val="001C6904"/>
    <w:rsid w:val="001C69C3"/>
    <w:rsid w:val="001C6AE1"/>
    <w:rsid w:val="001C6AEB"/>
    <w:rsid w:val="001C6B2E"/>
    <w:rsid w:val="001C6B32"/>
    <w:rsid w:val="001C6B56"/>
    <w:rsid w:val="001C6B6F"/>
    <w:rsid w:val="001C6BC2"/>
    <w:rsid w:val="001C6CBA"/>
    <w:rsid w:val="001C6D15"/>
    <w:rsid w:val="001C6D3B"/>
    <w:rsid w:val="001C6DF9"/>
    <w:rsid w:val="001C6E10"/>
    <w:rsid w:val="001C6E70"/>
    <w:rsid w:val="001C6E8D"/>
    <w:rsid w:val="001C6ED9"/>
    <w:rsid w:val="001C6EF7"/>
    <w:rsid w:val="001C6F2C"/>
    <w:rsid w:val="001C6F36"/>
    <w:rsid w:val="001C6F87"/>
    <w:rsid w:val="001C6FF6"/>
    <w:rsid w:val="001C7046"/>
    <w:rsid w:val="001C707A"/>
    <w:rsid w:val="001C71D7"/>
    <w:rsid w:val="001C7213"/>
    <w:rsid w:val="001C72EA"/>
    <w:rsid w:val="001C7328"/>
    <w:rsid w:val="001C7372"/>
    <w:rsid w:val="001C7450"/>
    <w:rsid w:val="001C747E"/>
    <w:rsid w:val="001C74D4"/>
    <w:rsid w:val="001C75A6"/>
    <w:rsid w:val="001C75C6"/>
    <w:rsid w:val="001C75F4"/>
    <w:rsid w:val="001C767C"/>
    <w:rsid w:val="001C7774"/>
    <w:rsid w:val="001C7847"/>
    <w:rsid w:val="001C793D"/>
    <w:rsid w:val="001C7A27"/>
    <w:rsid w:val="001C7A71"/>
    <w:rsid w:val="001C7A7B"/>
    <w:rsid w:val="001C7B00"/>
    <w:rsid w:val="001C7B16"/>
    <w:rsid w:val="001C7C8B"/>
    <w:rsid w:val="001C7CC0"/>
    <w:rsid w:val="001C7D7B"/>
    <w:rsid w:val="001C7DA1"/>
    <w:rsid w:val="001C7E02"/>
    <w:rsid w:val="001C7E3D"/>
    <w:rsid w:val="001C7E40"/>
    <w:rsid w:val="001C7E59"/>
    <w:rsid w:val="001C7EE7"/>
    <w:rsid w:val="001C7EFA"/>
    <w:rsid w:val="001C7F09"/>
    <w:rsid w:val="001C7F0A"/>
    <w:rsid w:val="001C7F45"/>
    <w:rsid w:val="001C7F46"/>
    <w:rsid w:val="001C7F67"/>
    <w:rsid w:val="001C7FBC"/>
    <w:rsid w:val="001D0011"/>
    <w:rsid w:val="001D002E"/>
    <w:rsid w:val="001D018E"/>
    <w:rsid w:val="001D01E6"/>
    <w:rsid w:val="001D020D"/>
    <w:rsid w:val="001D025F"/>
    <w:rsid w:val="001D02B8"/>
    <w:rsid w:val="001D031A"/>
    <w:rsid w:val="001D044E"/>
    <w:rsid w:val="001D050D"/>
    <w:rsid w:val="001D06A8"/>
    <w:rsid w:val="001D07A7"/>
    <w:rsid w:val="001D07B2"/>
    <w:rsid w:val="001D08C7"/>
    <w:rsid w:val="001D08EB"/>
    <w:rsid w:val="001D09AA"/>
    <w:rsid w:val="001D09B9"/>
    <w:rsid w:val="001D0A21"/>
    <w:rsid w:val="001D0A5F"/>
    <w:rsid w:val="001D0A77"/>
    <w:rsid w:val="001D0B56"/>
    <w:rsid w:val="001D0BBE"/>
    <w:rsid w:val="001D0BE7"/>
    <w:rsid w:val="001D0C42"/>
    <w:rsid w:val="001D0CBB"/>
    <w:rsid w:val="001D0D1C"/>
    <w:rsid w:val="001D0D7A"/>
    <w:rsid w:val="001D0DF3"/>
    <w:rsid w:val="001D0DF9"/>
    <w:rsid w:val="001D0E62"/>
    <w:rsid w:val="001D0E6A"/>
    <w:rsid w:val="001D0ECF"/>
    <w:rsid w:val="001D0EE1"/>
    <w:rsid w:val="001D0EFD"/>
    <w:rsid w:val="001D0F04"/>
    <w:rsid w:val="001D1063"/>
    <w:rsid w:val="001D1110"/>
    <w:rsid w:val="001D11AD"/>
    <w:rsid w:val="001D11E4"/>
    <w:rsid w:val="001D124A"/>
    <w:rsid w:val="001D150E"/>
    <w:rsid w:val="001D1527"/>
    <w:rsid w:val="001D1710"/>
    <w:rsid w:val="001D1889"/>
    <w:rsid w:val="001D18CF"/>
    <w:rsid w:val="001D1954"/>
    <w:rsid w:val="001D1A7E"/>
    <w:rsid w:val="001D1A86"/>
    <w:rsid w:val="001D1ABA"/>
    <w:rsid w:val="001D1BAC"/>
    <w:rsid w:val="001D1BF0"/>
    <w:rsid w:val="001D1C0C"/>
    <w:rsid w:val="001D1C78"/>
    <w:rsid w:val="001D1E11"/>
    <w:rsid w:val="001D1EBE"/>
    <w:rsid w:val="001D1EE3"/>
    <w:rsid w:val="001D2043"/>
    <w:rsid w:val="001D209A"/>
    <w:rsid w:val="001D20C0"/>
    <w:rsid w:val="001D211B"/>
    <w:rsid w:val="001D219B"/>
    <w:rsid w:val="001D2234"/>
    <w:rsid w:val="001D22F6"/>
    <w:rsid w:val="001D231F"/>
    <w:rsid w:val="001D2372"/>
    <w:rsid w:val="001D238E"/>
    <w:rsid w:val="001D2466"/>
    <w:rsid w:val="001D24B8"/>
    <w:rsid w:val="001D24C8"/>
    <w:rsid w:val="001D252F"/>
    <w:rsid w:val="001D25F4"/>
    <w:rsid w:val="001D2654"/>
    <w:rsid w:val="001D2690"/>
    <w:rsid w:val="001D26B7"/>
    <w:rsid w:val="001D26D4"/>
    <w:rsid w:val="001D270B"/>
    <w:rsid w:val="001D2879"/>
    <w:rsid w:val="001D28C3"/>
    <w:rsid w:val="001D28E8"/>
    <w:rsid w:val="001D28EC"/>
    <w:rsid w:val="001D29B0"/>
    <w:rsid w:val="001D2A60"/>
    <w:rsid w:val="001D2A6C"/>
    <w:rsid w:val="001D2A88"/>
    <w:rsid w:val="001D2B08"/>
    <w:rsid w:val="001D2B44"/>
    <w:rsid w:val="001D2BB1"/>
    <w:rsid w:val="001D2C78"/>
    <w:rsid w:val="001D2CC6"/>
    <w:rsid w:val="001D2DD9"/>
    <w:rsid w:val="001D2DE0"/>
    <w:rsid w:val="001D2E66"/>
    <w:rsid w:val="001D2E86"/>
    <w:rsid w:val="001D2EB9"/>
    <w:rsid w:val="001D2EEC"/>
    <w:rsid w:val="001D2F33"/>
    <w:rsid w:val="001D2FF0"/>
    <w:rsid w:val="001D3001"/>
    <w:rsid w:val="001D306E"/>
    <w:rsid w:val="001D3076"/>
    <w:rsid w:val="001D3077"/>
    <w:rsid w:val="001D3108"/>
    <w:rsid w:val="001D314A"/>
    <w:rsid w:val="001D314D"/>
    <w:rsid w:val="001D3240"/>
    <w:rsid w:val="001D331D"/>
    <w:rsid w:val="001D3391"/>
    <w:rsid w:val="001D33D7"/>
    <w:rsid w:val="001D340B"/>
    <w:rsid w:val="001D341E"/>
    <w:rsid w:val="001D343B"/>
    <w:rsid w:val="001D3473"/>
    <w:rsid w:val="001D3517"/>
    <w:rsid w:val="001D35BE"/>
    <w:rsid w:val="001D3610"/>
    <w:rsid w:val="001D36FA"/>
    <w:rsid w:val="001D3745"/>
    <w:rsid w:val="001D375D"/>
    <w:rsid w:val="001D384D"/>
    <w:rsid w:val="001D38AB"/>
    <w:rsid w:val="001D38CE"/>
    <w:rsid w:val="001D3917"/>
    <w:rsid w:val="001D3945"/>
    <w:rsid w:val="001D395C"/>
    <w:rsid w:val="001D3982"/>
    <w:rsid w:val="001D39E2"/>
    <w:rsid w:val="001D39FC"/>
    <w:rsid w:val="001D3A42"/>
    <w:rsid w:val="001D3A62"/>
    <w:rsid w:val="001D3AEC"/>
    <w:rsid w:val="001D3B4E"/>
    <w:rsid w:val="001D3B8D"/>
    <w:rsid w:val="001D3BC1"/>
    <w:rsid w:val="001D3C3F"/>
    <w:rsid w:val="001D3DAB"/>
    <w:rsid w:val="001D3E17"/>
    <w:rsid w:val="001D3EC2"/>
    <w:rsid w:val="001D3EE9"/>
    <w:rsid w:val="001D3F53"/>
    <w:rsid w:val="001D4025"/>
    <w:rsid w:val="001D40CC"/>
    <w:rsid w:val="001D40CF"/>
    <w:rsid w:val="001D414E"/>
    <w:rsid w:val="001D418F"/>
    <w:rsid w:val="001D41D6"/>
    <w:rsid w:val="001D41E4"/>
    <w:rsid w:val="001D42F4"/>
    <w:rsid w:val="001D4354"/>
    <w:rsid w:val="001D4360"/>
    <w:rsid w:val="001D439A"/>
    <w:rsid w:val="001D43A7"/>
    <w:rsid w:val="001D4424"/>
    <w:rsid w:val="001D44AB"/>
    <w:rsid w:val="001D453C"/>
    <w:rsid w:val="001D45D1"/>
    <w:rsid w:val="001D467F"/>
    <w:rsid w:val="001D4699"/>
    <w:rsid w:val="001D46A8"/>
    <w:rsid w:val="001D47B1"/>
    <w:rsid w:val="001D4894"/>
    <w:rsid w:val="001D48D7"/>
    <w:rsid w:val="001D48DC"/>
    <w:rsid w:val="001D493A"/>
    <w:rsid w:val="001D4987"/>
    <w:rsid w:val="001D49D0"/>
    <w:rsid w:val="001D4A15"/>
    <w:rsid w:val="001D4A6E"/>
    <w:rsid w:val="001D4A97"/>
    <w:rsid w:val="001D4ADB"/>
    <w:rsid w:val="001D4AF4"/>
    <w:rsid w:val="001D4B15"/>
    <w:rsid w:val="001D4B2A"/>
    <w:rsid w:val="001D4CB4"/>
    <w:rsid w:val="001D4D0D"/>
    <w:rsid w:val="001D4E93"/>
    <w:rsid w:val="001D4EDB"/>
    <w:rsid w:val="001D4F93"/>
    <w:rsid w:val="001D5025"/>
    <w:rsid w:val="001D5038"/>
    <w:rsid w:val="001D5048"/>
    <w:rsid w:val="001D5180"/>
    <w:rsid w:val="001D521F"/>
    <w:rsid w:val="001D52B1"/>
    <w:rsid w:val="001D53B5"/>
    <w:rsid w:val="001D54A1"/>
    <w:rsid w:val="001D54AF"/>
    <w:rsid w:val="001D54D5"/>
    <w:rsid w:val="001D54F5"/>
    <w:rsid w:val="001D5541"/>
    <w:rsid w:val="001D5578"/>
    <w:rsid w:val="001D5615"/>
    <w:rsid w:val="001D572C"/>
    <w:rsid w:val="001D57C0"/>
    <w:rsid w:val="001D5805"/>
    <w:rsid w:val="001D5896"/>
    <w:rsid w:val="001D58B4"/>
    <w:rsid w:val="001D58E9"/>
    <w:rsid w:val="001D5963"/>
    <w:rsid w:val="001D5A37"/>
    <w:rsid w:val="001D5A72"/>
    <w:rsid w:val="001D5AF0"/>
    <w:rsid w:val="001D5C04"/>
    <w:rsid w:val="001D5C41"/>
    <w:rsid w:val="001D5CF7"/>
    <w:rsid w:val="001D5D82"/>
    <w:rsid w:val="001D5DCA"/>
    <w:rsid w:val="001D5E80"/>
    <w:rsid w:val="001D5E91"/>
    <w:rsid w:val="001D5F29"/>
    <w:rsid w:val="001D5FB3"/>
    <w:rsid w:val="001D5FC1"/>
    <w:rsid w:val="001D602D"/>
    <w:rsid w:val="001D6061"/>
    <w:rsid w:val="001D60AD"/>
    <w:rsid w:val="001D6174"/>
    <w:rsid w:val="001D6198"/>
    <w:rsid w:val="001D621B"/>
    <w:rsid w:val="001D62E5"/>
    <w:rsid w:val="001D6391"/>
    <w:rsid w:val="001D6410"/>
    <w:rsid w:val="001D642A"/>
    <w:rsid w:val="001D6445"/>
    <w:rsid w:val="001D6464"/>
    <w:rsid w:val="001D6477"/>
    <w:rsid w:val="001D6480"/>
    <w:rsid w:val="001D64A4"/>
    <w:rsid w:val="001D64B7"/>
    <w:rsid w:val="001D64E8"/>
    <w:rsid w:val="001D6513"/>
    <w:rsid w:val="001D654C"/>
    <w:rsid w:val="001D6563"/>
    <w:rsid w:val="001D65CE"/>
    <w:rsid w:val="001D667A"/>
    <w:rsid w:val="001D668E"/>
    <w:rsid w:val="001D66C1"/>
    <w:rsid w:val="001D66C6"/>
    <w:rsid w:val="001D68D8"/>
    <w:rsid w:val="001D6920"/>
    <w:rsid w:val="001D69A0"/>
    <w:rsid w:val="001D6A47"/>
    <w:rsid w:val="001D6A48"/>
    <w:rsid w:val="001D6A91"/>
    <w:rsid w:val="001D6B1A"/>
    <w:rsid w:val="001D6B45"/>
    <w:rsid w:val="001D6E5F"/>
    <w:rsid w:val="001D6EF4"/>
    <w:rsid w:val="001D6F19"/>
    <w:rsid w:val="001D6FA5"/>
    <w:rsid w:val="001D7034"/>
    <w:rsid w:val="001D703B"/>
    <w:rsid w:val="001D7109"/>
    <w:rsid w:val="001D717B"/>
    <w:rsid w:val="001D71A3"/>
    <w:rsid w:val="001D71B1"/>
    <w:rsid w:val="001D726B"/>
    <w:rsid w:val="001D7341"/>
    <w:rsid w:val="001D7342"/>
    <w:rsid w:val="001D7365"/>
    <w:rsid w:val="001D73F8"/>
    <w:rsid w:val="001D7430"/>
    <w:rsid w:val="001D7536"/>
    <w:rsid w:val="001D754D"/>
    <w:rsid w:val="001D755D"/>
    <w:rsid w:val="001D75E1"/>
    <w:rsid w:val="001D75E4"/>
    <w:rsid w:val="001D7634"/>
    <w:rsid w:val="001D763B"/>
    <w:rsid w:val="001D7687"/>
    <w:rsid w:val="001D769C"/>
    <w:rsid w:val="001D76B3"/>
    <w:rsid w:val="001D7779"/>
    <w:rsid w:val="001D77F7"/>
    <w:rsid w:val="001D7905"/>
    <w:rsid w:val="001D7910"/>
    <w:rsid w:val="001D7943"/>
    <w:rsid w:val="001D7B61"/>
    <w:rsid w:val="001D7C49"/>
    <w:rsid w:val="001D7CE8"/>
    <w:rsid w:val="001D7D24"/>
    <w:rsid w:val="001D7D2D"/>
    <w:rsid w:val="001D7D60"/>
    <w:rsid w:val="001D7D74"/>
    <w:rsid w:val="001D7E63"/>
    <w:rsid w:val="001D7FC5"/>
    <w:rsid w:val="001E001B"/>
    <w:rsid w:val="001E0041"/>
    <w:rsid w:val="001E00D6"/>
    <w:rsid w:val="001E00F3"/>
    <w:rsid w:val="001E0169"/>
    <w:rsid w:val="001E0178"/>
    <w:rsid w:val="001E01B2"/>
    <w:rsid w:val="001E024E"/>
    <w:rsid w:val="001E02E7"/>
    <w:rsid w:val="001E03A2"/>
    <w:rsid w:val="001E03CA"/>
    <w:rsid w:val="001E046C"/>
    <w:rsid w:val="001E04CB"/>
    <w:rsid w:val="001E050D"/>
    <w:rsid w:val="001E0553"/>
    <w:rsid w:val="001E0568"/>
    <w:rsid w:val="001E056B"/>
    <w:rsid w:val="001E056E"/>
    <w:rsid w:val="001E06A4"/>
    <w:rsid w:val="001E06F3"/>
    <w:rsid w:val="001E070B"/>
    <w:rsid w:val="001E072E"/>
    <w:rsid w:val="001E0768"/>
    <w:rsid w:val="001E0769"/>
    <w:rsid w:val="001E0810"/>
    <w:rsid w:val="001E0867"/>
    <w:rsid w:val="001E091B"/>
    <w:rsid w:val="001E0B8E"/>
    <w:rsid w:val="001E0C7C"/>
    <w:rsid w:val="001E0C8B"/>
    <w:rsid w:val="001E0CA5"/>
    <w:rsid w:val="001E0D7B"/>
    <w:rsid w:val="001E0DB1"/>
    <w:rsid w:val="001E0DFB"/>
    <w:rsid w:val="001E0E77"/>
    <w:rsid w:val="001E0EE9"/>
    <w:rsid w:val="001E0F0B"/>
    <w:rsid w:val="001E1053"/>
    <w:rsid w:val="001E106C"/>
    <w:rsid w:val="001E1072"/>
    <w:rsid w:val="001E10AE"/>
    <w:rsid w:val="001E1144"/>
    <w:rsid w:val="001E11C5"/>
    <w:rsid w:val="001E120A"/>
    <w:rsid w:val="001E123B"/>
    <w:rsid w:val="001E1257"/>
    <w:rsid w:val="001E1327"/>
    <w:rsid w:val="001E13C0"/>
    <w:rsid w:val="001E13DA"/>
    <w:rsid w:val="001E13ED"/>
    <w:rsid w:val="001E142E"/>
    <w:rsid w:val="001E14B6"/>
    <w:rsid w:val="001E14FB"/>
    <w:rsid w:val="001E152B"/>
    <w:rsid w:val="001E1574"/>
    <w:rsid w:val="001E159F"/>
    <w:rsid w:val="001E16DE"/>
    <w:rsid w:val="001E17BA"/>
    <w:rsid w:val="001E1806"/>
    <w:rsid w:val="001E187A"/>
    <w:rsid w:val="001E18D6"/>
    <w:rsid w:val="001E1A23"/>
    <w:rsid w:val="001E1A68"/>
    <w:rsid w:val="001E1AA7"/>
    <w:rsid w:val="001E1B48"/>
    <w:rsid w:val="001E1C28"/>
    <w:rsid w:val="001E1C61"/>
    <w:rsid w:val="001E1D34"/>
    <w:rsid w:val="001E1DC0"/>
    <w:rsid w:val="001E1E32"/>
    <w:rsid w:val="001E1E90"/>
    <w:rsid w:val="001E1E94"/>
    <w:rsid w:val="001E1F25"/>
    <w:rsid w:val="001E1F33"/>
    <w:rsid w:val="001E1F92"/>
    <w:rsid w:val="001E20B9"/>
    <w:rsid w:val="001E213F"/>
    <w:rsid w:val="001E2188"/>
    <w:rsid w:val="001E22C5"/>
    <w:rsid w:val="001E235A"/>
    <w:rsid w:val="001E2430"/>
    <w:rsid w:val="001E24B5"/>
    <w:rsid w:val="001E261A"/>
    <w:rsid w:val="001E263B"/>
    <w:rsid w:val="001E2683"/>
    <w:rsid w:val="001E2731"/>
    <w:rsid w:val="001E273E"/>
    <w:rsid w:val="001E2758"/>
    <w:rsid w:val="001E2773"/>
    <w:rsid w:val="001E27B1"/>
    <w:rsid w:val="001E2828"/>
    <w:rsid w:val="001E2858"/>
    <w:rsid w:val="001E28D3"/>
    <w:rsid w:val="001E2997"/>
    <w:rsid w:val="001E29C5"/>
    <w:rsid w:val="001E29EF"/>
    <w:rsid w:val="001E2A0C"/>
    <w:rsid w:val="001E2A18"/>
    <w:rsid w:val="001E2A40"/>
    <w:rsid w:val="001E2A7A"/>
    <w:rsid w:val="001E2A9B"/>
    <w:rsid w:val="001E2AB6"/>
    <w:rsid w:val="001E2AE9"/>
    <w:rsid w:val="001E2C05"/>
    <w:rsid w:val="001E2C62"/>
    <w:rsid w:val="001E2C7C"/>
    <w:rsid w:val="001E2CAC"/>
    <w:rsid w:val="001E2CAF"/>
    <w:rsid w:val="001E2D08"/>
    <w:rsid w:val="001E2D4B"/>
    <w:rsid w:val="001E2E39"/>
    <w:rsid w:val="001E2EAC"/>
    <w:rsid w:val="001E2F77"/>
    <w:rsid w:val="001E2FCA"/>
    <w:rsid w:val="001E3192"/>
    <w:rsid w:val="001E31DA"/>
    <w:rsid w:val="001E3251"/>
    <w:rsid w:val="001E3285"/>
    <w:rsid w:val="001E33BA"/>
    <w:rsid w:val="001E350F"/>
    <w:rsid w:val="001E35FD"/>
    <w:rsid w:val="001E360F"/>
    <w:rsid w:val="001E36C1"/>
    <w:rsid w:val="001E36C4"/>
    <w:rsid w:val="001E36FB"/>
    <w:rsid w:val="001E3709"/>
    <w:rsid w:val="001E3861"/>
    <w:rsid w:val="001E388E"/>
    <w:rsid w:val="001E3905"/>
    <w:rsid w:val="001E395E"/>
    <w:rsid w:val="001E3961"/>
    <w:rsid w:val="001E3965"/>
    <w:rsid w:val="001E3987"/>
    <w:rsid w:val="001E3A3B"/>
    <w:rsid w:val="001E3A5C"/>
    <w:rsid w:val="001E3AF8"/>
    <w:rsid w:val="001E3B0C"/>
    <w:rsid w:val="001E3B27"/>
    <w:rsid w:val="001E3C0E"/>
    <w:rsid w:val="001E3C48"/>
    <w:rsid w:val="001E3C8A"/>
    <w:rsid w:val="001E3C9F"/>
    <w:rsid w:val="001E3CB7"/>
    <w:rsid w:val="001E3D0D"/>
    <w:rsid w:val="001E3D85"/>
    <w:rsid w:val="001E3DC8"/>
    <w:rsid w:val="001E3E73"/>
    <w:rsid w:val="001E3EDE"/>
    <w:rsid w:val="001E3F47"/>
    <w:rsid w:val="001E3FF8"/>
    <w:rsid w:val="001E4086"/>
    <w:rsid w:val="001E40FD"/>
    <w:rsid w:val="001E41CC"/>
    <w:rsid w:val="001E422D"/>
    <w:rsid w:val="001E4231"/>
    <w:rsid w:val="001E4236"/>
    <w:rsid w:val="001E423B"/>
    <w:rsid w:val="001E4257"/>
    <w:rsid w:val="001E427D"/>
    <w:rsid w:val="001E4451"/>
    <w:rsid w:val="001E44FF"/>
    <w:rsid w:val="001E46A5"/>
    <w:rsid w:val="001E46E6"/>
    <w:rsid w:val="001E4720"/>
    <w:rsid w:val="001E472E"/>
    <w:rsid w:val="001E47FD"/>
    <w:rsid w:val="001E4804"/>
    <w:rsid w:val="001E4920"/>
    <w:rsid w:val="001E49BB"/>
    <w:rsid w:val="001E4A29"/>
    <w:rsid w:val="001E4A4B"/>
    <w:rsid w:val="001E4A98"/>
    <w:rsid w:val="001E4B6A"/>
    <w:rsid w:val="001E4B6D"/>
    <w:rsid w:val="001E4B75"/>
    <w:rsid w:val="001E4BA8"/>
    <w:rsid w:val="001E4BE3"/>
    <w:rsid w:val="001E4BF0"/>
    <w:rsid w:val="001E4C83"/>
    <w:rsid w:val="001E4CB9"/>
    <w:rsid w:val="001E4D10"/>
    <w:rsid w:val="001E4D2B"/>
    <w:rsid w:val="001E4D9F"/>
    <w:rsid w:val="001E4E1A"/>
    <w:rsid w:val="001E4E7E"/>
    <w:rsid w:val="001E4E9A"/>
    <w:rsid w:val="001E4EAB"/>
    <w:rsid w:val="001E4EB9"/>
    <w:rsid w:val="001E4EDA"/>
    <w:rsid w:val="001E4F05"/>
    <w:rsid w:val="001E4F11"/>
    <w:rsid w:val="001E514E"/>
    <w:rsid w:val="001E51EB"/>
    <w:rsid w:val="001E520F"/>
    <w:rsid w:val="001E5219"/>
    <w:rsid w:val="001E5244"/>
    <w:rsid w:val="001E5247"/>
    <w:rsid w:val="001E5419"/>
    <w:rsid w:val="001E5486"/>
    <w:rsid w:val="001E548F"/>
    <w:rsid w:val="001E5505"/>
    <w:rsid w:val="001E554B"/>
    <w:rsid w:val="001E5561"/>
    <w:rsid w:val="001E5576"/>
    <w:rsid w:val="001E55CC"/>
    <w:rsid w:val="001E55DB"/>
    <w:rsid w:val="001E55ED"/>
    <w:rsid w:val="001E56E0"/>
    <w:rsid w:val="001E5758"/>
    <w:rsid w:val="001E577C"/>
    <w:rsid w:val="001E5782"/>
    <w:rsid w:val="001E57A8"/>
    <w:rsid w:val="001E57FE"/>
    <w:rsid w:val="001E5892"/>
    <w:rsid w:val="001E589C"/>
    <w:rsid w:val="001E5971"/>
    <w:rsid w:val="001E59D3"/>
    <w:rsid w:val="001E5A25"/>
    <w:rsid w:val="001E5A27"/>
    <w:rsid w:val="001E5A5B"/>
    <w:rsid w:val="001E5A94"/>
    <w:rsid w:val="001E5AAD"/>
    <w:rsid w:val="001E5ACA"/>
    <w:rsid w:val="001E5AEB"/>
    <w:rsid w:val="001E5B29"/>
    <w:rsid w:val="001E5B7B"/>
    <w:rsid w:val="001E5BE0"/>
    <w:rsid w:val="001E5BEC"/>
    <w:rsid w:val="001E5C90"/>
    <w:rsid w:val="001E5DEA"/>
    <w:rsid w:val="001E5E38"/>
    <w:rsid w:val="001E5EBA"/>
    <w:rsid w:val="001E5F45"/>
    <w:rsid w:val="001E5F82"/>
    <w:rsid w:val="001E60A9"/>
    <w:rsid w:val="001E611D"/>
    <w:rsid w:val="001E614A"/>
    <w:rsid w:val="001E61AC"/>
    <w:rsid w:val="001E61BA"/>
    <w:rsid w:val="001E61DA"/>
    <w:rsid w:val="001E6266"/>
    <w:rsid w:val="001E628C"/>
    <w:rsid w:val="001E6347"/>
    <w:rsid w:val="001E6383"/>
    <w:rsid w:val="001E6385"/>
    <w:rsid w:val="001E638E"/>
    <w:rsid w:val="001E639A"/>
    <w:rsid w:val="001E63B4"/>
    <w:rsid w:val="001E6414"/>
    <w:rsid w:val="001E6481"/>
    <w:rsid w:val="001E6517"/>
    <w:rsid w:val="001E6536"/>
    <w:rsid w:val="001E65A7"/>
    <w:rsid w:val="001E6661"/>
    <w:rsid w:val="001E666A"/>
    <w:rsid w:val="001E668C"/>
    <w:rsid w:val="001E67B1"/>
    <w:rsid w:val="001E67FE"/>
    <w:rsid w:val="001E6813"/>
    <w:rsid w:val="001E6858"/>
    <w:rsid w:val="001E68DB"/>
    <w:rsid w:val="001E6A17"/>
    <w:rsid w:val="001E6A9D"/>
    <w:rsid w:val="001E6AED"/>
    <w:rsid w:val="001E6AF1"/>
    <w:rsid w:val="001E6C5A"/>
    <w:rsid w:val="001E6CA9"/>
    <w:rsid w:val="001E6D02"/>
    <w:rsid w:val="001E6D55"/>
    <w:rsid w:val="001E6EA7"/>
    <w:rsid w:val="001E6ED1"/>
    <w:rsid w:val="001E6F0D"/>
    <w:rsid w:val="001E6FB2"/>
    <w:rsid w:val="001E6FDF"/>
    <w:rsid w:val="001E7079"/>
    <w:rsid w:val="001E70CE"/>
    <w:rsid w:val="001E71AE"/>
    <w:rsid w:val="001E73FA"/>
    <w:rsid w:val="001E7415"/>
    <w:rsid w:val="001E749B"/>
    <w:rsid w:val="001E7672"/>
    <w:rsid w:val="001E7689"/>
    <w:rsid w:val="001E76A8"/>
    <w:rsid w:val="001E76A9"/>
    <w:rsid w:val="001E77BA"/>
    <w:rsid w:val="001E78B5"/>
    <w:rsid w:val="001E79D0"/>
    <w:rsid w:val="001E7B7C"/>
    <w:rsid w:val="001E7C0B"/>
    <w:rsid w:val="001E7C2B"/>
    <w:rsid w:val="001E7C7D"/>
    <w:rsid w:val="001E7CD8"/>
    <w:rsid w:val="001E7D03"/>
    <w:rsid w:val="001E7DA9"/>
    <w:rsid w:val="001E7E61"/>
    <w:rsid w:val="001E7EA6"/>
    <w:rsid w:val="001E7FE1"/>
    <w:rsid w:val="001F006C"/>
    <w:rsid w:val="001F006D"/>
    <w:rsid w:val="001F007D"/>
    <w:rsid w:val="001F00DA"/>
    <w:rsid w:val="001F01A7"/>
    <w:rsid w:val="001F01A8"/>
    <w:rsid w:val="001F02E1"/>
    <w:rsid w:val="001F0349"/>
    <w:rsid w:val="001F03A7"/>
    <w:rsid w:val="001F03CC"/>
    <w:rsid w:val="001F04D8"/>
    <w:rsid w:val="001F04DF"/>
    <w:rsid w:val="001F0668"/>
    <w:rsid w:val="001F0764"/>
    <w:rsid w:val="001F07B9"/>
    <w:rsid w:val="001F0883"/>
    <w:rsid w:val="001F096B"/>
    <w:rsid w:val="001F09CB"/>
    <w:rsid w:val="001F0A4D"/>
    <w:rsid w:val="001F0A54"/>
    <w:rsid w:val="001F0ADC"/>
    <w:rsid w:val="001F0AFC"/>
    <w:rsid w:val="001F0B15"/>
    <w:rsid w:val="001F0B76"/>
    <w:rsid w:val="001F0BEE"/>
    <w:rsid w:val="001F0BEF"/>
    <w:rsid w:val="001F0C21"/>
    <w:rsid w:val="001F0C2B"/>
    <w:rsid w:val="001F0C50"/>
    <w:rsid w:val="001F0C81"/>
    <w:rsid w:val="001F0CBE"/>
    <w:rsid w:val="001F0CC5"/>
    <w:rsid w:val="001F0DF2"/>
    <w:rsid w:val="001F0E02"/>
    <w:rsid w:val="001F0EA7"/>
    <w:rsid w:val="001F0EDE"/>
    <w:rsid w:val="001F0F79"/>
    <w:rsid w:val="001F0F88"/>
    <w:rsid w:val="001F0FA8"/>
    <w:rsid w:val="001F102A"/>
    <w:rsid w:val="001F104C"/>
    <w:rsid w:val="001F10B0"/>
    <w:rsid w:val="001F11D2"/>
    <w:rsid w:val="001F12AC"/>
    <w:rsid w:val="001F13D2"/>
    <w:rsid w:val="001F152F"/>
    <w:rsid w:val="001F1602"/>
    <w:rsid w:val="001F1661"/>
    <w:rsid w:val="001F16B6"/>
    <w:rsid w:val="001F17C6"/>
    <w:rsid w:val="001F17DA"/>
    <w:rsid w:val="001F180B"/>
    <w:rsid w:val="001F182E"/>
    <w:rsid w:val="001F1874"/>
    <w:rsid w:val="001F187B"/>
    <w:rsid w:val="001F18A3"/>
    <w:rsid w:val="001F18F6"/>
    <w:rsid w:val="001F198B"/>
    <w:rsid w:val="001F1B4E"/>
    <w:rsid w:val="001F1B54"/>
    <w:rsid w:val="001F1C62"/>
    <w:rsid w:val="001F1D09"/>
    <w:rsid w:val="001F1D0E"/>
    <w:rsid w:val="001F1D1F"/>
    <w:rsid w:val="001F1D4A"/>
    <w:rsid w:val="001F1D7E"/>
    <w:rsid w:val="001F1DBD"/>
    <w:rsid w:val="001F1DCC"/>
    <w:rsid w:val="001F1DD4"/>
    <w:rsid w:val="001F1F1D"/>
    <w:rsid w:val="001F1F51"/>
    <w:rsid w:val="001F1FAF"/>
    <w:rsid w:val="001F1FB6"/>
    <w:rsid w:val="001F2109"/>
    <w:rsid w:val="001F212D"/>
    <w:rsid w:val="001F21C6"/>
    <w:rsid w:val="001F224B"/>
    <w:rsid w:val="001F225A"/>
    <w:rsid w:val="001F228D"/>
    <w:rsid w:val="001F229E"/>
    <w:rsid w:val="001F22F6"/>
    <w:rsid w:val="001F2322"/>
    <w:rsid w:val="001F2376"/>
    <w:rsid w:val="001F2455"/>
    <w:rsid w:val="001F248A"/>
    <w:rsid w:val="001F24C8"/>
    <w:rsid w:val="001F25D0"/>
    <w:rsid w:val="001F2786"/>
    <w:rsid w:val="001F27E3"/>
    <w:rsid w:val="001F2870"/>
    <w:rsid w:val="001F2928"/>
    <w:rsid w:val="001F29C4"/>
    <w:rsid w:val="001F29F1"/>
    <w:rsid w:val="001F2A41"/>
    <w:rsid w:val="001F2AD0"/>
    <w:rsid w:val="001F2B9D"/>
    <w:rsid w:val="001F2CEA"/>
    <w:rsid w:val="001F2DBB"/>
    <w:rsid w:val="001F2DFD"/>
    <w:rsid w:val="001F2E75"/>
    <w:rsid w:val="001F2EC0"/>
    <w:rsid w:val="001F2EE4"/>
    <w:rsid w:val="001F2FC1"/>
    <w:rsid w:val="001F306F"/>
    <w:rsid w:val="001F30EA"/>
    <w:rsid w:val="001F31BF"/>
    <w:rsid w:val="001F324C"/>
    <w:rsid w:val="001F32E3"/>
    <w:rsid w:val="001F3347"/>
    <w:rsid w:val="001F3365"/>
    <w:rsid w:val="001F3513"/>
    <w:rsid w:val="001F366F"/>
    <w:rsid w:val="001F3684"/>
    <w:rsid w:val="001F3731"/>
    <w:rsid w:val="001F37E7"/>
    <w:rsid w:val="001F3864"/>
    <w:rsid w:val="001F3A62"/>
    <w:rsid w:val="001F3A68"/>
    <w:rsid w:val="001F3AB5"/>
    <w:rsid w:val="001F3AD4"/>
    <w:rsid w:val="001F3C58"/>
    <w:rsid w:val="001F3C6A"/>
    <w:rsid w:val="001F3C99"/>
    <w:rsid w:val="001F3DB5"/>
    <w:rsid w:val="001F3DB6"/>
    <w:rsid w:val="001F3E1D"/>
    <w:rsid w:val="001F3F30"/>
    <w:rsid w:val="001F3F8D"/>
    <w:rsid w:val="001F3FD8"/>
    <w:rsid w:val="001F3FE6"/>
    <w:rsid w:val="001F4018"/>
    <w:rsid w:val="001F4055"/>
    <w:rsid w:val="001F4068"/>
    <w:rsid w:val="001F40F5"/>
    <w:rsid w:val="001F4100"/>
    <w:rsid w:val="001F4117"/>
    <w:rsid w:val="001F412D"/>
    <w:rsid w:val="001F427C"/>
    <w:rsid w:val="001F4287"/>
    <w:rsid w:val="001F4292"/>
    <w:rsid w:val="001F42ED"/>
    <w:rsid w:val="001F4365"/>
    <w:rsid w:val="001F439C"/>
    <w:rsid w:val="001F43B6"/>
    <w:rsid w:val="001F43EC"/>
    <w:rsid w:val="001F4406"/>
    <w:rsid w:val="001F4465"/>
    <w:rsid w:val="001F448C"/>
    <w:rsid w:val="001F4492"/>
    <w:rsid w:val="001F45E8"/>
    <w:rsid w:val="001F4600"/>
    <w:rsid w:val="001F4735"/>
    <w:rsid w:val="001F4742"/>
    <w:rsid w:val="001F479F"/>
    <w:rsid w:val="001F47A0"/>
    <w:rsid w:val="001F4808"/>
    <w:rsid w:val="001F483E"/>
    <w:rsid w:val="001F48EE"/>
    <w:rsid w:val="001F4906"/>
    <w:rsid w:val="001F49DD"/>
    <w:rsid w:val="001F4A1A"/>
    <w:rsid w:val="001F4AA9"/>
    <w:rsid w:val="001F4ABA"/>
    <w:rsid w:val="001F4AD0"/>
    <w:rsid w:val="001F4B11"/>
    <w:rsid w:val="001F4B34"/>
    <w:rsid w:val="001F4B6A"/>
    <w:rsid w:val="001F4B93"/>
    <w:rsid w:val="001F4BD4"/>
    <w:rsid w:val="001F4C08"/>
    <w:rsid w:val="001F4C7B"/>
    <w:rsid w:val="001F4C93"/>
    <w:rsid w:val="001F4D84"/>
    <w:rsid w:val="001F4D8E"/>
    <w:rsid w:val="001F4DA5"/>
    <w:rsid w:val="001F4E25"/>
    <w:rsid w:val="001F4E38"/>
    <w:rsid w:val="001F4E50"/>
    <w:rsid w:val="001F4E54"/>
    <w:rsid w:val="001F4EEF"/>
    <w:rsid w:val="001F4F49"/>
    <w:rsid w:val="001F4F9C"/>
    <w:rsid w:val="001F51B9"/>
    <w:rsid w:val="001F5250"/>
    <w:rsid w:val="001F52B5"/>
    <w:rsid w:val="001F533A"/>
    <w:rsid w:val="001F5373"/>
    <w:rsid w:val="001F5453"/>
    <w:rsid w:val="001F54D3"/>
    <w:rsid w:val="001F54EB"/>
    <w:rsid w:val="001F550E"/>
    <w:rsid w:val="001F5588"/>
    <w:rsid w:val="001F55D5"/>
    <w:rsid w:val="001F55D9"/>
    <w:rsid w:val="001F560B"/>
    <w:rsid w:val="001F561A"/>
    <w:rsid w:val="001F5658"/>
    <w:rsid w:val="001F5662"/>
    <w:rsid w:val="001F56A2"/>
    <w:rsid w:val="001F56C1"/>
    <w:rsid w:val="001F5724"/>
    <w:rsid w:val="001F57F8"/>
    <w:rsid w:val="001F5839"/>
    <w:rsid w:val="001F5844"/>
    <w:rsid w:val="001F59BC"/>
    <w:rsid w:val="001F5A51"/>
    <w:rsid w:val="001F5A58"/>
    <w:rsid w:val="001F5A77"/>
    <w:rsid w:val="001F5A80"/>
    <w:rsid w:val="001F5B33"/>
    <w:rsid w:val="001F5B34"/>
    <w:rsid w:val="001F5BE0"/>
    <w:rsid w:val="001F5C55"/>
    <w:rsid w:val="001F5CBF"/>
    <w:rsid w:val="001F5CCB"/>
    <w:rsid w:val="001F5D4D"/>
    <w:rsid w:val="001F5DE6"/>
    <w:rsid w:val="001F5DFC"/>
    <w:rsid w:val="001F5E44"/>
    <w:rsid w:val="001F5EA2"/>
    <w:rsid w:val="001F5EB8"/>
    <w:rsid w:val="001F5EC0"/>
    <w:rsid w:val="001F5EC8"/>
    <w:rsid w:val="001F5F03"/>
    <w:rsid w:val="001F5F0B"/>
    <w:rsid w:val="001F5F3D"/>
    <w:rsid w:val="001F5F40"/>
    <w:rsid w:val="001F5FD5"/>
    <w:rsid w:val="001F6091"/>
    <w:rsid w:val="001F60CB"/>
    <w:rsid w:val="001F612C"/>
    <w:rsid w:val="001F6194"/>
    <w:rsid w:val="001F61A1"/>
    <w:rsid w:val="001F621E"/>
    <w:rsid w:val="001F622B"/>
    <w:rsid w:val="001F6351"/>
    <w:rsid w:val="001F63A9"/>
    <w:rsid w:val="001F63EE"/>
    <w:rsid w:val="001F63FF"/>
    <w:rsid w:val="001F6598"/>
    <w:rsid w:val="001F65D7"/>
    <w:rsid w:val="001F663C"/>
    <w:rsid w:val="001F6646"/>
    <w:rsid w:val="001F67E3"/>
    <w:rsid w:val="001F6811"/>
    <w:rsid w:val="001F68D0"/>
    <w:rsid w:val="001F68EA"/>
    <w:rsid w:val="001F69A6"/>
    <w:rsid w:val="001F6A2C"/>
    <w:rsid w:val="001F6A91"/>
    <w:rsid w:val="001F6AB3"/>
    <w:rsid w:val="001F6B8F"/>
    <w:rsid w:val="001F6CCA"/>
    <w:rsid w:val="001F6CD2"/>
    <w:rsid w:val="001F6DBF"/>
    <w:rsid w:val="001F6E05"/>
    <w:rsid w:val="001F6F05"/>
    <w:rsid w:val="001F6F43"/>
    <w:rsid w:val="001F6F7D"/>
    <w:rsid w:val="001F6F94"/>
    <w:rsid w:val="001F7031"/>
    <w:rsid w:val="001F70DC"/>
    <w:rsid w:val="001F7106"/>
    <w:rsid w:val="001F7138"/>
    <w:rsid w:val="001F7155"/>
    <w:rsid w:val="001F7163"/>
    <w:rsid w:val="001F718C"/>
    <w:rsid w:val="001F71F2"/>
    <w:rsid w:val="001F721D"/>
    <w:rsid w:val="001F7288"/>
    <w:rsid w:val="001F7294"/>
    <w:rsid w:val="001F7316"/>
    <w:rsid w:val="001F73AD"/>
    <w:rsid w:val="001F73C7"/>
    <w:rsid w:val="001F746F"/>
    <w:rsid w:val="001F7484"/>
    <w:rsid w:val="001F74A2"/>
    <w:rsid w:val="001F74B7"/>
    <w:rsid w:val="001F7557"/>
    <w:rsid w:val="001F7589"/>
    <w:rsid w:val="001F7657"/>
    <w:rsid w:val="001F774B"/>
    <w:rsid w:val="001F7786"/>
    <w:rsid w:val="001F77CA"/>
    <w:rsid w:val="001F7833"/>
    <w:rsid w:val="001F789F"/>
    <w:rsid w:val="001F793A"/>
    <w:rsid w:val="001F793C"/>
    <w:rsid w:val="001F7A17"/>
    <w:rsid w:val="001F7B47"/>
    <w:rsid w:val="001F7B4C"/>
    <w:rsid w:val="001F7BAC"/>
    <w:rsid w:val="001F7CFC"/>
    <w:rsid w:val="001F7D47"/>
    <w:rsid w:val="001F7D97"/>
    <w:rsid w:val="001F7E20"/>
    <w:rsid w:val="001F7EE0"/>
    <w:rsid w:val="001F7F17"/>
    <w:rsid w:val="001F7F19"/>
    <w:rsid w:val="001F7F83"/>
    <w:rsid w:val="00200034"/>
    <w:rsid w:val="00200069"/>
    <w:rsid w:val="002000E9"/>
    <w:rsid w:val="002001FC"/>
    <w:rsid w:val="00200298"/>
    <w:rsid w:val="002002D1"/>
    <w:rsid w:val="002002E4"/>
    <w:rsid w:val="0020035E"/>
    <w:rsid w:val="0020037D"/>
    <w:rsid w:val="002003BB"/>
    <w:rsid w:val="00200409"/>
    <w:rsid w:val="00200475"/>
    <w:rsid w:val="0020053E"/>
    <w:rsid w:val="002005A9"/>
    <w:rsid w:val="002005CC"/>
    <w:rsid w:val="00200666"/>
    <w:rsid w:val="002006B9"/>
    <w:rsid w:val="002006D0"/>
    <w:rsid w:val="002007BF"/>
    <w:rsid w:val="00200884"/>
    <w:rsid w:val="0020089C"/>
    <w:rsid w:val="002008BF"/>
    <w:rsid w:val="0020092C"/>
    <w:rsid w:val="00200A5D"/>
    <w:rsid w:val="00200ADE"/>
    <w:rsid w:val="00200B06"/>
    <w:rsid w:val="00200B1C"/>
    <w:rsid w:val="00200B78"/>
    <w:rsid w:val="00200BE4"/>
    <w:rsid w:val="00200CA8"/>
    <w:rsid w:val="00200D57"/>
    <w:rsid w:val="00200D5B"/>
    <w:rsid w:val="00200D8A"/>
    <w:rsid w:val="00200D8E"/>
    <w:rsid w:val="00200E0A"/>
    <w:rsid w:val="00200EA2"/>
    <w:rsid w:val="00200EDF"/>
    <w:rsid w:val="00200FAD"/>
    <w:rsid w:val="00200FE9"/>
    <w:rsid w:val="0020106F"/>
    <w:rsid w:val="0020110F"/>
    <w:rsid w:val="002011A5"/>
    <w:rsid w:val="00201257"/>
    <w:rsid w:val="00201268"/>
    <w:rsid w:val="002012EA"/>
    <w:rsid w:val="002012F9"/>
    <w:rsid w:val="0020138E"/>
    <w:rsid w:val="002013F1"/>
    <w:rsid w:val="00201484"/>
    <w:rsid w:val="00201493"/>
    <w:rsid w:val="002014EB"/>
    <w:rsid w:val="00201519"/>
    <w:rsid w:val="00201664"/>
    <w:rsid w:val="00201710"/>
    <w:rsid w:val="002017E7"/>
    <w:rsid w:val="002017EB"/>
    <w:rsid w:val="0020183D"/>
    <w:rsid w:val="002019A5"/>
    <w:rsid w:val="002019E0"/>
    <w:rsid w:val="00201AD3"/>
    <w:rsid w:val="00201B69"/>
    <w:rsid w:val="00201B8E"/>
    <w:rsid w:val="00201BAB"/>
    <w:rsid w:val="00201BF5"/>
    <w:rsid w:val="00201C56"/>
    <w:rsid w:val="00201E9C"/>
    <w:rsid w:val="00201F01"/>
    <w:rsid w:val="0020205F"/>
    <w:rsid w:val="002021DD"/>
    <w:rsid w:val="00202257"/>
    <w:rsid w:val="00202259"/>
    <w:rsid w:val="0020228B"/>
    <w:rsid w:val="0020234D"/>
    <w:rsid w:val="002023A4"/>
    <w:rsid w:val="00202493"/>
    <w:rsid w:val="002024E6"/>
    <w:rsid w:val="002024F9"/>
    <w:rsid w:val="0020258A"/>
    <w:rsid w:val="00202609"/>
    <w:rsid w:val="00202634"/>
    <w:rsid w:val="00202641"/>
    <w:rsid w:val="00202726"/>
    <w:rsid w:val="0020283E"/>
    <w:rsid w:val="00202992"/>
    <w:rsid w:val="00202A3C"/>
    <w:rsid w:val="00202A92"/>
    <w:rsid w:val="00202AA0"/>
    <w:rsid w:val="00202AE1"/>
    <w:rsid w:val="00202B5A"/>
    <w:rsid w:val="00202BF2"/>
    <w:rsid w:val="00202C48"/>
    <w:rsid w:val="00202DB7"/>
    <w:rsid w:val="00202DCA"/>
    <w:rsid w:val="00202E67"/>
    <w:rsid w:val="00202F46"/>
    <w:rsid w:val="00202F7E"/>
    <w:rsid w:val="00202FAB"/>
    <w:rsid w:val="00202FE5"/>
    <w:rsid w:val="00203231"/>
    <w:rsid w:val="002032A4"/>
    <w:rsid w:val="0020332F"/>
    <w:rsid w:val="00203369"/>
    <w:rsid w:val="002035EF"/>
    <w:rsid w:val="00203713"/>
    <w:rsid w:val="00203772"/>
    <w:rsid w:val="00203791"/>
    <w:rsid w:val="002037A3"/>
    <w:rsid w:val="00203805"/>
    <w:rsid w:val="00203848"/>
    <w:rsid w:val="00203928"/>
    <w:rsid w:val="00203942"/>
    <w:rsid w:val="0020398D"/>
    <w:rsid w:val="002039C7"/>
    <w:rsid w:val="002039FF"/>
    <w:rsid w:val="00203A2B"/>
    <w:rsid w:val="00203A7F"/>
    <w:rsid w:val="00203ACA"/>
    <w:rsid w:val="00203AD9"/>
    <w:rsid w:val="00203ADF"/>
    <w:rsid w:val="00203AEA"/>
    <w:rsid w:val="00203B19"/>
    <w:rsid w:val="00203B5A"/>
    <w:rsid w:val="00203B90"/>
    <w:rsid w:val="00203B91"/>
    <w:rsid w:val="00203C16"/>
    <w:rsid w:val="00203C9B"/>
    <w:rsid w:val="00203CCB"/>
    <w:rsid w:val="00203CE2"/>
    <w:rsid w:val="00203DC2"/>
    <w:rsid w:val="00203DCC"/>
    <w:rsid w:val="00203E39"/>
    <w:rsid w:val="00203EAD"/>
    <w:rsid w:val="00203F50"/>
    <w:rsid w:val="00203F67"/>
    <w:rsid w:val="00203FD6"/>
    <w:rsid w:val="0020400C"/>
    <w:rsid w:val="0020401D"/>
    <w:rsid w:val="002040A3"/>
    <w:rsid w:val="002042F0"/>
    <w:rsid w:val="002042FC"/>
    <w:rsid w:val="00204430"/>
    <w:rsid w:val="0020445B"/>
    <w:rsid w:val="00204596"/>
    <w:rsid w:val="002045AA"/>
    <w:rsid w:val="002045FE"/>
    <w:rsid w:val="00204619"/>
    <w:rsid w:val="0020462F"/>
    <w:rsid w:val="002046CA"/>
    <w:rsid w:val="002046E1"/>
    <w:rsid w:val="00204766"/>
    <w:rsid w:val="0020479B"/>
    <w:rsid w:val="002047C1"/>
    <w:rsid w:val="0020485B"/>
    <w:rsid w:val="0020485E"/>
    <w:rsid w:val="0020489D"/>
    <w:rsid w:val="002048CE"/>
    <w:rsid w:val="002049BB"/>
    <w:rsid w:val="00204AE7"/>
    <w:rsid w:val="00204B1D"/>
    <w:rsid w:val="00204C57"/>
    <w:rsid w:val="00204C69"/>
    <w:rsid w:val="00204D0E"/>
    <w:rsid w:val="00204D6A"/>
    <w:rsid w:val="00204DCB"/>
    <w:rsid w:val="00204DD3"/>
    <w:rsid w:val="00204E2C"/>
    <w:rsid w:val="00204E4E"/>
    <w:rsid w:val="00204EF5"/>
    <w:rsid w:val="00204EF6"/>
    <w:rsid w:val="00204F89"/>
    <w:rsid w:val="00204FE5"/>
    <w:rsid w:val="00204FEA"/>
    <w:rsid w:val="00204FED"/>
    <w:rsid w:val="00205018"/>
    <w:rsid w:val="00205087"/>
    <w:rsid w:val="0020508B"/>
    <w:rsid w:val="00205095"/>
    <w:rsid w:val="002051AF"/>
    <w:rsid w:val="002051D2"/>
    <w:rsid w:val="0020523F"/>
    <w:rsid w:val="00205358"/>
    <w:rsid w:val="00205418"/>
    <w:rsid w:val="002054B2"/>
    <w:rsid w:val="002054B8"/>
    <w:rsid w:val="002054F8"/>
    <w:rsid w:val="00205505"/>
    <w:rsid w:val="00205528"/>
    <w:rsid w:val="00205537"/>
    <w:rsid w:val="00205572"/>
    <w:rsid w:val="002055FC"/>
    <w:rsid w:val="00205725"/>
    <w:rsid w:val="00205791"/>
    <w:rsid w:val="002057F3"/>
    <w:rsid w:val="0020585D"/>
    <w:rsid w:val="0020587F"/>
    <w:rsid w:val="00205998"/>
    <w:rsid w:val="0020599F"/>
    <w:rsid w:val="00205A2E"/>
    <w:rsid w:val="00205A63"/>
    <w:rsid w:val="00205BB8"/>
    <w:rsid w:val="00205C85"/>
    <w:rsid w:val="00205CDF"/>
    <w:rsid w:val="00205D08"/>
    <w:rsid w:val="00205D53"/>
    <w:rsid w:val="00205E75"/>
    <w:rsid w:val="00205EA0"/>
    <w:rsid w:val="00205EC1"/>
    <w:rsid w:val="00205F05"/>
    <w:rsid w:val="00205F50"/>
    <w:rsid w:val="00205F94"/>
    <w:rsid w:val="00205FA3"/>
    <w:rsid w:val="00206026"/>
    <w:rsid w:val="00206059"/>
    <w:rsid w:val="00206069"/>
    <w:rsid w:val="00206082"/>
    <w:rsid w:val="002060C8"/>
    <w:rsid w:val="00206199"/>
    <w:rsid w:val="002061E7"/>
    <w:rsid w:val="00206245"/>
    <w:rsid w:val="00206320"/>
    <w:rsid w:val="00206321"/>
    <w:rsid w:val="00206360"/>
    <w:rsid w:val="002063DE"/>
    <w:rsid w:val="00206441"/>
    <w:rsid w:val="002064ED"/>
    <w:rsid w:val="002064F1"/>
    <w:rsid w:val="00206548"/>
    <w:rsid w:val="002065B7"/>
    <w:rsid w:val="00206641"/>
    <w:rsid w:val="002066AA"/>
    <w:rsid w:val="00206764"/>
    <w:rsid w:val="002067EA"/>
    <w:rsid w:val="002067F1"/>
    <w:rsid w:val="00206803"/>
    <w:rsid w:val="002068C8"/>
    <w:rsid w:val="002069D6"/>
    <w:rsid w:val="00206AA8"/>
    <w:rsid w:val="00206ABA"/>
    <w:rsid w:val="00206C6E"/>
    <w:rsid w:val="00206DB4"/>
    <w:rsid w:val="00206E01"/>
    <w:rsid w:val="00206F0E"/>
    <w:rsid w:val="00206F98"/>
    <w:rsid w:val="00207019"/>
    <w:rsid w:val="002070A5"/>
    <w:rsid w:val="00207102"/>
    <w:rsid w:val="00207112"/>
    <w:rsid w:val="00207148"/>
    <w:rsid w:val="00207182"/>
    <w:rsid w:val="002071E9"/>
    <w:rsid w:val="002071F2"/>
    <w:rsid w:val="002072BC"/>
    <w:rsid w:val="002072BD"/>
    <w:rsid w:val="002072BF"/>
    <w:rsid w:val="0020733C"/>
    <w:rsid w:val="00207517"/>
    <w:rsid w:val="002075BA"/>
    <w:rsid w:val="00207617"/>
    <w:rsid w:val="002076AF"/>
    <w:rsid w:val="00207723"/>
    <w:rsid w:val="002077B4"/>
    <w:rsid w:val="00207839"/>
    <w:rsid w:val="0020789C"/>
    <w:rsid w:val="00207909"/>
    <w:rsid w:val="0020792E"/>
    <w:rsid w:val="0020796D"/>
    <w:rsid w:val="0020797F"/>
    <w:rsid w:val="00207994"/>
    <w:rsid w:val="002079C1"/>
    <w:rsid w:val="00207A21"/>
    <w:rsid w:val="00207A5B"/>
    <w:rsid w:val="00207AFF"/>
    <w:rsid w:val="00207B5B"/>
    <w:rsid w:val="00207C2C"/>
    <w:rsid w:val="00207C6F"/>
    <w:rsid w:val="00207D5B"/>
    <w:rsid w:val="00207D60"/>
    <w:rsid w:val="00207E22"/>
    <w:rsid w:val="00207E2E"/>
    <w:rsid w:val="00207E9F"/>
    <w:rsid w:val="00207F11"/>
    <w:rsid w:val="00207F1B"/>
    <w:rsid w:val="00207F85"/>
    <w:rsid w:val="00207FD4"/>
    <w:rsid w:val="002101AC"/>
    <w:rsid w:val="00210251"/>
    <w:rsid w:val="002102F9"/>
    <w:rsid w:val="0021030F"/>
    <w:rsid w:val="002103F1"/>
    <w:rsid w:val="0021048C"/>
    <w:rsid w:val="00210491"/>
    <w:rsid w:val="002104D1"/>
    <w:rsid w:val="002104FF"/>
    <w:rsid w:val="00210625"/>
    <w:rsid w:val="0021069A"/>
    <w:rsid w:val="002106D4"/>
    <w:rsid w:val="0021078A"/>
    <w:rsid w:val="002107F6"/>
    <w:rsid w:val="0021086D"/>
    <w:rsid w:val="0021094F"/>
    <w:rsid w:val="002109CB"/>
    <w:rsid w:val="002109D5"/>
    <w:rsid w:val="00210AE3"/>
    <w:rsid w:val="00210B02"/>
    <w:rsid w:val="00210B8D"/>
    <w:rsid w:val="00210C07"/>
    <w:rsid w:val="00210C25"/>
    <w:rsid w:val="00210C41"/>
    <w:rsid w:val="00210C67"/>
    <w:rsid w:val="00210C7D"/>
    <w:rsid w:val="00210CFF"/>
    <w:rsid w:val="00210D01"/>
    <w:rsid w:val="00210D17"/>
    <w:rsid w:val="00210D30"/>
    <w:rsid w:val="00210D72"/>
    <w:rsid w:val="00210DC7"/>
    <w:rsid w:val="00210E29"/>
    <w:rsid w:val="00210E2F"/>
    <w:rsid w:val="00210E3A"/>
    <w:rsid w:val="00210EA5"/>
    <w:rsid w:val="00210EAF"/>
    <w:rsid w:val="00210ECB"/>
    <w:rsid w:val="00210F01"/>
    <w:rsid w:val="00210F02"/>
    <w:rsid w:val="00210F54"/>
    <w:rsid w:val="0021104A"/>
    <w:rsid w:val="0021114B"/>
    <w:rsid w:val="002111BB"/>
    <w:rsid w:val="002111ED"/>
    <w:rsid w:val="0021124C"/>
    <w:rsid w:val="00211363"/>
    <w:rsid w:val="00211424"/>
    <w:rsid w:val="00211430"/>
    <w:rsid w:val="00211590"/>
    <w:rsid w:val="00211595"/>
    <w:rsid w:val="002115C6"/>
    <w:rsid w:val="002115E4"/>
    <w:rsid w:val="002115E7"/>
    <w:rsid w:val="0021173A"/>
    <w:rsid w:val="0021175C"/>
    <w:rsid w:val="002117B2"/>
    <w:rsid w:val="00211820"/>
    <w:rsid w:val="00211823"/>
    <w:rsid w:val="002118C1"/>
    <w:rsid w:val="00211950"/>
    <w:rsid w:val="002119C8"/>
    <w:rsid w:val="002119D9"/>
    <w:rsid w:val="00211A02"/>
    <w:rsid w:val="00211A6A"/>
    <w:rsid w:val="00211AC5"/>
    <w:rsid w:val="00211B6E"/>
    <w:rsid w:val="00211B75"/>
    <w:rsid w:val="00211B8C"/>
    <w:rsid w:val="00211C8E"/>
    <w:rsid w:val="00211CDA"/>
    <w:rsid w:val="00211D94"/>
    <w:rsid w:val="00211DA6"/>
    <w:rsid w:val="00211DBB"/>
    <w:rsid w:val="00211DD7"/>
    <w:rsid w:val="00211E67"/>
    <w:rsid w:val="00211E7A"/>
    <w:rsid w:val="00211E81"/>
    <w:rsid w:val="00211EAC"/>
    <w:rsid w:val="00211EED"/>
    <w:rsid w:val="00211FD5"/>
    <w:rsid w:val="00212007"/>
    <w:rsid w:val="0021206E"/>
    <w:rsid w:val="00212099"/>
    <w:rsid w:val="002120DB"/>
    <w:rsid w:val="002121CB"/>
    <w:rsid w:val="00212271"/>
    <w:rsid w:val="00212306"/>
    <w:rsid w:val="00212311"/>
    <w:rsid w:val="0021237F"/>
    <w:rsid w:val="00212414"/>
    <w:rsid w:val="002124AA"/>
    <w:rsid w:val="00212574"/>
    <w:rsid w:val="002125D0"/>
    <w:rsid w:val="002125D3"/>
    <w:rsid w:val="002126DA"/>
    <w:rsid w:val="0021275C"/>
    <w:rsid w:val="00212766"/>
    <w:rsid w:val="002127D7"/>
    <w:rsid w:val="002128AC"/>
    <w:rsid w:val="002128ED"/>
    <w:rsid w:val="00212985"/>
    <w:rsid w:val="002129C3"/>
    <w:rsid w:val="00212A01"/>
    <w:rsid w:val="00212A2D"/>
    <w:rsid w:val="00212A34"/>
    <w:rsid w:val="00212A36"/>
    <w:rsid w:val="00212B2F"/>
    <w:rsid w:val="00212B3E"/>
    <w:rsid w:val="00212CC8"/>
    <w:rsid w:val="00212CC9"/>
    <w:rsid w:val="00212E00"/>
    <w:rsid w:val="00212E90"/>
    <w:rsid w:val="00212EE8"/>
    <w:rsid w:val="00212F15"/>
    <w:rsid w:val="00212F17"/>
    <w:rsid w:val="00212F63"/>
    <w:rsid w:val="00213032"/>
    <w:rsid w:val="00213064"/>
    <w:rsid w:val="002131AB"/>
    <w:rsid w:val="002131C3"/>
    <w:rsid w:val="0021323D"/>
    <w:rsid w:val="00213291"/>
    <w:rsid w:val="002132E0"/>
    <w:rsid w:val="002132E9"/>
    <w:rsid w:val="00213344"/>
    <w:rsid w:val="0021337D"/>
    <w:rsid w:val="00213396"/>
    <w:rsid w:val="0021343B"/>
    <w:rsid w:val="00213508"/>
    <w:rsid w:val="002135E1"/>
    <w:rsid w:val="0021364A"/>
    <w:rsid w:val="0021368C"/>
    <w:rsid w:val="002136B7"/>
    <w:rsid w:val="002137B8"/>
    <w:rsid w:val="002137BA"/>
    <w:rsid w:val="0021380F"/>
    <w:rsid w:val="0021391D"/>
    <w:rsid w:val="00213962"/>
    <w:rsid w:val="0021397A"/>
    <w:rsid w:val="002139D9"/>
    <w:rsid w:val="00213A06"/>
    <w:rsid w:val="00213A43"/>
    <w:rsid w:val="00213A80"/>
    <w:rsid w:val="00213AD1"/>
    <w:rsid w:val="00213B24"/>
    <w:rsid w:val="00213B63"/>
    <w:rsid w:val="00213BDD"/>
    <w:rsid w:val="00213BFF"/>
    <w:rsid w:val="00213C45"/>
    <w:rsid w:val="00213C98"/>
    <w:rsid w:val="00213D6F"/>
    <w:rsid w:val="00213DEB"/>
    <w:rsid w:val="00213DED"/>
    <w:rsid w:val="00213E38"/>
    <w:rsid w:val="00213E7D"/>
    <w:rsid w:val="00213FC4"/>
    <w:rsid w:val="0021418B"/>
    <w:rsid w:val="002141A3"/>
    <w:rsid w:val="002141F0"/>
    <w:rsid w:val="00214209"/>
    <w:rsid w:val="00214259"/>
    <w:rsid w:val="0021427B"/>
    <w:rsid w:val="00214360"/>
    <w:rsid w:val="002143D5"/>
    <w:rsid w:val="002143E7"/>
    <w:rsid w:val="00214449"/>
    <w:rsid w:val="0021451A"/>
    <w:rsid w:val="00214657"/>
    <w:rsid w:val="002146C4"/>
    <w:rsid w:val="00214709"/>
    <w:rsid w:val="00214718"/>
    <w:rsid w:val="0021472A"/>
    <w:rsid w:val="0021486E"/>
    <w:rsid w:val="002148B7"/>
    <w:rsid w:val="0021496B"/>
    <w:rsid w:val="00214AFA"/>
    <w:rsid w:val="00214B99"/>
    <w:rsid w:val="00214C1A"/>
    <w:rsid w:val="00214CCC"/>
    <w:rsid w:val="00214E00"/>
    <w:rsid w:val="00214E86"/>
    <w:rsid w:val="00214E89"/>
    <w:rsid w:val="00214F34"/>
    <w:rsid w:val="00214F50"/>
    <w:rsid w:val="00214F51"/>
    <w:rsid w:val="00214FAC"/>
    <w:rsid w:val="00214FD2"/>
    <w:rsid w:val="0021509B"/>
    <w:rsid w:val="002150E9"/>
    <w:rsid w:val="00215148"/>
    <w:rsid w:val="0021529C"/>
    <w:rsid w:val="00215316"/>
    <w:rsid w:val="00215341"/>
    <w:rsid w:val="002153B9"/>
    <w:rsid w:val="00215410"/>
    <w:rsid w:val="00215425"/>
    <w:rsid w:val="0021549C"/>
    <w:rsid w:val="002154F0"/>
    <w:rsid w:val="00215621"/>
    <w:rsid w:val="00215648"/>
    <w:rsid w:val="0021575F"/>
    <w:rsid w:val="00215772"/>
    <w:rsid w:val="00215846"/>
    <w:rsid w:val="0021584C"/>
    <w:rsid w:val="00215866"/>
    <w:rsid w:val="0021595C"/>
    <w:rsid w:val="00215B01"/>
    <w:rsid w:val="00215B75"/>
    <w:rsid w:val="00215BB8"/>
    <w:rsid w:val="00215BBF"/>
    <w:rsid w:val="00215C37"/>
    <w:rsid w:val="00215DE9"/>
    <w:rsid w:val="00215DF7"/>
    <w:rsid w:val="00215F01"/>
    <w:rsid w:val="00215F05"/>
    <w:rsid w:val="00215F45"/>
    <w:rsid w:val="00215F91"/>
    <w:rsid w:val="00215F9C"/>
    <w:rsid w:val="00215FC4"/>
    <w:rsid w:val="00215FE4"/>
    <w:rsid w:val="0021617B"/>
    <w:rsid w:val="0021627F"/>
    <w:rsid w:val="0021628E"/>
    <w:rsid w:val="00216290"/>
    <w:rsid w:val="0021629E"/>
    <w:rsid w:val="002162CE"/>
    <w:rsid w:val="002162E4"/>
    <w:rsid w:val="00216353"/>
    <w:rsid w:val="00216359"/>
    <w:rsid w:val="002164FF"/>
    <w:rsid w:val="002165B8"/>
    <w:rsid w:val="0021667A"/>
    <w:rsid w:val="002166E4"/>
    <w:rsid w:val="00216756"/>
    <w:rsid w:val="0021687E"/>
    <w:rsid w:val="002168D2"/>
    <w:rsid w:val="00216A2A"/>
    <w:rsid w:val="00216D0E"/>
    <w:rsid w:val="00216E19"/>
    <w:rsid w:val="00216E3F"/>
    <w:rsid w:val="00216E8B"/>
    <w:rsid w:val="00216EFE"/>
    <w:rsid w:val="00216F6F"/>
    <w:rsid w:val="00216F79"/>
    <w:rsid w:val="00216F91"/>
    <w:rsid w:val="00216FDD"/>
    <w:rsid w:val="00216FF4"/>
    <w:rsid w:val="00217122"/>
    <w:rsid w:val="0021720E"/>
    <w:rsid w:val="00217218"/>
    <w:rsid w:val="0021726A"/>
    <w:rsid w:val="002173F3"/>
    <w:rsid w:val="00217437"/>
    <w:rsid w:val="0021754B"/>
    <w:rsid w:val="00217575"/>
    <w:rsid w:val="002175A3"/>
    <w:rsid w:val="002175C0"/>
    <w:rsid w:val="0021763C"/>
    <w:rsid w:val="002176A5"/>
    <w:rsid w:val="002176BA"/>
    <w:rsid w:val="002176CC"/>
    <w:rsid w:val="0021772F"/>
    <w:rsid w:val="0021774D"/>
    <w:rsid w:val="0021776A"/>
    <w:rsid w:val="002177D9"/>
    <w:rsid w:val="002177E3"/>
    <w:rsid w:val="00217845"/>
    <w:rsid w:val="002178F2"/>
    <w:rsid w:val="00217B41"/>
    <w:rsid w:val="00217B63"/>
    <w:rsid w:val="00217BF2"/>
    <w:rsid w:val="00217C50"/>
    <w:rsid w:val="00217C92"/>
    <w:rsid w:val="00217CD9"/>
    <w:rsid w:val="00217E9A"/>
    <w:rsid w:val="00217EED"/>
    <w:rsid w:val="00217F41"/>
    <w:rsid w:val="00217F42"/>
    <w:rsid w:val="00217F53"/>
    <w:rsid w:val="00217F86"/>
    <w:rsid w:val="0022003D"/>
    <w:rsid w:val="00220075"/>
    <w:rsid w:val="002200BF"/>
    <w:rsid w:val="00220117"/>
    <w:rsid w:val="0022011E"/>
    <w:rsid w:val="0022016A"/>
    <w:rsid w:val="002201FE"/>
    <w:rsid w:val="002202F3"/>
    <w:rsid w:val="00220308"/>
    <w:rsid w:val="00220317"/>
    <w:rsid w:val="00220318"/>
    <w:rsid w:val="002203B5"/>
    <w:rsid w:val="00220481"/>
    <w:rsid w:val="00220522"/>
    <w:rsid w:val="002205EA"/>
    <w:rsid w:val="002205F4"/>
    <w:rsid w:val="00220617"/>
    <w:rsid w:val="00220677"/>
    <w:rsid w:val="0022067F"/>
    <w:rsid w:val="0022068F"/>
    <w:rsid w:val="00220728"/>
    <w:rsid w:val="00220732"/>
    <w:rsid w:val="00220753"/>
    <w:rsid w:val="00220757"/>
    <w:rsid w:val="00220807"/>
    <w:rsid w:val="0022088C"/>
    <w:rsid w:val="0022091E"/>
    <w:rsid w:val="00220A04"/>
    <w:rsid w:val="00220A77"/>
    <w:rsid w:val="00220ABB"/>
    <w:rsid w:val="00220AF4"/>
    <w:rsid w:val="00220B6D"/>
    <w:rsid w:val="00220B81"/>
    <w:rsid w:val="00220C1E"/>
    <w:rsid w:val="00220C61"/>
    <w:rsid w:val="00220DC0"/>
    <w:rsid w:val="00220E57"/>
    <w:rsid w:val="00220E82"/>
    <w:rsid w:val="00220E8F"/>
    <w:rsid w:val="00220EAE"/>
    <w:rsid w:val="00220ED3"/>
    <w:rsid w:val="00220F9B"/>
    <w:rsid w:val="00220FC8"/>
    <w:rsid w:val="0022105B"/>
    <w:rsid w:val="00221094"/>
    <w:rsid w:val="002210EA"/>
    <w:rsid w:val="00221126"/>
    <w:rsid w:val="00221264"/>
    <w:rsid w:val="002212EB"/>
    <w:rsid w:val="00221302"/>
    <w:rsid w:val="00221449"/>
    <w:rsid w:val="0022151B"/>
    <w:rsid w:val="002215A2"/>
    <w:rsid w:val="002215F8"/>
    <w:rsid w:val="00221631"/>
    <w:rsid w:val="00221685"/>
    <w:rsid w:val="0022169A"/>
    <w:rsid w:val="00221705"/>
    <w:rsid w:val="00221742"/>
    <w:rsid w:val="00221772"/>
    <w:rsid w:val="002217DE"/>
    <w:rsid w:val="00221802"/>
    <w:rsid w:val="00221850"/>
    <w:rsid w:val="0022187C"/>
    <w:rsid w:val="0022193E"/>
    <w:rsid w:val="00221965"/>
    <w:rsid w:val="00221A58"/>
    <w:rsid w:val="00221B71"/>
    <w:rsid w:val="00221C39"/>
    <w:rsid w:val="00221CCC"/>
    <w:rsid w:val="00221D51"/>
    <w:rsid w:val="00221D72"/>
    <w:rsid w:val="00221D73"/>
    <w:rsid w:val="00221E02"/>
    <w:rsid w:val="00221F2E"/>
    <w:rsid w:val="00221F49"/>
    <w:rsid w:val="00221FDB"/>
    <w:rsid w:val="00222005"/>
    <w:rsid w:val="00222030"/>
    <w:rsid w:val="00222070"/>
    <w:rsid w:val="002220E4"/>
    <w:rsid w:val="00222105"/>
    <w:rsid w:val="0022217D"/>
    <w:rsid w:val="002221F5"/>
    <w:rsid w:val="002221F7"/>
    <w:rsid w:val="00222281"/>
    <w:rsid w:val="00222380"/>
    <w:rsid w:val="002223A5"/>
    <w:rsid w:val="00222477"/>
    <w:rsid w:val="00222478"/>
    <w:rsid w:val="00222487"/>
    <w:rsid w:val="00222573"/>
    <w:rsid w:val="0022258F"/>
    <w:rsid w:val="002225C6"/>
    <w:rsid w:val="0022261E"/>
    <w:rsid w:val="0022269A"/>
    <w:rsid w:val="002226EF"/>
    <w:rsid w:val="00222704"/>
    <w:rsid w:val="0022270F"/>
    <w:rsid w:val="00222714"/>
    <w:rsid w:val="002227C7"/>
    <w:rsid w:val="00222841"/>
    <w:rsid w:val="0022286E"/>
    <w:rsid w:val="002228E4"/>
    <w:rsid w:val="002229EE"/>
    <w:rsid w:val="00222A84"/>
    <w:rsid w:val="00222AC3"/>
    <w:rsid w:val="00222B31"/>
    <w:rsid w:val="00222B4A"/>
    <w:rsid w:val="00222B4B"/>
    <w:rsid w:val="00222BE4"/>
    <w:rsid w:val="00222D2E"/>
    <w:rsid w:val="00222E28"/>
    <w:rsid w:val="0022303A"/>
    <w:rsid w:val="00223060"/>
    <w:rsid w:val="00223138"/>
    <w:rsid w:val="00223174"/>
    <w:rsid w:val="00223240"/>
    <w:rsid w:val="002232AF"/>
    <w:rsid w:val="00223335"/>
    <w:rsid w:val="0022338A"/>
    <w:rsid w:val="00223393"/>
    <w:rsid w:val="002233F2"/>
    <w:rsid w:val="0022340D"/>
    <w:rsid w:val="00223565"/>
    <w:rsid w:val="00223592"/>
    <w:rsid w:val="002235B7"/>
    <w:rsid w:val="002235BA"/>
    <w:rsid w:val="00223632"/>
    <w:rsid w:val="002236AB"/>
    <w:rsid w:val="00223706"/>
    <w:rsid w:val="002237D9"/>
    <w:rsid w:val="002237F1"/>
    <w:rsid w:val="0022389F"/>
    <w:rsid w:val="002238EC"/>
    <w:rsid w:val="00223A75"/>
    <w:rsid w:val="00223ABB"/>
    <w:rsid w:val="00223B03"/>
    <w:rsid w:val="00223B46"/>
    <w:rsid w:val="00223BF6"/>
    <w:rsid w:val="00223CB1"/>
    <w:rsid w:val="00223CB3"/>
    <w:rsid w:val="00223CCF"/>
    <w:rsid w:val="00223CE4"/>
    <w:rsid w:val="00223D17"/>
    <w:rsid w:val="00223D7A"/>
    <w:rsid w:val="00223F09"/>
    <w:rsid w:val="00223F1E"/>
    <w:rsid w:val="00224044"/>
    <w:rsid w:val="00224108"/>
    <w:rsid w:val="00224118"/>
    <w:rsid w:val="00224123"/>
    <w:rsid w:val="0022416B"/>
    <w:rsid w:val="00224195"/>
    <w:rsid w:val="0022425D"/>
    <w:rsid w:val="00224378"/>
    <w:rsid w:val="00224386"/>
    <w:rsid w:val="0022442D"/>
    <w:rsid w:val="0022449D"/>
    <w:rsid w:val="00224547"/>
    <w:rsid w:val="00224691"/>
    <w:rsid w:val="002246DD"/>
    <w:rsid w:val="0022478B"/>
    <w:rsid w:val="002247D7"/>
    <w:rsid w:val="002248AA"/>
    <w:rsid w:val="00224989"/>
    <w:rsid w:val="00224990"/>
    <w:rsid w:val="00224A22"/>
    <w:rsid w:val="00224A3C"/>
    <w:rsid w:val="00224A7F"/>
    <w:rsid w:val="00224AEF"/>
    <w:rsid w:val="00224B16"/>
    <w:rsid w:val="00224BB3"/>
    <w:rsid w:val="00224C8B"/>
    <w:rsid w:val="00224CCA"/>
    <w:rsid w:val="00224D1D"/>
    <w:rsid w:val="00224D29"/>
    <w:rsid w:val="00224DB6"/>
    <w:rsid w:val="00224E4C"/>
    <w:rsid w:val="00224E95"/>
    <w:rsid w:val="00224EC6"/>
    <w:rsid w:val="00224F7E"/>
    <w:rsid w:val="00224FA5"/>
    <w:rsid w:val="00224FE6"/>
    <w:rsid w:val="0022504F"/>
    <w:rsid w:val="00225050"/>
    <w:rsid w:val="0022512E"/>
    <w:rsid w:val="0022513E"/>
    <w:rsid w:val="0022514B"/>
    <w:rsid w:val="002251DA"/>
    <w:rsid w:val="00225219"/>
    <w:rsid w:val="00225406"/>
    <w:rsid w:val="00225577"/>
    <w:rsid w:val="0022561C"/>
    <w:rsid w:val="0022566E"/>
    <w:rsid w:val="002256FB"/>
    <w:rsid w:val="00225788"/>
    <w:rsid w:val="00225817"/>
    <w:rsid w:val="00225900"/>
    <w:rsid w:val="0022591B"/>
    <w:rsid w:val="0022592D"/>
    <w:rsid w:val="00225964"/>
    <w:rsid w:val="00225A2B"/>
    <w:rsid w:val="00225B3C"/>
    <w:rsid w:val="00225BE6"/>
    <w:rsid w:val="00225CC2"/>
    <w:rsid w:val="00225CEA"/>
    <w:rsid w:val="00225D04"/>
    <w:rsid w:val="00225D29"/>
    <w:rsid w:val="00225D7E"/>
    <w:rsid w:val="00225E55"/>
    <w:rsid w:val="00225E75"/>
    <w:rsid w:val="00225EA8"/>
    <w:rsid w:val="00225EC0"/>
    <w:rsid w:val="00225F2F"/>
    <w:rsid w:val="00225F8E"/>
    <w:rsid w:val="00225FC5"/>
    <w:rsid w:val="00226007"/>
    <w:rsid w:val="002260E0"/>
    <w:rsid w:val="00226146"/>
    <w:rsid w:val="0022617A"/>
    <w:rsid w:val="00226189"/>
    <w:rsid w:val="002261D8"/>
    <w:rsid w:val="0022632F"/>
    <w:rsid w:val="00226401"/>
    <w:rsid w:val="0022644E"/>
    <w:rsid w:val="002264C4"/>
    <w:rsid w:val="00226524"/>
    <w:rsid w:val="0022655C"/>
    <w:rsid w:val="00226771"/>
    <w:rsid w:val="0022679E"/>
    <w:rsid w:val="00226845"/>
    <w:rsid w:val="0022687E"/>
    <w:rsid w:val="0022699E"/>
    <w:rsid w:val="002269C6"/>
    <w:rsid w:val="00226A9E"/>
    <w:rsid w:val="00226AB9"/>
    <w:rsid w:val="00226AF0"/>
    <w:rsid w:val="00226B07"/>
    <w:rsid w:val="00226BC3"/>
    <w:rsid w:val="00226C96"/>
    <w:rsid w:val="00226CEE"/>
    <w:rsid w:val="00226DED"/>
    <w:rsid w:val="00226E4C"/>
    <w:rsid w:val="00226E58"/>
    <w:rsid w:val="00226E7E"/>
    <w:rsid w:val="00226E87"/>
    <w:rsid w:val="00226E9A"/>
    <w:rsid w:val="00226EB2"/>
    <w:rsid w:val="00226F49"/>
    <w:rsid w:val="00226FFD"/>
    <w:rsid w:val="00227085"/>
    <w:rsid w:val="0022709E"/>
    <w:rsid w:val="002270B0"/>
    <w:rsid w:val="00227113"/>
    <w:rsid w:val="00227117"/>
    <w:rsid w:val="0022718C"/>
    <w:rsid w:val="0022722C"/>
    <w:rsid w:val="0022722F"/>
    <w:rsid w:val="00227318"/>
    <w:rsid w:val="00227325"/>
    <w:rsid w:val="00227366"/>
    <w:rsid w:val="00227404"/>
    <w:rsid w:val="00227426"/>
    <w:rsid w:val="00227475"/>
    <w:rsid w:val="00227520"/>
    <w:rsid w:val="0022754A"/>
    <w:rsid w:val="002275A5"/>
    <w:rsid w:val="002275E3"/>
    <w:rsid w:val="00227648"/>
    <w:rsid w:val="002276D1"/>
    <w:rsid w:val="00227731"/>
    <w:rsid w:val="0022773B"/>
    <w:rsid w:val="002277CD"/>
    <w:rsid w:val="002277CE"/>
    <w:rsid w:val="002277D3"/>
    <w:rsid w:val="00227819"/>
    <w:rsid w:val="00227896"/>
    <w:rsid w:val="002279DF"/>
    <w:rsid w:val="00227AAD"/>
    <w:rsid w:val="00227B23"/>
    <w:rsid w:val="00227BD5"/>
    <w:rsid w:val="00227C5B"/>
    <w:rsid w:val="00227CCE"/>
    <w:rsid w:val="00227ECD"/>
    <w:rsid w:val="00227F2D"/>
    <w:rsid w:val="00227F5C"/>
    <w:rsid w:val="0023008B"/>
    <w:rsid w:val="002301BA"/>
    <w:rsid w:val="002301D3"/>
    <w:rsid w:val="002302E0"/>
    <w:rsid w:val="00230313"/>
    <w:rsid w:val="00230521"/>
    <w:rsid w:val="00230554"/>
    <w:rsid w:val="0023057F"/>
    <w:rsid w:val="0023059B"/>
    <w:rsid w:val="002306B2"/>
    <w:rsid w:val="002306FC"/>
    <w:rsid w:val="00230735"/>
    <w:rsid w:val="00230868"/>
    <w:rsid w:val="002308B1"/>
    <w:rsid w:val="002308B5"/>
    <w:rsid w:val="0023094A"/>
    <w:rsid w:val="002309D9"/>
    <w:rsid w:val="002309F1"/>
    <w:rsid w:val="00230A02"/>
    <w:rsid w:val="00230CE0"/>
    <w:rsid w:val="00230D14"/>
    <w:rsid w:val="00230D43"/>
    <w:rsid w:val="00230E33"/>
    <w:rsid w:val="00230E4F"/>
    <w:rsid w:val="00230F1B"/>
    <w:rsid w:val="00230F35"/>
    <w:rsid w:val="00230FA3"/>
    <w:rsid w:val="00231009"/>
    <w:rsid w:val="0023104F"/>
    <w:rsid w:val="00231051"/>
    <w:rsid w:val="00231117"/>
    <w:rsid w:val="00231131"/>
    <w:rsid w:val="0023115B"/>
    <w:rsid w:val="002312AB"/>
    <w:rsid w:val="002312C4"/>
    <w:rsid w:val="00231413"/>
    <w:rsid w:val="002314C6"/>
    <w:rsid w:val="002314CA"/>
    <w:rsid w:val="0023151B"/>
    <w:rsid w:val="0023153B"/>
    <w:rsid w:val="00231608"/>
    <w:rsid w:val="002318C3"/>
    <w:rsid w:val="002318E6"/>
    <w:rsid w:val="0023193B"/>
    <w:rsid w:val="002319B9"/>
    <w:rsid w:val="002319D6"/>
    <w:rsid w:val="00231A07"/>
    <w:rsid w:val="00231AD8"/>
    <w:rsid w:val="00231B0A"/>
    <w:rsid w:val="00231B7A"/>
    <w:rsid w:val="00231B7E"/>
    <w:rsid w:val="00231C0B"/>
    <w:rsid w:val="00231C4F"/>
    <w:rsid w:val="00231C95"/>
    <w:rsid w:val="00231CBF"/>
    <w:rsid w:val="00231D18"/>
    <w:rsid w:val="00231DE4"/>
    <w:rsid w:val="00231E5B"/>
    <w:rsid w:val="00231F50"/>
    <w:rsid w:val="00231FD3"/>
    <w:rsid w:val="0023208B"/>
    <w:rsid w:val="002320D4"/>
    <w:rsid w:val="00232108"/>
    <w:rsid w:val="00232116"/>
    <w:rsid w:val="002321B6"/>
    <w:rsid w:val="00232334"/>
    <w:rsid w:val="00232362"/>
    <w:rsid w:val="002323CB"/>
    <w:rsid w:val="0023240E"/>
    <w:rsid w:val="0023243E"/>
    <w:rsid w:val="00232443"/>
    <w:rsid w:val="00232551"/>
    <w:rsid w:val="002325AD"/>
    <w:rsid w:val="002325BF"/>
    <w:rsid w:val="0023264C"/>
    <w:rsid w:val="002327BB"/>
    <w:rsid w:val="002328B1"/>
    <w:rsid w:val="002328CD"/>
    <w:rsid w:val="00232932"/>
    <w:rsid w:val="0023298E"/>
    <w:rsid w:val="002329B5"/>
    <w:rsid w:val="00232ACB"/>
    <w:rsid w:val="00232B5E"/>
    <w:rsid w:val="00232BEE"/>
    <w:rsid w:val="00232C30"/>
    <w:rsid w:val="00232C76"/>
    <w:rsid w:val="00232C95"/>
    <w:rsid w:val="00232D14"/>
    <w:rsid w:val="00232D84"/>
    <w:rsid w:val="00232E4D"/>
    <w:rsid w:val="00232E8E"/>
    <w:rsid w:val="00232ECE"/>
    <w:rsid w:val="00232F13"/>
    <w:rsid w:val="00232F45"/>
    <w:rsid w:val="00232F66"/>
    <w:rsid w:val="00232FE7"/>
    <w:rsid w:val="00233000"/>
    <w:rsid w:val="0023300C"/>
    <w:rsid w:val="0023301E"/>
    <w:rsid w:val="00233081"/>
    <w:rsid w:val="002330A1"/>
    <w:rsid w:val="002330A4"/>
    <w:rsid w:val="00233137"/>
    <w:rsid w:val="00233247"/>
    <w:rsid w:val="00233258"/>
    <w:rsid w:val="00233326"/>
    <w:rsid w:val="00233442"/>
    <w:rsid w:val="002334D4"/>
    <w:rsid w:val="00233578"/>
    <w:rsid w:val="00233580"/>
    <w:rsid w:val="002335C3"/>
    <w:rsid w:val="00233642"/>
    <w:rsid w:val="00233715"/>
    <w:rsid w:val="00233772"/>
    <w:rsid w:val="002337E2"/>
    <w:rsid w:val="0023390F"/>
    <w:rsid w:val="00233957"/>
    <w:rsid w:val="002339B8"/>
    <w:rsid w:val="002339C3"/>
    <w:rsid w:val="00233A97"/>
    <w:rsid w:val="00233B94"/>
    <w:rsid w:val="00233B99"/>
    <w:rsid w:val="00233C81"/>
    <w:rsid w:val="00233C84"/>
    <w:rsid w:val="00233D34"/>
    <w:rsid w:val="00233D41"/>
    <w:rsid w:val="00233D89"/>
    <w:rsid w:val="00233E0E"/>
    <w:rsid w:val="00233E29"/>
    <w:rsid w:val="00233E6C"/>
    <w:rsid w:val="00233EE4"/>
    <w:rsid w:val="00233EF4"/>
    <w:rsid w:val="00233F7D"/>
    <w:rsid w:val="00233FD1"/>
    <w:rsid w:val="0023403E"/>
    <w:rsid w:val="00234084"/>
    <w:rsid w:val="002340E8"/>
    <w:rsid w:val="00234224"/>
    <w:rsid w:val="00234280"/>
    <w:rsid w:val="002342DE"/>
    <w:rsid w:val="00234400"/>
    <w:rsid w:val="00234491"/>
    <w:rsid w:val="002344BF"/>
    <w:rsid w:val="00234506"/>
    <w:rsid w:val="00234511"/>
    <w:rsid w:val="0023452D"/>
    <w:rsid w:val="0023453F"/>
    <w:rsid w:val="00234558"/>
    <w:rsid w:val="0023461E"/>
    <w:rsid w:val="0023462A"/>
    <w:rsid w:val="002346A1"/>
    <w:rsid w:val="002346ED"/>
    <w:rsid w:val="00234780"/>
    <w:rsid w:val="002347B9"/>
    <w:rsid w:val="00234841"/>
    <w:rsid w:val="0023486B"/>
    <w:rsid w:val="002348CA"/>
    <w:rsid w:val="002349A8"/>
    <w:rsid w:val="00234A6F"/>
    <w:rsid w:val="00234ACC"/>
    <w:rsid w:val="00234BF6"/>
    <w:rsid w:val="00234C8F"/>
    <w:rsid w:val="00234CAF"/>
    <w:rsid w:val="00234CB7"/>
    <w:rsid w:val="00234CC1"/>
    <w:rsid w:val="00234D06"/>
    <w:rsid w:val="00234DA3"/>
    <w:rsid w:val="00234E18"/>
    <w:rsid w:val="00234F91"/>
    <w:rsid w:val="00234FDD"/>
    <w:rsid w:val="00235026"/>
    <w:rsid w:val="00235085"/>
    <w:rsid w:val="002350AA"/>
    <w:rsid w:val="002350F7"/>
    <w:rsid w:val="00235196"/>
    <w:rsid w:val="002351CE"/>
    <w:rsid w:val="0023521D"/>
    <w:rsid w:val="00235234"/>
    <w:rsid w:val="002353DA"/>
    <w:rsid w:val="002353E6"/>
    <w:rsid w:val="0023544A"/>
    <w:rsid w:val="00235491"/>
    <w:rsid w:val="0023568F"/>
    <w:rsid w:val="002356CF"/>
    <w:rsid w:val="002356D7"/>
    <w:rsid w:val="0023575D"/>
    <w:rsid w:val="00235862"/>
    <w:rsid w:val="00235891"/>
    <w:rsid w:val="0023589A"/>
    <w:rsid w:val="00235941"/>
    <w:rsid w:val="00235946"/>
    <w:rsid w:val="00235970"/>
    <w:rsid w:val="00235A01"/>
    <w:rsid w:val="00235AD7"/>
    <w:rsid w:val="00235B43"/>
    <w:rsid w:val="00235BF3"/>
    <w:rsid w:val="00235C72"/>
    <w:rsid w:val="00235CFB"/>
    <w:rsid w:val="00235D1A"/>
    <w:rsid w:val="00235D2B"/>
    <w:rsid w:val="00235D9C"/>
    <w:rsid w:val="00235DB2"/>
    <w:rsid w:val="00235EDD"/>
    <w:rsid w:val="00235F57"/>
    <w:rsid w:val="002360B1"/>
    <w:rsid w:val="0023615B"/>
    <w:rsid w:val="00236176"/>
    <w:rsid w:val="00236189"/>
    <w:rsid w:val="0023620D"/>
    <w:rsid w:val="00236227"/>
    <w:rsid w:val="0023622D"/>
    <w:rsid w:val="0023632C"/>
    <w:rsid w:val="00236389"/>
    <w:rsid w:val="00236436"/>
    <w:rsid w:val="00236453"/>
    <w:rsid w:val="00236476"/>
    <w:rsid w:val="0023654B"/>
    <w:rsid w:val="0023659F"/>
    <w:rsid w:val="002365A1"/>
    <w:rsid w:val="002365E4"/>
    <w:rsid w:val="0023664E"/>
    <w:rsid w:val="00236698"/>
    <w:rsid w:val="002366C6"/>
    <w:rsid w:val="0023676C"/>
    <w:rsid w:val="0023684F"/>
    <w:rsid w:val="002369E7"/>
    <w:rsid w:val="00236A14"/>
    <w:rsid w:val="00236A3F"/>
    <w:rsid w:val="00236A79"/>
    <w:rsid w:val="00236A9B"/>
    <w:rsid w:val="00236AAE"/>
    <w:rsid w:val="00236ABE"/>
    <w:rsid w:val="00236C95"/>
    <w:rsid w:val="00236D82"/>
    <w:rsid w:val="00236D88"/>
    <w:rsid w:val="00236E5E"/>
    <w:rsid w:val="00236F42"/>
    <w:rsid w:val="00236F5A"/>
    <w:rsid w:val="0023703A"/>
    <w:rsid w:val="002370CC"/>
    <w:rsid w:val="002371A2"/>
    <w:rsid w:val="00237214"/>
    <w:rsid w:val="00237240"/>
    <w:rsid w:val="0023728D"/>
    <w:rsid w:val="002372B1"/>
    <w:rsid w:val="0023730D"/>
    <w:rsid w:val="00237391"/>
    <w:rsid w:val="002376B6"/>
    <w:rsid w:val="002376CC"/>
    <w:rsid w:val="0023777C"/>
    <w:rsid w:val="002377B5"/>
    <w:rsid w:val="002378C5"/>
    <w:rsid w:val="0023792A"/>
    <w:rsid w:val="0023794F"/>
    <w:rsid w:val="002379C3"/>
    <w:rsid w:val="00237A1B"/>
    <w:rsid w:val="00237A5A"/>
    <w:rsid w:val="00237B1F"/>
    <w:rsid w:val="00237B3B"/>
    <w:rsid w:val="00237BDF"/>
    <w:rsid w:val="00237C4B"/>
    <w:rsid w:val="00237DE2"/>
    <w:rsid w:val="00237DFA"/>
    <w:rsid w:val="00237E24"/>
    <w:rsid w:val="00237ED9"/>
    <w:rsid w:val="00237FB4"/>
    <w:rsid w:val="00240146"/>
    <w:rsid w:val="0024019D"/>
    <w:rsid w:val="0024019F"/>
    <w:rsid w:val="0024028B"/>
    <w:rsid w:val="002402A8"/>
    <w:rsid w:val="00240322"/>
    <w:rsid w:val="00240361"/>
    <w:rsid w:val="00240476"/>
    <w:rsid w:val="002404A6"/>
    <w:rsid w:val="002404B9"/>
    <w:rsid w:val="002404DA"/>
    <w:rsid w:val="002404EE"/>
    <w:rsid w:val="00240500"/>
    <w:rsid w:val="00240556"/>
    <w:rsid w:val="00240605"/>
    <w:rsid w:val="00240637"/>
    <w:rsid w:val="002406EB"/>
    <w:rsid w:val="002406FC"/>
    <w:rsid w:val="0024075D"/>
    <w:rsid w:val="002407CB"/>
    <w:rsid w:val="00240806"/>
    <w:rsid w:val="00240841"/>
    <w:rsid w:val="00240860"/>
    <w:rsid w:val="00240865"/>
    <w:rsid w:val="002408B6"/>
    <w:rsid w:val="00240A8D"/>
    <w:rsid w:val="00240ACF"/>
    <w:rsid w:val="00240B45"/>
    <w:rsid w:val="00240BB1"/>
    <w:rsid w:val="00240C23"/>
    <w:rsid w:val="00240C53"/>
    <w:rsid w:val="00240C99"/>
    <w:rsid w:val="00240D0E"/>
    <w:rsid w:val="00240D63"/>
    <w:rsid w:val="00240D73"/>
    <w:rsid w:val="00240DB4"/>
    <w:rsid w:val="00240DFD"/>
    <w:rsid w:val="00240F23"/>
    <w:rsid w:val="00240F51"/>
    <w:rsid w:val="00240F89"/>
    <w:rsid w:val="00241054"/>
    <w:rsid w:val="00241059"/>
    <w:rsid w:val="002411DB"/>
    <w:rsid w:val="002411FA"/>
    <w:rsid w:val="002411FC"/>
    <w:rsid w:val="0024120D"/>
    <w:rsid w:val="00241298"/>
    <w:rsid w:val="00241308"/>
    <w:rsid w:val="00241312"/>
    <w:rsid w:val="00241477"/>
    <w:rsid w:val="0024148A"/>
    <w:rsid w:val="002414D1"/>
    <w:rsid w:val="002414D4"/>
    <w:rsid w:val="0024150B"/>
    <w:rsid w:val="0024155B"/>
    <w:rsid w:val="002415E6"/>
    <w:rsid w:val="00241688"/>
    <w:rsid w:val="0024176D"/>
    <w:rsid w:val="0024182B"/>
    <w:rsid w:val="002418E9"/>
    <w:rsid w:val="00241973"/>
    <w:rsid w:val="002419BB"/>
    <w:rsid w:val="00241B7A"/>
    <w:rsid w:val="00241B92"/>
    <w:rsid w:val="00241BAA"/>
    <w:rsid w:val="00241BC1"/>
    <w:rsid w:val="00241C04"/>
    <w:rsid w:val="00241C3B"/>
    <w:rsid w:val="00241D01"/>
    <w:rsid w:val="00241D0D"/>
    <w:rsid w:val="00241D96"/>
    <w:rsid w:val="00241DB5"/>
    <w:rsid w:val="00241E83"/>
    <w:rsid w:val="00241F11"/>
    <w:rsid w:val="00241F22"/>
    <w:rsid w:val="00241F2C"/>
    <w:rsid w:val="00241F63"/>
    <w:rsid w:val="00241F82"/>
    <w:rsid w:val="0024210D"/>
    <w:rsid w:val="00242140"/>
    <w:rsid w:val="0024215E"/>
    <w:rsid w:val="00242161"/>
    <w:rsid w:val="002422B8"/>
    <w:rsid w:val="002422C4"/>
    <w:rsid w:val="00242380"/>
    <w:rsid w:val="0024249F"/>
    <w:rsid w:val="002424E5"/>
    <w:rsid w:val="00242511"/>
    <w:rsid w:val="0024255D"/>
    <w:rsid w:val="00242703"/>
    <w:rsid w:val="002427A3"/>
    <w:rsid w:val="002427ED"/>
    <w:rsid w:val="002427F2"/>
    <w:rsid w:val="00242834"/>
    <w:rsid w:val="00242939"/>
    <w:rsid w:val="00242AFC"/>
    <w:rsid w:val="00242B21"/>
    <w:rsid w:val="00242B37"/>
    <w:rsid w:val="00242B69"/>
    <w:rsid w:val="00242B83"/>
    <w:rsid w:val="00242BF7"/>
    <w:rsid w:val="00242C0A"/>
    <w:rsid w:val="00242C35"/>
    <w:rsid w:val="00242C89"/>
    <w:rsid w:val="00242D12"/>
    <w:rsid w:val="00242D46"/>
    <w:rsid w:val="00242D75"/>
    <w:rsid w:val="00242DE6"/>
    <w:rsid w:val="00242F7E"/>
    <w:rsid w:val="00243041"/>
    <w:rsid w:val="002430E5"/>
    <w:rsid w:val="00243195"/>
    <w:rsid w:val="00243202"/>
    <w:rsid w:val="002432C8"/>
    <w:rsid w:val="00243303"/>
    <w:rsid w:val="002433C7"/>
    <w:rsid w:val="002433D4"/>
    <w:rsid w:val="002434E1"/>
    <w:rsid w:val="002435D3"/>
    <w:rsid w:val="00243634"/>
    <w:rsid w:val="00243645"/>
    <w:rsid w:val="0024378E"/>
    <w:rsid w:val="002438CF"/>
    <w:rsid w:val="00243965"/>
    <w:rsid w:val="00243A6B"/>
    <w:rsid w:val="00243AA0"/>
    <w:rsid w:val="00243ACB"/>
    <w:rsid w:val="00243B95"/>
    <w:rsid w:val="00243BEB"/>
    <w:rsid w:val="00243C52"/>
    <w:rsid w:val="00243D20"/>
    <w:rsid w:val="00243E30"/>
    <w:rsid w:val="00243E90"/>
    <w:rsid w:val="002441AE"/>
    <w:rsid w:val="0024425E"/>
    <w:rsid w:val="00244360"/>
    <w:rsid w:val="00244420"/>
    <w:rsid w:val="0024449D"/>
    <w:rsid w:val="002444B9"/>
    <w:rsid w:val="00244507"/>
    <w:rsid w:val="0024456B"/>
    <w:rsid w:val="0024456F"/>
    <w:rsid w:val="0024458F"/>
    <w:rsid w:val="002445A1"/>
    <w:rsid w:val="002445B7"/>
    <w:rsid w:val="002445E2"/>
    <w:rsid w:val="0024461E"/>
    <w:rsid w:val="0024467F"/>
    <w:rsid w:val="002446CD"/>
    <w:rsid w:val="0024476A"/>
    <w:rsid w:val="0024478D"/>
    <w:rsid w:val="0024482D"/>
    <w:rsid w:val="00244862"/>
    <w:rsid w:val="0024493C"/>
    <w:rsid w:val="0024498D"/>
    <w:rsid w:val="002449BB"/>
    <w:rsid w:val="00244A15"/>
    <w:rsid w:val="00244AEB"/>
    <w:rsid w:val="00244B27"/>
    <w:rsid w:val="00244BEA"/>
    <w:rsid w:val="00244C17"/>
    <w:rsid w:val="00244C8B"/>
    <w:rsid w:val="00244CAA"/>
    <w:rsid w:val="00244CB8"/>
    <w:rsid w:val="00244D13"/>
    <w:rsid w:val="00244D6E"/>
    <w:rsid w:val="00244D90"/>
    <w:rsid w:val="00244DF4"/>
    <w:rsid w:val="00244EFF"/>
    <w:rsid w:val="00244F13"/>
    <w:rsid w:val="00244FDC"/>
    <w:rsid w:val="00245073"/>
    <w:rsid w:val="0024514B"/>
    <w:rsid w:val="00245189"/>
    <w:rsid w:val="002451C3"/>
    <w:rsid w:val="002451C8"/>
    <w:rsid w:val="0024531F"/>
    <w:rsid w:val="00245323"/>
    <w:rsid w:val="0024535E"/>
    <w:rsid w:val="00245476"/>
    <w:rsid w:val="00245556"/>
    <w:rsid w:val="0024563C"/>
    <w:rsid w:val="002456F1"/>
    <w:rsid w:val="002456F3"/>
    <w:rsid w:val="0024583B"/>
    <w:rsid w:val="0024589E"/>
    <w:rsid w:val="0024590F"/>
    <w:rsid w:val="0024595B"/>
    <w:rsid w:val="002459E5"/>
    <w:rsid w:val="00245A02"/>
    <w:rsid w:val="00245A12"/>
    <w:rsid w:val="00245A36"/>
    <w:rsid w:val="00245A46"/>
    <w:rsid w:val="00245A5B"/>
    <w:rsid w:val="00245AB3"/>
    <w:rsid w:val="00245BDA"/>
    <w:rsid w:val="00245BFE"/>
    <w:rsid w:val="00245C34"/>
    <w:rsid w:val="00245CAF"/>
    <w:rsid w:val="00245CC0"/>
    <w:rsid w:val="00245D1F"/>
    <w:rsid w:val="00245D35"/>
    <w:rsid w:val="00245EB1"/>
    <w:rsid w:val="00245F65"/>
    <w:rsid w:val="00245FB4"/>
    <w:rsid w:val="00245FC6"/>
    <w:rsid w:val="00245FE2"/>
    <w:rsid w:val="00246014"/>
    <w:rsid w:val="002460BE"/>
    <w:rsid w:val="00246101"/>
    <w:rsid w:val="0024616B"/>
    <w:rsid w:val="002461E3"/>
    <w:rsid w:val="002463B7"/>
    <w:rsid w:val="00246441"/>
    <w:rsid w:val="00246455"/>
    <w:rsid w:val="0024647B"/>
    <w:rsid w:val="0024647E"/>
    <w:rsid w:val="002464E2"/>
    <w:rsid w:val="002465A9"/>
    <w:rsid w:val="0024665E"/>
    <w:rsid w:val="00246661"/>
    <w:rsid w:val="00246685"/>
    <w:rsid w:val="0024677B"/>
    <w:rsid w:val="002467D8"/>
    <w:rsid w:val="00246818"/>
    <w:rsid w:val="00246917"/>
    <w:rsid w:val="0024698C"/>
    <w:rsid w:val="00246991"/>
    <w:rsid w:val="002469B3"/>
    <w:rsid w:val="00246A3E"/>
    <w:rsid w:val="00246A90"/>
    <w:rsid w:val="00246B0B"/>
    <w:rsid w:val="00246CBC"/>
    <w:rsid w:val="00246D26"/>
    <w:rsid w:val="00246D68"/>
    <w:rsid w:val="00246E50"/>
    <w:rsid w:val="00246E7F"/>
    <w:rsid w:val="00246EDB"/>
    <w:rsid w:val="00246F18"/>
    <w:rsid w:val="00246F59"/>
    <w:rsid w:val="00246F9F"/>
    <w:rsid w:val="00246FCD"/>
    <w:rsid w:val="00247076"/>
    <w:rsid w:val="00247103"/>
    <w:rsid w:val="00247134"/>
    <w:rsid w:val="002471B6"/>
    <w:rsid w:val="002471DD"/>
    <w:rsid w:val="00247214"/>
    <w:rsid w:val="00247237"/>
    <w:rsid w:val="002473CF"/>
    <w:rsid w:val="002473D4"/>
    <w:rsid w:val="00247418"/>
    <w:rsid w:val="00247458"/>
    <w:rsid w:val="002474E4"/>
    <w:rsid w:val="002475B4"/>
    <w:rsid w:val="002475EE"/>
    <w:rsid w:val="002475F1"/>
    <w:rsid w:val="0024765A"/>
    <w:rsid w:val="00247662"/>
    <w:rsid w:val="00247686"/>
    <w:rsid w:val="0024769F"/>
    <w:rsid w:val="002476B1"/>
    <w:rsid w:val="002476E5"/>
    <w:rsid w:val="00247732"/>
    <w:rsid w:val="002477A9"/>
    <w:rsid w:val="00247877"/>
    <w:rsid w:val="002478A0"/>
    <w:rsid w:val="002478DD"/>
    <w:rsid w:val="00247952"/>
    <w:rsid w:val="002479A8"/>
    <w:rsid w:val="00247A6C"/>
    <w:rsid w:val="00247ABA"/>
    <w:rsid w:val="00247BDA"/>
    <w:rsid w:val="00247BE7"/>
    <w:rsid w:val="00247D4A"/>
    <w:rsid w:val="00247D74"/>
    <w:rsid w:val="00247DF2"/>
    <w:rsid w:val="00247EC2"/>
    <w:rsid w:val="00247F06"/>
    <w:rsid w:val="00247F66"/>
    <w:rsid w:val="00247FC5"/>
    <w:rsid w:val="0024E681"/>
    <w:rsid w:val="0025001F"/>
    <w:rsid w:val="0025017A"/>
    <w:rsid w:val="002501A9"/>
    <w:rsid w:val="002501DA"/>
    <w:rsid w:val="002502A9"/>
    <w:rsid w:val="0025031A"/>
    <w:rsid w:val="00250387"/>
    <w:rsid w:val="00250397"/>
    <w:rsid w:val="0025057D"/>
    <w:rsid w:val="00250600"/>
    <w:rsid w:val="00250602"/>
    <w:rsid w:val="00250654"/>
    <w:rsid w:val="0025067F"/>
    <w:rsid w:val="00250709"/>
    <w:rsid w:val="0025077A"/>
    <w:rsid w:val="002507BD"/>
    <w:rsid w:val="00250864"/>
    <w:rsid w:val="002508B6"/>
    <w:rsid w:val="00250913"/>
    <w:rsid w:val="00250946"/>
    <w:rsid w:val="002509AB"/>
    <w:rsid w:val="00250A9E"/>
    <w:rsid w:val="00250ABE"/>
    <w:rsid w:val="00250B6C"/>
    <w:rsid w:val="00250CAD"/>
    <w:rsid w:val="00250D15"/>
    <w:rsid w:val="00250D5C"/>
    <w:rsid w:val="00250E07"/>
    <w:rsid w:val="00250E34"/>
    <w:rsid w:val="00250F4F"/>
    <w:rsid w:val="00250F8D"/>
    <w:rsid w:val="00250FDE"/>
    <w:rsid w:val="00251092"/>
    <w:rsid w:val="00251193"/>
    <w:rsid w:val="00251264"/>
    <w:rsid w:val="002512ED"/>
    <w:rsid w:val="00251352"/>
    <w:rsid w:val="002513C1"/>
    <w:rsid w:val="00251450"/>
    <w:rsid w:val="0025145F"/>
    <w:rsid w:val="002514B2"/>
    <w:rsid w:val="002514C5"/>
    <w:rsid w:val="0025150B"/>
    <w:rsid w:val="00251540"/>
    <w:rsid w:val="0025162A"/>
    <w:rsid w:val="00251645"/>
    <w:rsid w:val="00251696"/>
    <w:rsid w:val="00251718"/>
    <w:rsid w:val="00251767"/>
    <w:rsid w:val="00251792"/>
    <w:rsid w:val="002517AD"/>
    <w:rsid w:val="002517D4"/>
    <w:rsid w:val="002518EA"/>
    <w:rsid w:val="002518FB"/>
    <w:rsid w:val="0025194C"/>
    <w:rsid w:val="00251959"/>
    <w:rsid w:val="0025196E"/>
    <w:rsid w:val="00251AFF"/>
    <w:rsid w:val="00251BFA"/>
    <w:rsid w:val="00251C22"/>
    <w:rsid w:val="00251CA6"/>
    <w:rsid w:val="00251DC8"/>
    <w:rsid w:val="00251E27"/>
    <w:rsid w:val="00251E4D"/>
    <w:rsid w:val="00251E96"/>
    <w:rsid w:val="00251EB0"/>
    <w:rsid w:val="00251EDB"/>
    <w:rsid w:val="002520D1"/>
    <w:rsid w:val="00252273"/>
    <w:rsid w:val="00252303"/>
    <w:rsid w:val="00252315"/>
    <w:rsid w:val="00252341"/>
    <w:rsid w:val="00252373"/>
    <w:rsid w:val="002523EC"/>
    <w:rsid w:val="00252429"/>
    <w:rsid w:val="00252451"/>
    <w:rsid w:val="002524FB"/>
    <w:rsid w:val="00252519"/>
    <w:rsid w:val="0025258E"/>
    <w:rsid w:val="002525B5"/>
    <w:rsid w:val="002525B6"/>
    <w:rsid w:val="00252633"/>
    <w:rsid w:val="002526C9"/>
    <w:rsid w:val="0025272F"/>
    <w:rsid w:val="00252911"/>
    <w:rsid w:val="0025291F"/>
    <w:rsid w:val="00252A14"/>
    <w:rsid w:val="00252B10"/>
    <w:rsid w:val="00252BA7"/>
    <w:rsid w:val="00252BEE"/>
    <w:rsid w:val="00252BEF"/>
    <w:rsid w:val="00252C1F"/>
    <w:rsid w:val="00252C76"/>
    <w:rsid w:val="00252C9D"/>
    <w:rsid w:val="00252CB3"/>
    <w:rsid w:val="00252D90"/>
    <w:rsid w:val="00252EB0"/>
    <w:rsid w:val="00252F8C"/>
    <w:rsid w:val="00253079"/>
    <w:rsid w:val="0025308E"/>
    <w:rsid w:val="002530E9"/>
    <w:rsid w:val="002531C0"/>
    <w:rsid w:val="002531D9"/>
    <w:rsid w:val="00253207"/>
    <w:rsid w:val="0025325E"/>
    <w:rsid w:val="00253281"/>
    <w:rsid w:val="002533C9"/>
    <w:rsid w:val="002533CD"/>
    <w:rsid w:val="002535B5"/>
    <w:rsid w:val="002535E3"/>
    <w:rsid w:val="00253693"/>
    <w:rsid w:val="002536A6"/>
    <w:rsid w:val="002536E2"/>
    <w:rsid w:val="0025377F"/>
    <w:rsid w:val="00253880"/>
    <w:rsid w:val="0025389C"/>
    <w:rsid w:val="0025395C"/>
    <w:rsid w:val="002539F2"/>
    <w:rsid w:val="002539F9"/>
    <w:rsid w:val="00253A83"/>
    <w:rsid w:val="00253B3C"/>
    <w:rsid w:val="00253B57"/>
    <w:rsid w:val="00253BA2"/>
    <w:rsid w:val="00253BA6"/>
    <w:rsid w:val="00253BEB"/>
    <w:rsid w:val="00253C59"/>
    <w:rsid w:val="00253C88"/>
    <w:rsid w:val="00253CE6"/>
    <w:rsid w:val="00253D1E"/>
    <w:rsid w:val="00253DA0"/>
    <w:rsid w:val="00253DCE"/>
    <w:rsid w:val="00253E02"/>
    <w:rsid w:val="00253EFC"/>
    <w:rsid w:val="00253F57"/>
    <w:rsid w:val="00253F72"/>
    <w:rsid w:val="00253F77"/>
    <w:rsid w:val="00253FB7"/>
    <w:rsid w:val="00253FBE"/>
    <w:rsid w:val="00253FD6"/>
    <w:rsid w:val="00254014"/>
    <w:rsid w:val="00254096"/>
    <w:rsid w:val="002540FC"/>
    <w:rsid w:val="0025412F"/>
    <w:rsid w:val="00254192"/>
    <w:rsid w:val="002541DE"/>
    <w:rsid w:val="0025423B"/>
    <w:rsid w:val="0025428A"/>
    <w:rsid w:val="00254350"/>
    <w:rsid w:val="002543E8"/>
    <w:rsid w:val="00254486"/>
    <w:rsid w:val="0025451A"/>
    <w:rsid w:val="00254583"/>
    <w:rsid w:val="00254586"/>
    <w:rsid w:val="00254673"/>
    <w:rsid w:val="0025469D"/>
    <w:rsid w:val="0025478F"/>
    <w:rsid w:val="002547FA"/>
    <w:rsid w:val="0025485D"/>
    <w:rsid w:val="00254881"/>
    <w:rsid w:val="0025488C"/>
    <w:rsid w:val="002548B2"/>
    <w:rsid w:val="00254A06"/>
    <w:rsid w:val="00254A79"/>
    <w:rsid w:val="00254B32"/>
    <w:rsid w:val="00254B59"/>
    <w:rsid w:val="00254C75"/>
    <w:rsid w:val="00254DBF"/>
    <w:rsid w:val="00254E31"/>
    <w:rsid w:val="00254EDC"/>
    <w:rsid w:val="00254FBD"/>
    <w:rsid w:val="0025505C"/>
    <w:rsid w:val="00255092"/>
    <w:rsid w:val="002550AA"/>
    <w:rsid w:val="00255108"/>
    <w:rsid w:val="0025518D"/>
    <w:rsid w:val="002551D1"/>
    <w:rsid w:val="002551FA"/>
    <w:rsid w:val="0025522C"/>
    <w:rsid w:val="00255234"/>
    <w:rsid w:val="002552CC"/>
    <w:rsid w:val="0025533F"/>
    <w:rsid w:val="002553FD"/>
    <w:rsid w:val="00255426"/>
    <w:rsid w:val="0025551E"/>
    <w:rsid w:val="00255536"/>
    <w:rsid w:val="0025557C"/>
    <w:rsid w:val="002555C6"/>
    <w:rsid w:val="002555FC"/>
    <w:rsid w:val="0025563F"/>
    <w:rsid w:val="002556DE"/>
    <w:rsid w:val="00255874"/>
    <w:rsid w:val="0025593C"/>
    <w:rsid w:val="002559B0"/>
    <w:rsid w:val="00255AD1"/>
    <w:rsid w:val="00255B0F"/>
    <w:rsid w:val="00255B16"/>
    <w:rsid w:val="00255BDA"/>
    <w:rsid w:val="00255C97"/>
    <w:rsid w:val="00255C9F"/>
    <w:rsid w:val="00255CBA"/>
    <w:rsid w:val="00255D8C"/>
    <w:rsid w:val="00255E11"/>
    <w:rsid w:val="00255F4B"/>
    <w:rsid w:val="00255F84"/>
    <w:rsid w:val="002560A8"/>
    <w:rsid w:val="002560C5"/>
    <w:rsid w:val="002561D5"/>
    <w:rsid w:val="002562B6"/>
    <w:rsid w:val="002562CE"/>
    <w:rsid w:val="002562CF"/>
    <w:rsid w:val="002562D7"/>
    <w:rsid w:val="002562F9"/>
    <w:rsid w:val="0025630F"/>
    <w:rsid w:val="0025634E"/>
    <w:rsid w:val="00256355"/>
    <w:rsid w:val="002563A3"/>
    <w:rsid w:val="002563DF"/>
    <w:rsid w:val="00256417"/>
    <w:rsid w:val="0025641E"/>
    <w:rsid w:val="00256422"/>
    <w:rsid w:val="00256446"/>
    <w:rsid w:val="002564EB"/>
    <w:rsid w:val="0025652B"/>
    <w:rsid w:val="002565E4"/>
    <w:rsid w:val="00256682"/>
    <w:rsid w:val="002566F2"/>
    <w:rsid w:val="002566F8"/>
    <w:rsid w:val="00256724"/>
    <w:rsid w:val="00256786"/>
    <w:rsid w:val="002567EA"/>
    <w:rsid w:val="002568C5"/>
    <w:rsid w:val="00256954"/>
    <w:rsid w:val="00256A99"/>
    <w:rsid w:val="00256AC1"/>
    <w:rsid w:val="00256B01"/>
    <w:rsid w:val="00256BBB"/>
    <w:rsid w:val="00256C69"/>
    <w:rsid w:val="00256DC8"/>
    <w:rsid w:val="00256EAD"/>
    <w:rsid w:val="00256F10"/>
    <w:rsid w:val="00256FE0"/>
    <w:rsid w:val="0025701C"/>
    <w:rsid w:val="00257112"/>
    <w:rsid w:val="0025716F"/>
    <w:rsid w:val="002571A5"/>
    <w:rsid w:val="00257219"/>
    <w:rsid w:val="00257263"/>
    <w:rsid w:val="00257278"/>
    <w:rsid w:val="002572D9"/>
    <w:rsid w:val="002572FC"/>
    <w:rsid w:val="002573A3"/>
    <w:rsid w:val="002573A7"/>
    <w:rsid w:val="002573BB"/>
    <w:rsid w:val="0025748E"/>
    <w:rsid w:val="002574D2"/>
    <w:rsid w:val="002574EF"/>
    <w:rsid w:val="002575D2"/>
    <w:rsid w:val="002575E6"/>
    <w:rsid w:val="00257619"/>
    <w:rsid w:val="00257658"/>
    <w:rsid w:val="002576FE"/>
    <w:rsid w:val="00257717"/>
    <w:rsid w:val="0025775A"/>
    <w:rsid w:val="002577CC"/>
    <w:rsid w:val="00257897"/>
    <w:rsid w:val="002578C4"/>
    <w:rsid w:val="00257902"/>
    <w:rsid w:val="002579B8"/>
    <w:rsid w:val="00257A20"/>
    <w:rsid w:val="00257A76"/>
    <w:rsid w:val="00257A8D"/>
    <w:rsid w:val="00257ACD"/>
    <w:rsid w:val="00257AE2"/>
    <w:rsid w:val="00257B46"/>
    <w:rsid w:val="00257BD9"/>
    <w:rsid w:val="00257BF1"/>
    <w:rsid w:val="00257C7F"/>
    <w:rsid w:val="00257D01"/>
    <w:rsid w:val="00257DA4"/>
    <w:rsid w:val="00257DB1"/>
    <w:rsid w:val="00257E2F"/>
    <w:rsid w:val="00257EA2"/>
    <w:rsid w:val="00257EE0"/>
    <w:rsid w:val="00257F83"/>
    <w:rsid w:val="00260023"/>
    <w:rsid w:val="00260087"/>
    <w:rsid w:val="00260268"/>
    <w:rsid w:val="0026031E"/>
    <w:rsid w:val="00260330"/>
    <w:rsid w:val="0026035D"/>
    <w:rsid w:val="0026035E"/>
    <w:rsid w:val="00260523"/>
    <w:rsid w:val="0026054A"/>
    <w:rsid w:val="0026055A"/>
    <w:rsid w:val="0026055C"/>
    <w:rsid w:val="0026059C"/>
    <w:rsid w:val="002605DF"/>
    <w:rsid w:val="002606F8"/>
    <w:rsid w:val="00260734"/>
    <w:rsid w:val="00260766"/>
    <w:rsid w:val="002607A6"/>
    <w:rsid w:val="002607AD"/>
    <w:rsid w:val="00260982"/>
    <w:rsid w:val="00260990"/>
    <w:rsid w:val="002609DA"/>
    <w:rsid w:val="00260A71"/>
    <w:rsid w:val="00260A92"/>
    <w:rsid w:val="00260BDB"/>
    <w:rsid w:val="00260C03"/>
    <w:rsid w:val="00260CD6"/>
    <w:rsid w:val="00260CDC"/>
    <w:rsid w:val="00260CDF"/>
    <w:rsid w:val="00260D07"/>
    <w:rsid w:val="00260DA4"/>
    <w:rsid w:val="00260E7E"/>
    <w:rsid w:val="00260F75"/>
    <w:rsid w:val="00260FB2"/>
    <w:rsid w:val="00260FF6"/>
    <w:rsid w:val="0026100A"/>
    <w:rsid w:val="0026105A"/>
    <w:rsid w:val="00261070"/>
    <w:rsid w:val="002610BF"/>
    <w:rsid w:val="002610C1"/>
    <w:rsid w:val="002610D9"/>
    <w:rsid w:val="00261175"/>
    <w:rsid w:val="00261195"/>
    <w:rsid w:val="0026119D"/>
    <w:rsid w:val="00261235"/>
    <w:rsid w:val="00261261"/>
    <w:rsid w:val="0026127F"/>
    <w:rsid w:val="002612F4"/>
    <w:rsid w:val="002613E1"/>
    <w:rsid w:val="002614B0"/>
    <w:rsid w:val="00261514"/>
    <w:rsid w:val="00261525"/>
    <w:rsid w:val="00261625"/>
    <w:rsid w:val="00261692"/>
    <w:rsid w:val="00261791"/>
    <w:rsid w:val="0026179C"/>
    <w:rsid w:val="00261857"/>
    <w:rsid w:val="0026188C"/>
    <w:rsid w:val="002618E7"/>
    <w:rsid w:val="0026194D"/>
    <w:rsid w:val="00261984"/>
    <w:rsid w:val="00261989"/>
    <w:rsid w:val="00261A6F"/>
    <w:rsid w:val="00261AD3"/>
    <w:rsid w:val="00261B00"/>
    <w:rsid w:val="00261B6C"/>
    <w:rsid w:val="00261B7A"/>
    <w:rsid w:val="00261C4B"/>
    <w:rsid w:val="00261C95"/>
    <w:rsid w:val="00261D03"/>
    <w:rsid w:val="00261D48"/>
    <w:rsid w:val="00261D9E"/>
    <w:rsid w:val="00261DB1"/>
    <w:rsid w:val="00261E67"/>
    <w:rsid w:val="00261EE3"/>
    <w:rsid w:val="00261F96"/>
    <w:rsid w:val="0026208F"/>
    <w:rsid w:val="002620FC"/>
    <w:rsid w:val="00262215"/>
    <w:rsid w:val="00262275"/>
    <w:rsid w:val="002622AD"/>
    <w:rsid w:val="002622B4"/>
    <w:rsid w:val="002622B7"/>
    <w:rsid w:val="00262331"/>
    <w:rsid w:val="00262360"/>
    <w:rsid w:val="002623B7"/>
    <w:rsid w:val="0026247F"/>
    <w:rsid w:val="002624CA"/>
    <w:rsid w:val="00262500"/>
    <w:rsid w:val="002625C9"/>
    <w:rsid w:val="002625DD"/>
    <w:rsid w:val="0026260F"/>
    <w:rsid w:val="002627E3"/>
    <w:rsid w:val="00262808"/>
    <w:rsid w:val="0026284C"/>
    <w:rsid w:val="002628E2"/>
    <w:rsid w:val="0026298E"/>
    <w:rsid w:val="002629B9"/>
    <w:rsid w:val="00262A3C"/>
    <w:rsid w:val="00262A40"/>
    <w:rsid w:val="00262A71"/>
    <w:rsid w:val="00262AAB"/>
    <w:rsid w:val="00262AE5"/>
    <w:rsid w:val="00262AF9"/>
    <w:rsid w:val="00262BDC"/>
    <w:rsid w:val="00262BEC"/>
    <w:rsid w:val="00262D11"/>
    <w:rsid w:val="00262E74"/>
    <w:rsid w:val="00262E95"/>
    <w:rsid w:val="00262F15"/>
    <w:rsid w:val="00262FE0"/>
    <w:rsid w:val="00262FE2"/>
    <w:rsid w:val="0026300A"/>
    <w:rsid w:val="00263050"/>
    <w:rsid w:val="002630CD"/>
    <w:rsid w:val="0026313C"/>
    <w:rsid w:val="002631C2"/>
    <w:rsid w:val="00263287"/>
    <w:rsid w:val="0026333B"/>
    <w:rsid w:val="00263390"/>
    <w:rsid w:val="00263405"/>
    <w:rsid w:val="0026349D"/>
    <w:rsid w:val="002634C7"/>
    <w:rsid w:val="00263538"/>
    <w:rsid w:val="00263586"/>
    <w:rsid w:val="002635FB"/>
    <w:rsid w:val="002636AE"/>
    <w:rsid w:val="002636DC"/>
    <w:rsid w:val="00263713"/>
    <w:rsid w:val="002637C1"/>
    <w:rsid w:val="00263835"/>
    <w:rsid w:val="002638C6"/>
    <w:rsid w:val="0026390F"/>
    <w:rsid w:val="00263910"/>
    <w:rsid w:val="002639F1"/>
    <w:rsid w:val="00263A32"/>
    <w:rsid w:val="00263BD0"/>
    <w:rsid w:val="00263C61"/>
    <w:rsid w:val="00263C8E"/>
    <w:rsid w:val="00263D57"/>
    <w:rsid w:val="00263D6A"/>
    <w:rsid w:val="00263E40"/>
    <w:rsid w:val="00263E7C"/>
    <w:rsid w:val="00263F74"/>
    <w:rsid w:val="00263FCB"/>
    <w:rsid w:val="002640B1"/>
    <w:rsid w:val="002640E2"/>
    <w:rsid w:val="002640EF"/>
    <w:rsid w:val="0026414D"/>
    <w:rsid w:val="00264192"/>
    <w:rsid w:val="00264242"/>
    <w:rsid w:val="00264271"/>
    <w:rsid w:val="00264306"/>
    <w:rsid w:val="0026431E"/>
    <w:rsid w:val="00264355"/>
    <w:rsid w:val="00264379"/>
    <w:rsid w:val="002643BF"/>
    <w:rsid w:val="002643C1"/>
    <w:rsid w:val="002643E8"/>
    <w:rsid w:val="0026445A"/>
    <w:rsid w:val="00264460"/>
    <w:rsid w:val="00264474"/>
    <w:rsid w:val="002644AE"/>
    <w:rsid w:val="00264692"/>
    <w:rsid w:val="002647AF"/>
    <w:rsid w:val="0026488A"/>
    <w:rsid w:val="002648D2"/>
    <w:rsid w:val="00264906"/>
    <w:rsid w:val="00264947"/>
    <w:rsid w:val="00264982"/>
    <w:rsid w:val="002649DC"/>
    <w:rsid w:val="00264ACD"/>
    <w:rsid w:val="00264AEF"/>
    <w:rsid w:val="00264AF1"/>
    <w:rsid w:val="00264AF5"/>
    <w:rsid w:val="00264B7C"/>
    <w:rsid w:val="00264C5D"/>
    <w:rsid w:val="00264D8F"/>
    <w:rsid w:val="00264DD2"/>
    <w:rsid w:val="00264E2B"/>
    <w:rsid w:val="00264EB9"/>
    <w:rsid w:val="00264F5B"/>
    <w:rsid w:val="00264F83"/>
    <w:rsid w:val="00264F94"/>
    <w:rsid w:val="00264FA5"/>
    <w:rsid w:val="00264FAE"/>
    <w:rsid w:val="00264FEF"/>
    <w:rsid w:val="00265058"/>
    <w:rsid w:val="0026509A"/>
    <w:rsid w:val="00265168"/>
    <w:rsid w:val="00265202"/>
    <w:rsid w:val="00265203"/>
    <w:rsid w:val="0026527A"/>
    <w:rsid w:val="00265295"/>
    <w:rsid w:val="002652AF"/>
    <w:rsid w:val="002652F9"/>
    <w:rsid w:val="0026533B"/>
    <w:rsid w:val="002654D6"/>
    <w:rsid w:val="00265624"/>
    <w:rsid w:val="00265639"/>
    <w:rsid w:val="00265670"/>
    <w:rsid w:val="0026569F"/>
    <w:rsid w:val="002656BA"/>
    <w:rsid w:val="002656DD"/>
    <w:rsid w:val="002656F0"/>
    <w:rsid w:val="0026572C"/>
    <w:rsid w:val="0026574F"/>
    <w:rsid w:val="00265816"/>
    <w:rsid w:val="002658B3"/>
    <w:rsid w:val="002658B8"/>
    <w:rsid w:val="002658E6"/>
    <w:rsid w:val="00265916"/>
    <w:rsid w:val="00265939"/>
    <w:rsid w:val="0026594E"/>
    <w:rsid w:val="002659A7"/>
    <w:rsid w:val="002659B5"/>
    <w:rsid w:val="002659B7"/>
    <w:rsid w:val="00265ADE"/>
    <w:rsid w:val="00265B3A"/>
    <w:rsid w:val="00265BEC"/>
    <w:rsid w:val="00265C0F"/>
    <w:rsid w:val="00265C94"/>
    <w:rsid w:val="00265CC7"/>
    <w:rsid w:val="00265D5F"/>
    <w:rsid w:val="00265D87"/>
    <w:rsid w:val="00265DB6"/>
    <w:rsid w:val="00265DE8"/>
    <w:rsid w:val="00265F13"/>
    <w:rsid w:val="00265F8E"/>
    <w:rsid w:val="00265FBE"/>
    <w:rsid w:val="00265FCE"/>
    <w:rsid w:val="0026600E"/>
    <w:rsid w:val="00266050"/>
    <w:rsid w:val="0026605F"/>
    <w:rsid w:val="002660D9"/>
    <w:rsid w:val="002660E8"/>
    <w:rsid w:val="00266149"/>
    <w:rsid w:val="00266155"/>
    <w:rsid w:val="00266270"/>
    <w:rsid w:val="00266298"/>
    <w:rsid w:val="0026636C"/>
    <w:rsid w:val="00266399"/>
    <w:rsid w:val="002663E0"/>
    <w:rsid w:val="00266465"/>
    <w:rsid w:val="00266469"/>
    <w:rsid w:val="002664AA"/>
    <w:rsid w:val="002664B3"/>
    <w:rsid w:val="0026653B"/>
    <w:rsid w:val="002665F2"/>
    <w:rsid w:val="00266605"/>
    <w:rsid w:val="00266658"/>
    <w:rsid w:val="00266692"/>
    <w:rsid w:val="0026669A"/>
    <w:rsid w:val="002666B4"/>
    <w:rsid w:val="00266708"/>
    <w:rsid w:val="00266713"/>
    <w:rsid w:val="00266744"/>
    <w:rsid w:val="0026679E"/>
    <w:rsid w:val="002667E6"/>
    <w:rsid w:val="00266829"/>
    <w:rsid w:val="002669AA"/>
    <w:rsid w:val="00266A24"/>
    <w:rsid w:val="00266A2A"/>
    <w:rsid w:val="00266ACE"/>
    <w:rsid w:val="00266BC0"/>
    <w:rsid w:val="00266BDC"/>
    <w:rsid w:val="00266C64"/>
    <w:rsid w:val="00266C75"/>
    <w:rsid w:val="00266CC2"/>
    <w:rsid w:val="00266DE7"/>
    <w:rsid w:val="00266DEB"/>
    <w:rsid w:val="00266E1A"/>
    <w:rsid w:val="00266E22"/>
    <w:rsid w:val="00266EC5"/>
    <w:rsid w:val="00266F05"/>
    <w:rsid w:val="00266F5E"/>
    <w:rsid w:val="00266F9C"/>
    <w:rsid w:val="0026705D"/>
    <w:rsid w:val="00267063"/>
    <w:rsid w:val="00267077"/>
    <w:rsid w:val="002670A0"/>
    <w:rsid w:val="002671DD"/>
    <w:rsid w:val="002672C3"/>
    <w:rsid w:val="00267497"/>
    <w:rsid w:val="0026756C"/>
    <w:rsid w:val="00267576"/>
    <w:rsid w:val="00267578"/>
    <w:rsid w:val="00267581"/>
    <w:rsid w:val="00267588"/>
    <w:rsid w:val="002676A1"/>
    <w:rsid w:val="002676AD"/>
    <w:rsid w:val="002676FA"/>
    <w:rsid w:val="002678EC"/>
    <w:rsid w:val="00267928"/>
    <w:rsid w:val="00267966"/>
    <w:rsid w:val="00267976"/>
    <w:rsid w:val="00267A28"/>
    <w:rsid w:val="00267A63"/>
    <w:rsid w:val="00267A70"/>
    <w:rsid w:val="00267B41"/>
    <w:rsid w:val="00267B50"/>
    <w:rsid w:val="00267B5A"/>
    <w:rsid w:val="00267C11"/>
    <w:rsid w:val="00267C24"/>
    <w:rsid w:val="00267C8E"/>
    <w:rsid w:val="00267D19"/>
    <w:rsid w:val="00267E4C"/>
    <w:rsid w:val="00267F41"/>
    <w:rsid w:val="00267FC7"/>
    <w:rsid w:val="00267FDF"/>
    <w:rsid w:val="00270085"/>
    <w:rsid w:val="00270100"/>
    <w:rsid w:val="0027017F"/>
    <w:rsid w:val="00270229"/>
    <w:rsid w:val="0027024E"/>
    <w:rsid w:val="0027025F"/>
    <w:rsid w:val="002702D3"/>
    <w:rsid w:val="0027036A"/>
    <w:rsid w:val="002703B6"/>
    <w:rsid w:val="002703D5"/>
    <w:rsid w:val="00270448"/>
    <w:rsid w:val="0027047B"/>
    <w:rsid w:val="002704BA"/>
    <w:rsid w:val="002705AA"/>
    <w:rsid w:val="002705C0"/>
    <w:rsid w:val="0027060B"/>
    <w:rsid w:val="00270650"/>
    <w:rsid w:val="002706B7"/>
    <w:rsid w:val="002706BE"/>
    <w:rsid w:val="00270706"/>
    <w:rsid w:val="002707D3"/>
    <w:rsid w:val="00270828"/>
    <w:rsid w:val="0027082E"/>
    <w:rsid w:val="0027085B"/>
    <w:rsid w:val="0027089D"/>
    <w:rsid w:val="0027091B"/>
    <w:rsid w:val="0027097E"/>
    <w:rsid w:val="002709BD"/>
    <w:rsid w:val="00270AED"/>
    <w:rsid w:val="00270B4E"/>
    <w:rsid w:val="00270B6C"/>
    <w:rsid w:val="00270C0B"/>
    <w:rsid w:val="00270C5A"/>
    <w:rsid w:val="00270C92"/>
    <w:rsid w:val="00270D46"/>
    <w:rsid w:val="00270DCB"/>
    <w:rsid w:val="00270E47"/>
    <w:rsid w:val="00270F81"/>
    <w:rsid w:val="00270FB4"/>
    <w:rsid w:val="002710A2"/>
    <w:rsid w:val="0027112A"/>
    <w:rsid w:val="002711AA"/>
    <w:rsid w:val="0027128B"/>
    <w:rsid w:val="00271364"/>
    <w:rsid w:val="0027147E"/>
    <w:rsid w:val="002715CC"/>
    <w:rsid w:val="002717B0"/>
    <w:rsid w:val="0027181A"/>
    <w:rsid w:val="00271842"/>
    <w:rsid w:val="00271862"/>
    <w:rsid w:val="0027187F"/>
    <w:rsid w:val="0027189A"/>
    <w:rsid w:val="002718E2"/>
    <w:rsid w:val="00271917"/>
    <w:rsid w:val="0027192C"/>
    <w:rsid w:val="00271AEB"/>
    <w:rsid w:val="00271B04"/>
    <w:rsid w:val="00271B58"/>
    <w:rsid w:val="00271CD3"/>
    <w:rsid w:val="00271CE4"/>
    <w:rsid w:val="00271DB2"/>
    <w:rsid w:val="00271DB4"/>
    <w:rsid w:val="00271DEC"/>
    <w:rsid w:val="00271E67"/>
    <w:rsid w:val="00271EE3"/>
    <w:rsid w:val="00271EEB"/>
    <w:rsid w:val="00271F75"/>
    <w:rsid w:val="00271F84"/>
    <w:rsid w:val="00271FC0"/>
    <w:rsid w:val="002720D3"/>
    <w:rsid w:val="002721D7"/>
    <w:rsid w:val="0027227A"/>
    <w:rsid w:val="002722C8"/>
    <w:rsid w:val="002722F4"/>
    <w:rsid w:val="0027234A"/>
    <w:rsid w:val="002723C1"/>
    <w:rsid w:val="00272447"/>
    <w:rsid w:val="002724CF"/>
    <w:rsid w:val="00272537"/>
    <w:rsid w:val="002725A9"/>
    <w:rsid w:val="00272667"/>
    <w:rsid w:val="002726F6"/>
    <w:rsid w:val="002726FF"/>
    <w:rsid w:val="00272896"/>
    <w:rsid w:val="0027290D"/>
    <w:rsid w:val="0027295D"/>
    <w:rsid w:val="00272A1C"/>
    <w:rsid w:val="00272AA3"/>
    <w:rsid w:val="00272B66"/>
    <w:rsid w:val="00272BB0"/>
    <w:rsid w:val="00272BB5"/>
    <w:rsid w:val="00272C1E"/>
    <w:rsid w:val="00272C36"/>
    <w:rsid w:val="00272DEF"/>
    <w:rsid w:val="00272ECF"/>
    <w:rsid w:val="00272ED9"/>
    <w:rsid w:val="00272F1B"/>
    <w:rsid w:val="00272FE5"/>
    <w:rsid w:val="00273062"/>
    <w:rsid w:val="002730C3"/>
    <w:rsid w:val="00273154"/>
    <w:rsid w:val="0027317C"/>
    <w:rsid w:val="002731AB"/>
    <w:rsid w:val="002731C2"/>
    <w:rsid w:val="002732E1"/>
    <w:rsid w:val="00273306"/>
    <w:rsid w:val="0027330F"/>
    <w:rsid w:val="0027339F"/>
    <w:rsid w:val="00273431"/>
    <w:rsid w:val="00273470"/>
    <w:rsid w:val="00273490"/>
    <w:rsid w:val="002734E9"/>
    <w:rsid w:val="00273504"/>
    <w:rsid w:val="00273584"/>
    <w:rsid w:val="002735BA"/>
    <w:rsid w:val="002736F4"/>
    <w:rsid w:val="00273703"/>
    <w:rsid w:val="002737A5"/>
    <w:rsid w:val="002737AC"/>
    <w:rsid w:val="002737AE"/>
    <w:rsid w:val="0027384C"/>
    <w:rsid w:val="002738CE"/>
    <w:rsid w:val="002739CC"/>
    <w:rsid w:val="002739F9"/>
    <w:rsid w:val="00273A1C"/>
    <w:rsid w:val="00273A43"/>
    <w:rsid w:val="00273A74"/>
    <w:rsid w:val="00273A86"/>
    <w:rsid w:val="00273ABA"/>
    <w:rsid w:val="00273B5C"/>
    <w:rsid w:val="00273B6C"/>
    <w:rsid w:val="00273BBC"/>
    <w:rsid w:val="00273C34"/>
    <w:rsid w:val="00273C5E"/>
    <w:rsid w:val="00273C9A"/>
    <w:rsid w:val="00273D43"/>
    <w:rsid w:val="00273D84"/>
    <w:rsid w:val="00273DD1"/>
    <w:rsid w:val="00273F3C"/>
    <w:rsid w:val="00274060"/>
    <w:rsid w:val="0027414F"/>
    <w:rsid w:val="0027415B"/>
    <w:rsid w:val="00274193"/>
    <w:rsid w:val="0027422F"/>
    <w:rsid w:val="00274285"/>
    <w:rsid w:val="0027429A"/>
    <w:rsid w:val="002742E2"/>
    <w:rsid w:val="0027432C"/>
    <w:rsid w:val="00274345"/>
    <w:rsid w:val="00274377"/>
    <w:rsid w:val="002743F3"/>
    <w:rsid w:val="00274441"/>
    <w:rsid w:val="00274465"/>
    <w:rsid w:val="002744BB"/>
    <w:rsid w:val="002744F7"/>
    <w:rsid w:val="002744F8"/>
    <w:rsid w:val="0027462B"/>
    <w:rsid w:val="00274651"/>
    <w:rsid w:val="002747BC"/>
    <w:rsid w:val="00274812"/>
    <w:rsid w:val="00274851"/>
    <w:rsid w:val="00274888"/>
    <w:rsid w:val="00274926"/>
    <w:rsid w:val="0027492D"/>
    <w:rsid w:val="002749D7"/>
    <w:rsid w:val="00274B26"/>
    <w:rsid w:val="00274B80"/>
    <w:rsid w:val="00274BFE"/>
    <w:rsid w:val="00274C1A"/>
    <w:rsid w:val="00274CA1"/>
    <w:rsid w:val="00274DD4"/>
    <w:rsid w:val="00274DF6"/>
    <w:rsid w:val="00274E2C"/>
    <w:rsid w:val="00274E72"/>
    <w:rsid w:val="00274EC4"/>
    <w:rsid w:val="00274EFF"/>
    <w:rsid w:val="00274F17"/>
    <w:rsid w:val="00274FE0"/>
    <w:rsid w:val="00275016"/>
    <w:rsid w:val="0027506C"/>
    <w:rsid w:val="00275079"/>
    <w:rsid w:val="002750AE"/>
    <w:rsid w:val="0027517B"/>
    <w:rsid w:val="002755BB"/>
    <w:rsid w:val="002756DC"/>
    <w:rsid w:val="002757A8"/>
    <w:rsid w:val="002757C2"/>
    <w:rsid w:val="00275825"/>
    <w:rsid w:val="002758BD"/>
    <w:rsid w:val="002759A3"/>
    <w:rsid w:val="002759D2"/>
    <w:rsid w:val="002759D5"/>
    <w:rsid w:val="00275B9F"/>
    <w:rsid w:val="00275C2B"/>
    <w:rsid w:val="00275D27"/>
    <w:rsid w:val="00275DC0"/>
    <w:rsid w:val="00275E7B"/>
    <w:rsid w:val="00275E9B"/>
    <w:rsid w:val="00275EAB"/>
    <w:rsid w:val="00275F2E"/>
    <w:rsid w:val="002760A3"/>
    <w:rsid w:val="0027611E"/>
    <w:rsid w:val="00276305"/>
    <w:rsid w:val="002763FC"/>
    <w:rsid w:val="00276405"/>
    <w:rsid w:val="00276474"/>
    <w:rsid w:val="00276570"/>
    <w:rsid w:val="0027658E"/>
    <w:rsid w:val="0027659E"/>
    <w:rsid w:val="002765E9"/>
    <w:rsid w:val="0027660B"/>
    <w:rsid w:val="0027662E"/>
    <w:rsid w:val="0027666D"/>
    <w:rsid w:val="00276682"/>
    <w:rsid w:val="002766B7"/>
    <w:rsid w:val="002766C7"/>
    <w:rsid w:val="00276869"/>
    <w:rsid w:val="00276878"/>
    <w:rsid w:val="00276898"/>
    <w:rsid w:val="002768B1"/>
    <w:rsid w:val="002768C7"/>
    <w:rsid w:val="002768D4"/>
    <w:rsid w:val="002768EA"/>
    <w:rsid w:val="002768FB"/>
    <w:rsid w:val="002769D8"/>
    <w:rsid w:val="00276A03"/>
    <w:rsid w:val="00276B2C"/>
    <w:rsid w:val="00276B8A"/>
    <w:rsid w:val="00276C10"/>
    <w:rsid w:val="00276C3E"/>
    <w:rsid w:val="00276C55"/>
    <w:rsid w:val="00276C64"/>
    <w:rsid w:val="00276CB4"/>
    <w:rsid w:val="00276D32"/>
    <w:rsid w:val="00276D45"/>
    <w:rsid w:val="00276D59"/>
    <w:rsid w:val="00276EFB"/>
    <w:rsid w:val="00276F4F"/>
    <w:rsid w:val="00276FB8"/>
    <w:rsid w:val="00276FF0"/>
    <w:rsid w:val="00277031"/>
    <w:rsid w:val="002770C4"/>
    <w:rsid w:val="002770D0"/>
    <w:rsid w:val="002770EC"/>
    <w:rsid w:val="0027715E"/>
    <w:rsid w:val="00277172"/>
    <w:rsid w:val="002771A9"/>
    <w:rsid w:val="002771F0"/>
    <w:rsid w:val="002772EB"/>
    <w:rsid w:val="00277370"/>
    <w:rsid w:val="002773AD"/>
    <w:rsid w:val="002773FD"/>
    <w:rsid w:val="0027747E"/>
    <w:rsid w:val="002775E5"/>
    <w:rsid w:val="002775F2"/>
    <w:rsid w:val="00277604"/>
    <w:rsid w:val="00277660"/>
    <w:rsid w:val="002776E3"/>
    <w:rsid w:val="00277761"/>
    <w:rsid w:val="0027777C"/>
    <w:rsid w:val="002779A9"/>
    <w:rsid w:val="00277AB8"/>
    <w:rsid w:val="00277B3C"/>
    <w:rsid w:val="00277B8C"/>
    <w:rsid w:val="00277C10"/>
    <w:rsid w:val="00277CA1"/>
    <w:rsid w:val="00277CB2"/>
    <w:rsid w:val="00277CE1"/>
    <w:rsid w:val="00277D96"/>
    <w:rsid w:val="00277D9F"/>
    <w:rsid w:val="00277DA9"/>
    <w:rsid w:val="00277DE5"/>
    <w:rsid w:val="00277DE7"/>
    <w:rsid w:val="00277DF4"/>
    <w:rsid w:val="00277E66"/>
    <w:rsid w:val="00277F0D"/>
    <w:rsid w:val="00277F2F"/>
    <w:rsid w:val="00277FAF"/>
    <w:rsid w:val="00277FBA"/>
    <w:rsid w:val="0028001B"/>
    <w:rsid w:val="0028002A"/>
    <w:rsid w:val="002800A7"/>
    <w:rsid w:val="002800FD"/>
    <w:rsid w:val="00280153"/>
    <w:rsid w:val="0028017A"/>
    <w:rsid w:val="002801DE"/>
    <w:rsid w:val="002801E9"/>
    <w:rsid w:val="002803D5"/>
    <w:rsid w:val="00280475"/>
    <w:rsid w:val="002804E3"/>
    <w:rsid w:val="002804E7"/>
    <w:rsid w:val="002804FB"/>
    <w:rsid w:val="00280512"/>
    <w:rsid w:val="0028058A"/>
    <w:rsid w:val="002805AE"/>
    <w:rsid w:val="0028063B"/>
    <w:rsid w:val="002806C5"/>
    <w:rsid w:val="00280749"/>
    <w:rsid w:val="00280822"/>
    <w:rsid w:val="0028084A"/>
    <w:rsid w:val="00280880"/>
    <w:rsid w:val="002808BA"/>
    <w:rsid w:val="0028099D"/>
    <w:rsid w:val="00280AFC"/>
    <w:rsid w:val="00280B00"/>
    <w:rsid w:val="00280FA0"/>
    <w:rsid w:val="00281006"/>
    <w:rsid w:val="00281013"/>
    <w:rsid w:val="002810F1"/>
    <w:rsid w:val="002810F7"/>
    <w:rsid w:val="00281119"/>
    <w:rsid w:val="002811C7"/>
    <w:rsid w:val="002812B1"/>
    <w:rsid w:val="00281319"/>
    <w:rsid w:val="00281373"/>
    <w:rsid w:val="0028151B"/>
    <w:rsid w:val="002815B0"/>
    <w:rsid w:val="002815D8"/>
    <w:rsid w:val="002815F6"/>
    <w:rsid w:val="0028168B"/>
    <w:rsid w:val="002816FB"/>
    <w:rsid w:val="002817AE"/>
    <w:rsid w:val="002817D3"/>
    <w:rsid w:val="00281857"/>
    <w:rsid w:val="002818EE"/>
    <w:rsid w:val="00281A5D"/>
    <w:rsid w:val="00281AB8"/>
    <w:rsid w:val="00281B2A"/>
    <w:rsid w:val="00281B73"/>
    <w:rsid w:val="00281C08"/>
    <w:rsid w:val="00281C53"/>
    <w:rsid w:val="00281CDE"/>
    <w:rsid w:val="00281DDC"/>
    <w:rsid w:val="00281DF7"/>
    <w:rsid w:val="00281E73"/>
    <w:rsid w:val="00281F35"/>
    <w:rsid w:val="00281FAF"/>
    <w:rsid w:val="0028204B"/>
    <w:rsid w:val="0028214B"/>
    <w:rsid w:val="00282199"/>
    <w:rsid w:val="00282308"/>
    <w:rsid w:val="00282311"/>
    <w:rsid w:val="00282314"/>
    <w:rsid w:val="0028234A"/>
    <w:rsid w:val="00282366"/>
    <w:rsid w:val="0028242D"/>
    <w:rsid w:val="00282446"/>
    <w:rsid w:val="0028248F"/>
    <w:rsid w:val="00282501"/>
    <w:rsid w:val="00282558"/>
    <w:rsid w:val="0028256C"/>
    <w:rsid w:val="00282599"/>
    <w:rsid w:val="002825A0"/>
    <w:rsid w:val="0028260A"/>
    <w:rsid w:val="002826CF"/>
    <w:rsid w:val="002826E9"/>
    <w:rsid w:val="002826EB"/>
    <w:rsid w:val="002827F0"/>
    <w:rsid w:val="00282849"/>
    <w:rsid w:val="00282860"/>
    <w:rsid w:val="00282883"/>
    <w:rsid w:val="00282887"/>
    <w:rsid w:val="002828D7"/>
    <w:rsid w:val="00282932"/>
    <w:rsid w:val="00282936"/>
    <w:rsid w:val="00282942"/>
    <w:rsid w:val="002829E7"/>
    <w:rsid w:val="00282A88"/>
    <w:rsid w:val="00282AA7"/>
    <w:rsid w:val="00282AC5"/>
    <w:rsid w:val="00282B31"/>
    <w:rsid w:val="00282B73"/>
    <w:rsid w:val="00282B94"/>
    <w:rsid w:val="00282C2C"/>
    <w:rsid w:val="00282C5B"/>
    <w:rsid w:val="00282C9F"/>
    <w:rsid w:val="00282CFD"/>
    <w:rsid w:val="00282D25"/>
    <w:rsid w:val="00282D5C"/>
    <w:rsid w:val="00282D95"/>
    <w:rsid w:val="00282DAC"/>
    <w:rsid w:val="00282DD2"/>
    <w:rsid w:val="00282EBD"/>
    <w:rsid w:val="00282F4F"/>
    <w:rsid w:val="00282FBC"/>
    <w:rsid w:val="00283007"/>
    <w:rsid w:val="0028303D"/>
    <w:rsid w:val="0028303E"/>
    <w:rsid w:val="002830ED"/>
    <w:rsid w:val="00283123"/>
    <w:rsid w:val="00283146"/>
    <w:rsid w:val="0028318A"/>
    <w:rsid w:val="002831E0"/>
    <w:rsid w:val="00283228"/>
    <w:rsid w:val="0028324A"/>
    <w:rsid w:val="0028328F"/>
    <w:rsid w:val="002832B8"/>
    <w:rsid w:val="002832FA"/>
    <w:rsid w:val="00283342"/>
    <w:rsid w:val="00283410"/>
    <w:rsid w:val="00283436"/>
    <w:rsid w:val="002834A1"/>
    <w:rsid w:val="00283547"/>
    <w:rsid w:val="00283818"/>
    <w:rsid w:val="0028381A"/>
    <w:rsid w:val="002838A4"/>
    <w:rsid w:val="002838AB"/>
    <w:rsid w:val="002838D6"/>
    <w:rsid w:val="00283960"/>
    <w:rsid w:val="00283C4C"/>
    <w:rsid w:val="00283C67"/>
    <w:rsid w:val="00283C87"/>
    <w:rsid w:val="00283C93"/>
    <w:rsid w:val="00283C9C"/>
    <w:rsid w:val="00283D08"/>
    <w:rsid w:val="00283D65"/>
    <w:rsid w:val="00283D8E"/>
    <w:rsid w:val="00283E63"/>
    <w:rsid w:val="00283E6F"/>
    <w:rsid w:val="00283EAD"/>
    <w:rsid w:val="00283EFE"/>
    <w:rsid w:val="00283F21"/>
    <w:rsid w:val="00283F44"/>
    <w:rsid w:val="00283FA8"/>
    <w:rsid w:val="00283FB6"/>
    <w:rsid w:val="0028409B"/>
    <w:rsid w:val="002840B3"/>
    <w:rsid w:val="0028410C"/>
    <w:rsid w:val="002841D4"/>
    <w:rsid w:val="00284212"/>
    <w:rsid w:val="0028439A"/>
    <w:rsid w:val="002843AF"/>
    <w:rsid w:val="002844AB"/>
    <w:rsid w:val="00284556"/>
    <w:rsid w:val="0028459F"/>
    <w:rsid w:val="0028467B"/>
    <w:rsid w:val="00284724"/>
    <w:rsid w:val="0028477D"/>
    <w:rsid w:val="002849CA"/>
    <w:rsid w:val="00284A1B"/>
    <w:rsid w:val="00284A4B"/>
    <w:rsid w:val="00284A6D"/>
    <w:rsid w:val="00284C37"/>
    <w:rsid w:val="00284C5D"/>
    <w:rsid w:val="00284C6C"/>
    <w:rsid w:val="00284C89"/>
    <w:rsid w:val="00284D02"/>
    <w:rsid w:val="00284D0B"/>
    <w:rsid w:val="00284D2F"/>
    <w:rsid w:val="00284D83"/>
    <w:rsid w:val="00284D8B"/>
    <w:rsid w:val="00284D9F"/>
    <w:rsid w:val="00284DCD"/>
    <w:rsid w:val="00284E90"/>
    <w:rsid w:val="00284F38"/>
    <w:rsid w:val="00284F5A"/>
    <w:rsid w:val="00284F88"/>
    <w:rsid w:val="00285049"/>
    <w:rsid w:val="0028505F"/>
    <w:rsid w:val="002850F3"/>
    <w:rsid w:val="0028516D"/>
    <w:rsid w:val="00285268"/>
    <w:rsid w:val="0028529B"/>
    <w:rsid w:val="0028529F"/>
    <w:rsid w:val="002852B4"/>
    <w:rsid w:val="00285355"/>
    <w:rsid w:val="002853DE"/>
    <w:rsid w:val="0028546D"/>
    <w:rsid w:val="002854C6"/>
    <w:rsid w:val="0028550C"/>
    <w:rsid w:val="0028552C"/>
    <w:rsid w:val="002855F8"/>
    <w:rsid w:val="00285636"/>
    <w:rsid w:val="00285698"/>
    <w:rsid w:val="002856E7"/>
    <w:rsid w:val="00285737"/>
    <w:rsid w:val="002857BF"/>
    <w:rsid w:val="002857DE"/>
    <w:rsid w:val="00285887"/>
    <w:rsid w:val="002858C1"/>
    <w:rsid w:val="00285962"/>
    <w:rsid w:val="002859CA"/>
    <w:rsid w:val="00285A8C"/>
    <w:rsid w:val="00285AF3"/>
    <w:rsid w:val="00285B6D"/>
    <w:rsid w:val="00285BDE"/>
    <w:rsid w:val="00285CFD"/>
    <w:rsid w:val="00285DE4"/>
    <w:rsid w:val="00285E20"/>
    <w:rsid w:val="00285EF7"/>
    <w:rsid w:val="00285F1F"/>
    <w:rsid w:val="00285F46"/>
    <w:rsid w:val="00286043"/>
    <w:rsid w:val="002860A7"/>
    <w:rsid w:val="002860D5"/>
    <w:rsid w:val="002860DA"/>
    <w:rsid w:val="002860F4"/>
    <w:rsid w:val="00286132"/>
    <w:rsid w:val="0028617F"/>
    <w:rsid w:val="00286213"/>
    <w:rsid w:val="00286276"/>
    <w:rsid w:val="002862E7"/>
    <w:rsid w:val="00286389"/>
    <w:rsid w:val="002865C2"/>
    <w:rsid w:val="0028660D"/>
    <w:rsid w:val="00286677"/>
    <w:rsid w:val="00286679"/>
    <w:rsid w:val="002866CE"/>
    <w:rsid w:val="00286706"/>
    <w:rsid w:val="00286770"/>
    <w:rsid w:val="0028698C"/>
    <w:rsid w:val="00286A15"/>
    <w:rsid w:val="00286AC6"/>
    <w:rsid w:val="00286B2B"/>
    <w:rsid w:val="00286B47"/>
    <w:rsid w:val="00286C2E"/>
    <w:rsid w:val="00286C37"/>
    <w:rsid w:val="00286C41"/>
    <w:rsid w:val="00286C65"/>
    <w:rsid w:val="00286D20"/>
    <w:rsid w:val="00286D41"/>
    <w:rsid w:val="00286DDE"/>
    <w:rsid w:val="00286EC5"/>
    <w:rsid w:val="00286F01"/>
    <w:rsid w:val="00286F5B"/>
    <w:rsid w:val="00286FEB"/>
    <w:rsid w:val="002871E3"/>
    <w:rsid w:val="0028723E"/>
    <w:rsid w:val="00287243"/>
    <w:rsid w:val="00287377"/>
    <w:rsid w:val="00287447"/>
    <w:rsid w:val="002874A5"/>
    <w:rsid w:val="002874BA"/>
    <w:rsid w:val="00287515"/>
    <w:rsid w:val="0028755E"/>
    <w:rsid w:val="002875BE"/>
    <w:rsid w:val="002875F1"/>
    <w:rsid w:val="00287639"/>
    <w:rsid w:val="0028765F"/>
    <w:rsid w:val="002876F3"/>
    <w:rsid w:val="00287769"/>
    <w:rsid w:val="00287794"/>
    <w:rsid w:val="002877A6"/>
    <w:rsid w:val="002877F1"/>
    <w:rsid w:val="00287881"/>
    <w:rsid w:val="00287916"/>
    <w:rsid w:val="0028797A"/>
    <w:rsid w:val="002879C3"/>
    <w:rsid w:val="00287A04"/>
    <w:rsid w:val="00287AAA"/>
    <w:rsid w:val="00287AE8"/>
    <w:rsid w:val="00287B06"/>
    <w:rsid w:val="00287C70"/>
    <w:rsid w:val="00287CA1"/>
    <w:rsid w:val="00287CCE"/>
    <w:rsid w:val="00287D6B"/>
    <w:rsid w:val="00287F0C"/>
    <w:rsid w:val="00287FDE"/>
    <w:rsid w:val="0029007A"/>
    <w:rsid w:val="002901E5"/>
    <w:rsid w:val="00290224"/>
    <w:rsid w:val="0029024B"/>
    <w:rsid w:val="0029026C"/>
    <w:rsid w:val="00290334"/>
    <w:rsid w:val="00290375"/>
    <w:rsid w:val="002904F0"/>
    <w:rsid w:val="0029054D"/>
    <w:rsid w:val="0029064F"/>
    <w:rsid w:val="002907E0"/>
    <w:rsid w:val="00290808"/>
    <w:rsid w:val="002908A5"/>
    <w:rsid w:val="002908C2"/>
    <w:rsid w:val="0029099F"/>
    <w:rsid w:val="002909C3"/>
    <w:rsid w:val="00290A7B"/>
    <w:rsid w:val="00290AF3"/>
    <w:rsid w:val="00290B39"/>
    <w:rsid w:val="00290B53"/>
    <w:rsid w:val="00290B7A"/>
    <w:rsid w:val="00290C15"/>
    <w:rsid w:val="00290C4F"/>
    <w:rsid w:val="00290C9A"/>
    <w:rsid w:val="00290CC3"/>
    <w:rsid w:val="00290CCB"/>
    <w:rsid w:val="00290CD6"/>
    <w:rsid w:val="00290CF5"/>
    <w:rsid w:val="00290D0E"/>
    <w:rsid w:val="00290DA8"/>
    <w:rsid w:val="00290DB3"/>
    <w:rsid w:val="00290DF1"/>
    <w:rsid w:val="00290E25"/>
    <w:rsid w:val="00290E8B"/>
    <w:rsid w:val="00290EC3"/>
    <w:rsid w:val="00290F98"/>
    <w:rsid w:val="00291058"/>
    <w:rsid w:val="00291061"/>
    <w:rsid w:val="00291062"/>
    <w:rsid w:val="002910E4"/>
    <w:rsid w:val="00291124"/>
    <w:rsid w:val="002912F9"/>
    <w:rsid w:val="00291416"/>
    <w:rsid w:val="0029143D"/>
    <w:rsid w:val="00291493"/>
    <w:rsid w:val="002914C9"/>
    <w:rsid w:val="00291535"/>
    <w:rsid w:val="002915FB"/>
    <w:rsid w:val="0029160C"/>
    <w:rsid w:val="00291615"/>
    <w:rsid w:val="0029165D"/>
    <w:rsid w:val="00291677"/>
    <w:rsid w:val="002916C6"/>
    <w:rsid w:val="002917ED"/>
    <w:rsid w:val="00291946"/>
    <w:rsid w:val="0029194F"/>
    <w:rsid w:val="002919D2"/>
    <w:rsid w:val="00291A04"/>
    <w:rsid w:val="00291ABC"/>
    <w:rsid w:val="00291AFC"/>
    <w:rsid w:val="00291B1A"/>
    <w:rsid w:val="00291B6A"/>
    <w:rsid w:val="00291BCE"/>
    <w:rsid w:val="00291C18"/>
    <w:rsid w:val="00291C6C"/>
    <w:rsid w:val="00291CE0"/>
    <w:rsid w:val="00291D08"/>
    <w:rsid w:val="00291D1C"/>
    <w:rsid w:val="00291D6C"/>
    <w:rsid w:val="00291E7F"/>
    <w:rsid w:val="00291F0C"/>
    <w:rsid w:val="00291F18"/>
    <w:rsid w:val="00291F7D"/>
    <w:rsid w:val="00291FAA"/>
    <w:rsid w:val="0029214D"/>
    <w:rsid w:val="0029221A"/>
    <w:rsid w:val="00292255"/>
    <w:rsid w:val="002923DC"/>
    <w:rsid w:val="0029243C"/>
    <w:rsid w:val="00292493"/>
    <w:rsid w:val="0029253B"/>
    <w:rsid w:val="0029254F"/>
    <w:rsid w:val="002925EE"/>
    <w:rsid w:val="00292601"/>
    <w:rsid w:val="00292668"/>
    <w:rsid w:val="00292672"/>
    <w:rsid w:val="00292691"/>
    <w:rsid w:val="0029276E"/>
    <w:rsid w:val="0029281B"/>
    <w:rsid w:val="00292933"/>
    <w:rsid w:val="002929A3"/>
    <w:rsid w:val="002929E5"/>
    <w:rsid w:val="002929F5"/>
    <w:rsid w:val="00292A18"/>
    <w:rsid w:val="00292A38"/>
    <w:rsid w:val="00292A5D"/>
    <w:rsid w:val="00292A94"/>
    <w:rsid w:val="00292B28"/>
    <w:rsid w:val="00292B2A"/>
    <w:rsid w:val="00292B94"/>
    <w:rsid w:val="00292C1C"/>
    <w:rsid w:val="00292C49"/>
    <w:rsid w:val="00292C91"/>
    <w:rsid w:val="00292CB2"/>
    <w:rsid w:val="00292D0D"/>
    <w:rsid w:val="00292D61"/>
    <w:rsid w:val="00292D86"/>
    <w:rsid w:val="00292E1D"/>
    <w:rsid w:val="00292E5D"/>
    <w:rsid w:val="00292F7B"/>
    <w:rsid w:val="00292FCC"/>
    <w:rsid w:val="00293026"/>
    <w:rsid w:val="002930DA"/>
    <w:rsid w:val="002931A0"/>
    <w:rsid w:val="002931AA"/>
    <w:rsid w:val="00293237"/>
    <w:rsid w:val="002932B0"/>
    <w:rsid w:val="002932C8"/>
    <w:rsid w:val="00293317"/>
    <w:rsid w:val="00293398"/>
    <w:rsid w:val="00293421"/>
    <w:rsid w:val="00293425"/>
    <w:rsid w:val="0029342D"/>
    <w:rsid w:val="0029345C"/>
    <w:rsid w:val="0029349E"/>
    <w:rsid w:val="00293597"/>
    <w:rsid w:val="002935F6"/>
    <w:rsid w:val="00293615"/>
    <w:rsid w:val="0029368C"/>
    <w:rsid w:val="002936A7"/>
    <w:rsid w:val="002936CF"/>
    <w:rsid w:val="002936DD"/>
    <w:rsid w:val="00293701"/>
    <w:rsid w:val="0029370B"/>
    <w:rsid w:val="0029372E"/>
    <w:rsid w:val="00293898"/>
    <w:rsid w:val="002938D6"/>
    <w:rsid w:val="00293944"/>
    <w:rsid w:val="00293A05"/>
    <w:rsid w:val="00293A10"/>
    <w:rsid w:val="00293B2F"/>
    <w:rsid w:val="00293B92"/>
    <w:rsid w:val="00293C76"/>
    <w:rsid w:val="00293C87"/>
    <w:rsid w:val="00293CC5"/>
    <w:rsid w:val="00293DAF"/>
    <w:rsid w:val="00293E0B"/>
    <w:rsid w:val="00293E61"/>
    <w:rsid w:val="00293F7D"/>
    <w:rsid w:val="00293FF3"/>
    <w:rsid w:val="00294026"/>
    <w:rsid w:val="00294192"/>
    <w:rsid w:val="002941DD"/>
    <w:rsid w:val="00294289"/>
    <w:rsid w:val="00294325"/>
    <w:rsid w:val="00294576"/>
    <w:rsid w:val="0029459B"/>
    <w:rsid w:val="002945B2"/>
    <w:rsid w:val="00294601"/>
    <w:rsid w:val="00294890"/>
    <w:rsid w:val="002948C7"/>
    <w:rsid w:val="00294916"/>
    <w:rsid w:val="00294979"/>
    <w:rsid w:val="00294A6B"/>
    <w:rsid w:val="00294A94"/>
    <w:rsid w:val="00294AD0"/>
    <w:rsid w:val="00294B11"/>
    <w:rsid w:val="00294B7C"/>
    <w:rsid w:val="00294C4F"/>
    <w:rsid w:val="00294CB3"/>
    <w:rsid w:val="00294CEF"/>
    <w:rsid w:val="00294D35"/>
    <w:rsid w:val="00294D3B"/>
    <w:rsid w:val="00294D6A"/>
    <w:rsid w:val="00294D6D"/>
    <w:rsid w:val="00294D78"/>
    <w:rsid w:val="00294DB0"/>
    <w:rsid w:val="00294DB7"/>
    <w:rsid w:val="00294DF9"/>
    <w:rsid w:val="00294E44"/>
    <w:rsid w:val="00294EA4"/>
    <w:rsid w:val="00294EED"/>
    <w:rsid w:val="00294EFB"/>
    <w:rsid w:val="00294FF1"/>
    <w:rsid w:val="0029509D"/>
    <w:rsid w:val="00295136"/>
    <w:rsid w:val="0029515A"/>
    <w:rsid w:val="002951DD"/>
    <w:rsid w:val="002951E9"/>
    <w:rsid w:val="00295266"/>
    <w:rsid w:val="00295341"/>
    <w:rsid w:val="0029560D"/>
    <w:rsid w:val="00295655"/>
    <w:rsid w:val="0029567B"/>
    <w:rsid w:val="002956A0"/>
    <w:rsid w:val="00295739"/>
    <w:rsid w:val="002957AD"/>
    <w:rsid w:val="0029580C"/>
    <w:rsid w:val="0029582A"/>
    <w:rsid w:val="00295863"/>
    <w:rsid w:val="00295963"/>
    <w:rsid w:val="00295ACE"/>
    <w:rsid w:val="00295B47"/>
    <w:rsid w:val="00295B82"/>
    <w:rsid w:val="00295BB5"/>
    <w:rsid w:val="00295BFC"/>
    <w:rsid w:val="00295C09"/>
    <w:rsid w:val="00295C4B"/>
    <w:rsid w:val="00295C7D"/>
    <w:rsid w:val="00295CF4"/>
    <w:rsid w:val="00295D3C"/>
    <w:rsid w:val="00295D94"/>
    <w:rsid w:val="00295D9C"/>
    <w:rsid w:val="00295DC1"/>
    <w:rsid w:val="00295DF4"/>
    <w:rsid w:val="00295E65"/>
    <w:rsid w:val="00295F09"/>
    <w:rsid w:val="00295F46"/>
    <w:rsid w:val="00295F6A"/>
    <w:rsid w:val="00295F7E"/>
    <w:rsid w:val="00296005"/>
    <w:rsid w:val="00296008"/>
    <w:rsid w:val="00296076"/>
    <w:rsid w:val="002960C0"/>
    <w:rsid w:val="00296183"/>
    <w:rsid w:val="002961DA"/>
    <w:rsid w:val="0029627B"/>
    <w:rsid w:val="0029629E"/>
    <w:rsid w:val="002962B1"/>
    <w:rsid w:val="0029638C"/>
    <w:rsid w:val="0029644A"/>
    <w:rsid w:val="002964D8"/>
    <w:rsid w:val="002964E6"/>
    <w:rsid w:val="002965E0"/>
    <w:rsid w:val="0029662D"/>
    <w:rsid w:val="00296684"/>
    <w:rsid w:val="002966CE"/>
    <w:rsid w:val="00296705"/>
    <w:rsid w:val="0029677F"/>
    <w:rsid w:val="002967F4"/>
    <w:rsid w:val="0029680E"/>
    <w:rsid w:val="0029684D"/>
    <w:rsid w:val="00296895"/>
    <w:rsid w:val="002968F8"/>
    <w:rsid w:val="002969E9"/>
    <w:rsid w:val="00296AD5"/>
    <w:rsid w:val="00296AD9"/>
    <w:rsid w:val="00296B34"/>
    <w:rsid w:val="00296B3F"/>
    <w:rsid w:val="00296D07"/>
    <w:rsid w:val="00296D5C"/>
    <w:rsid w:val="00296DD4"/>
    <w:rsid w:val="00296DE0"/>
    <w:rsid w:val="00296F42"/>
    <w:rsid w:val="00296FA3"/>
    <w:rsid w:val="00297043"/>
    <w:rsid w:val="002970B7"/>
    <w:rsid w:val="002970BC"/>
    <w:rsid w:val="002970BE"/>
    <w:rsid w:val="00297137"/>
    <w:rsid w:val="002971F1"/>
    <w:rsid w:val="0029725E"/>
    <w:rsid w:val="002972BB"/>
    <w:rsid w:val="002972EE"/>
    <w:rsid w:val="0029732F"/>
    <w:rsid w:val="0029734A"/>
    <w:rsid w:val="0029736C"/>
    <w:rsid w:val="002974A5"/>
    <w:rsid w:val="002974B3"/>
    <w:rsid w:val="00297509"/>
    <w:rsid w:val="0029754F"/>
    <w:rsid w:val="0029755E"/>
    <w:rsid w:val="00297677"/>
    <w:rsid w:val="002976AD"/>
    <w:rsid w:val="002976D3"/>
    <w:rsid w:val="00297714"/>
    <w:rsid w:val="00297772"/>
    <w:rsid w:val="002977D8"/>
    <w:rsid w:val="002979FD"/>
    <w:rsid w:val="00297A8B"/>
    <w:rsid w:val="00297AA6"/>
    <w:rsid w:val="00297ACB"/>
    <w:rsid w:val="00297AF0"/>
    <w:rsid w:val="00297B9C"/>
    <w:rsid w:val="00297BAF"/>
    <w:rsid w:val="00297BC8"/>
    <w:rsid w:val="00297CD8"/>
    <w:rsid w:val="00297D05"/>
    <w:rsid w:val="00297E44"/>
    <w:rsid w:val="00297ED5"/>
    <w:rsid w:val="00297F55"/>
    <w:rsid w:val="00297F56"/>
    <w:rsid w:val="00297F8F"/>
    <w:rsid w:val="00297FD4"/>
    <w:rsid w:val="002A00B2"/>
    <w:rsid w:val="002A00EC"/>
    <w:rsid w:val="002A0114"/>
    <w:rsid w:val="002A0268"/>
    <w:rsid w:val="002A02B3"/>
    <w:rsid w:val="002A0329"/>
    <w:rsid w:val="002A034A"/>
    <w:rsid w:val="002A03A0"/>
    <w:rsid w:val="002A03C3"/>
    <w:rsid w:val="002A0423"/>
    <w:rsid w:val="002A04E2"/>
    <w:rsid w:val="002A0502"/>
    <w:rsid w:val="002A0639"/>
    <w:rsid w:val="002A0741"/>
    <w:rsid w:val="002A07C5"/>
    <w:rsid w:val="002A0872"/>
    <w:rsid w:val="002A08C3"/>
    <w:rsid w:val="002A09BE"/>
    <w:rsid w:val="002A09F0"/>
    <w:rsid w:val="002A0A0E"/>
    <w:rsid w:val="002A0AB6"/>
    <w:rsid w:val="002A0B3E"/>
    <w:rsid w:val="002A0B43"/>
    <w:rsid w:val="002A0B4A"/>
    <w:rsid w:val="002A0B67"/>
    <w:rsid w:val="002A0BF9"/>
    <w:rsid w:val="002A0C30"/>
    <w:rsid w:val="002A0C55"/>
    <w:rsid w:val="002A0CC2"/>
    <w:rsid w:val="002A0D1C"/>
    <w:rsid w:val="002A0F4B"/>
    <w:rsid w:val="002A1035"/>
    <w:rsid w:val="002A103C"/>
    <w:rsid w:val="002A107B"/>
    <w:rsid w:val="002A107E"/>
    <w:rsid w:val="002A10B4"/>
    <w:rsid w:val="002A10D6"/>
    <w:rsid w:val="002A11F9"/>
    <w:rsid w:val="002A12A1"/>
    <w:rsid w:val="002A12FA"/>
    <w:rsid w:val="002A137F"/>
    <w:rsid w:val="002A141E"/>
    <w:rsid w:val="002A1456"/>
    <w:rsid w:val="002A14F6"/>
    <w:rsid w:val="002A1513"/>
    <w:rsid w:val="002A153E"/>
    <w:rsid w:val="002A17A9"/>
    <w:rsid w:val="002A17D3"/>
    <w:rsid w:val="002A1897"/>
    <w:rsid w:val="002A191B"/>
    <w:rsid w:val="002A1927"/>
    <w:rsid w:val="002A192F"/>
    <w:rsid w:val="002A1982"/>
    <w:rsid w:val="002A1999"/>
    <w:rsid w:val="002A1A38"/>
    <w:rsid w:val="002A1A3C"/>
    <w:rsid w:val="002A1A79"/>
    <w:rsid w:val="002A1AF3"/>
    <w:rsid w:val="002A1B44"/>
    <w:rsid w:val="002A1C6D"/>
    <w:rsid w:val="002A1D64"/>
    <w:rsid w:val="002A1E18"/>
    <w:rsid w:val="002A1E20"/>
    <w:rsid w:val="002A1E59"/>
    <w:rsid w:val="002A1F35"/>
    <w:rsid w:val="002A1F8C"/>
    <w:rsid w:val="002A204C"/>
    <w:rsid w:val="002A2085"/>
    <w:rsid w:val="002A2395"/>
    <w:rsid w:val="002A245E"/>
    <w:rsid w:val="002A2596"/>
    <w:rsid w:val="002A25DE"/>
    <w:rsid w:val="002A264C"/>
    <w:rsid w:val="002A2736"/>
    <w:rsid w:val="002A2769"/>
    <w:rsid w:val="002A284F"/>
    <w:rsid w:val="002A2863"/>
    <w:rsid w:val="002A2866"/>
    <w:rsid w:val="002A2873"/>
    <w:rsid w:val="002A28F9"/>
    <w:rsid w:val="002A290E"/>
    <w:rsid w:val="002A29A6"/>
    <w:rsid w:val="002A2A26"/>
    <w:rsid w:val="002A2A53"/>
    <w:rsid w:val="002A2B67"/>
    <w:rsid w:val="002A2B85"/>
    <w:rsid w:val="002A2BC8"/>
    <w:rsid w:val="002A2BEA"/>
    <w:rsid w:val="002A2CB4"/>
    <w:rsid w:val="002A2CBC"/>
    <w:rsid w:val="002A2CE7"/>
    <w:rsid w:val="002A2E42"/>
    <w:rsid w:val="002A2ECC"/>
    <w:rsid w:val="002A2F24"/>
    <w:rsid w:val="002A2F93"/>
    <w:rsid w:val="002A3044"/>
    <w:rsid w:val="002A305D"/>
    <w:rsid w:val="002A306C"/>
    <w:rsid w:val="002A30A8"/>
    <w:rsid w:val="002A30C9"/>
    <w:rsid w:val="002A3104"/>
    <w:rsid w:val="002A313A"/>
    <w:rsid w:val="002A3166"/>
    <w:rsid w:val="002A31EB"/>
    <w:rsid w:val="002A3218"/>
    <w:rsid w:val="002A3260"/>
    <w:rsid w:val="002A3262"/>
    <w:rsid w:val="002A32D7"/>
    <w:rsid w:val="002A3476"/>
    <w:rsid w:val="002A349B"/>
    <w:rsid w:val="002A34FE"/>
    <w:rsid w:val="002A3570"/>
    <w:rsid w:val="002A35A9"/>
    <w:rsid w:val="002A3735"/>
    <w:rsid w:val="002A37F8"/>
    <w:rsid w:val="002A3813"/>
    <w:rsid w:val="002A3877"/>
    <w:rsid w:val="002A388A"/>
    <w:rsid w:val="002A38E5"/>
    <w:rsid w:val="002A390C"/>
    <w:rsid w:val="002A3929"/>
    <w:rsid w:val="002A393F"/>
    <w:rsid w:val="002A396F"/>
    <w:rsid w:val="002A3C63"/>
    <w:rsid w:val="002A3C7B"/>
    <w:rsid w:val="002A3D55"/>
    <w:rsid w:val="002A3D69"/>
    <w:rsid w:val="002A3DF3"/>
    <w:rsid w:val="002A3F7D"/>
    <w:rsid w:val="002A3FB8"/>
    <w:rsid w:val="002A40F4"/>
    <w:rsid w:val="002A40FC"/>
    <w:rsid w:val="002A4133"/>
    <w:rsid w:val="002A4147"/>
    <w:rsid w:val="002A41BE"/>
    <w:rsid w:val="002A4263"/>
    <w:rsid w:val="002A42B4"/>
    <w:rsid w:val="002A4303"/>
    <w:rsid w:val="002A4381"/>
    <w:rsid w:val="002A4459"/>
    <w:rsid w:val="002A4499"/>
    <w:rsid w:val="002A45DD"/>
    <w:rsid w:val="002A4605"/>
    <w:rsid w:val="002A4642"/>
    <w:rsid w:val="002A468C"/>
    <w:rsid w:val="002A4713"/>
    <w:rsid w:val="002A47F0"/>
    <w:rsid w:val="002A47F1"/>
    <w:rsid w:val="002A4861"/>
    <w:rsid w:val="002A48B4"/>
    <w:rsid w:val="002A4908"/>
    <w:rsid w:val="002A4964"/>
    <w:rsid w:val="002A496F"/>
    <w:rsid w:val="002A4A1E"/>
    <w:rsid w:val="002A4A56"/>
    <w:rsid w:val="002A4ADF"/>
    <w:rsid w:val="002A4B41"/>
    <w:rsid w:val="002A4B4D"/>
    <w:rsid w:val="002A4BDB"/>
    <w:rsid w:val="002A4BF6"/>
    <w:rsid w:val="002A4C8F"/>
    <w:rsid w:val="002A4D21"/>
    <w:rsid w:val="002A4D94"/>
    <w:rsid w:val="002A4DB7"/>
    <w:rsid w:val="002A4EB4"/>
    <w:rsid w:val="002A4EFE"/>
    <w:rsid w:val="002A4F5B"/>
    <w:rsid w:val="002A5078"/>
    <w:rsid w:val="002A5082"/>
    <w:rsid w:val="002A51B7"/>
    <w:rsid w:val="002A5249"/>
    <w:rsid w:val="002A526C"/>
    <w:rsid w:val="002A528B"/>
    <w:rsid w:val="002A52D1"/>
    <w:rsid w:val="002A5325"/>
    <w:rsid w:val="002A54AE"/>
    <w:rsid w:val="002A54D7"/>
    <w:rsid w:val="002A54EE"/>
    <w:rsid w:val="002A5555"/>
    <w:rsid w:val="002A555A"/>
    <w:rsid w:val="002A55B3"/>
    <w:rsid w:val="002A5617"/>
    <w:rsid w:val="002A563F"/>
    <w:rsid w:val="002A5701"/>
    <w:rsid w:val="002A579C"/>
    <w:rsid w:val="002A57C7"/>
    <w:rsid w:val="002A58A6"/>
    <w:rsid w:val="002A58AD"/>
    <w:rsid w:val="002A58C3"/>
    <w:rsid w:val="002A58CC"/>
    <w:rsid w:val="002A592A"/>
    <w:rsid w:val="002A5992"/>
    <w:rsid w:val="002A5A22"/>
    <w:rsid w:val="002A5B09"/>
    <w:rsid w:val="002A5B13"/>
    <w:rsid w:val="002A5B21"/>
    <w:rsid w:val="002A5B9C"/>
    <w:rsid w:val="002A5CA7"/>
    <w:rsid w:val="002A5CFB"/>
    <w:rsid w:val="002A5D0E"/>
    <w:rsid w:val="002A5D15"/>
    <w:rsid w:val="002A5D16"/>
    <w:rsid w:val="002A5D99"/>
    <w:rsid w:val="002A5DA8"/>
    <w:rsid w:val="002A5DF3"/>
    <w:rsid w:val="002A5E50"/>
    <w:rsid w:val="002A5EBC"/>
    <w:rsid w:val="002A5F0D"/>
    <w:rsid w:val="002A5F31"/>
    <w:rsid w:val="002A5F71"/>
    <w:rsid w:val="002A600F"/>
    <w:rsid w:val="002A604A"/>
    <w:rsid w:val="002A607F"/>
    <w:rsid w:val="002A6099"/>
    <w:rsid w:val="002A60D1"/>
    <w:rsid w:val="002A60EA"/>
    <w:rsid w:val="002A61DA"/>
    <w:rsid w:val="002A62A9"/>
    <w:rsid w:val="002A632C"/>
    <w:rsid w:val="002A6338"/>
    <w:rsid w:val="002A6495"/>
    <w:rsid w:val="002A655A"/>
    <w:rsid w:val="002A65C6"/>
    <w:rsid w:val="002A6677"/>
    <w:rsid w:val="002A6699"/>
    <w:rsid w:val="002A6795"/>
    <w:rsid w:val="002A67C5"/>
    <w:rsid w:val="002A681F"/>
    <w:rsid w:val="002A694E"/>
    <w:rsid w:val="002A695A"/>
    <w:rsid w:val="002A6971"/>
    <w:rsid w:val="002A69E7"/>
    <w:rsid w:val="002A6A03"/>
    <w:rsid w:val="002A6A38"/>
    <w:rsid w:val="002A6A96"/>
    <w:rsid w:val="002A6BB5"/>
    <w:rsid w:val="002A6C15"/>
    <w:rsid w:val="002A6C36"/>
    <w:rsid w:val="002A6C73"/>
    <w:rsid w:val="002A6C91"/>
    <w:rsid w:val="002A6D3E"/>
    <w:rsid w:val="002A6DA0"/>
    <w:rsid w:val="002A6E01"/>
    <w:rsid w:val="002A6E35"/>
    <w:rsid w:val="002A6FC3"/>
    <w:rsid w:val="002A709D"/>
    <w:rsid w:val="002A7167"/>
    <w:rsid w:val="002A7247"/>
    <w:rsid w:val="002A73CE"/>
    <w:rsid w:val="002A7444"/>
    <w:rsid w:val="002A749A"/>
    <w:rsid w:val="002A74B8"/>
    <w:rsid w:val="002A756F"/>
    <w:rsid w:val="002A75D6"/>
    <w:rsid w:val="002A75D7"/>
    <w:rsid w:val="002A75FC"/>
    <w:rsid w:val="002A7620"/>
    <w:rsid w:val="002A7694"/>
    <w:rsid w:val="002A76BE"/>
    <w:rsid w:val="002A7790"/>
    <w:rsid w:val="002A782B"/>
    <w:rsid w:val="002A786F"/>
    <w:rsid w:val="002A7899"/>
    <w:rsid w:val="002A7974"/>
    <w:rsid w:val="002A7995"/>
    <w:rsid w:val="002A7A10"/>
    <w:rsid w:val="002A7A33"/>
    <w:rsid w:val="002A7AAC"/>
    <w:rsid w:val="002A7B6A"/>
    <w:rsid w:val="002A7BDB"/>
    <w:rsid w:val="002A7C7F"/>
    <w:rsid w:val="002A7C8C"/>
    <w:rsid w:val="002A7C98"/>
    <w:rsid w:val="002A7D38"/>
    <w:rsid w:val="002A7D3A"/>
    <w:rsid w:val="002A7DB0"/>
    <w:rsid w:val="002A7DF9"/>
    <w:rsid w:val="002A7E0F"/>
    <w:rsid w:val="002A7E77"/>
    <w:rsid w:val="002A7E89"/>
    <w:rsid w:val="002A7ECA"/>
    <w:rsid w:val="002A7F02"/>
    <w:rsid w:val="002A7F3D"/>
    <w:rsid w:val="002A7FEA"/>
    <w:rsid w:val="002B0039"/>
    <w:rsid w:val="002B0111"/>
    <w:rsid w:val="002B0192"/>
    <w:rsid w:val="002B01C9"/>
    <w:rsid w:val="002B01F2"/>
    <w:rsid w:val="002B0306"/>
    <w:rsid w:val="002B0327"/>
    <w:rsid w:val="002B03AE"/>
    <w:rsid w:val="002B0467"/>
    <w:rsid w:val="002B0486"/>
    <w:rsid w:val="002B053F"/>
    <w:rsid w:val="002B0598"/>
    <w:rsid w:val="002B05A3"/>
    <w:rsid w:val="002B05B2"/>
    <w:rsid w:val="002B068F"/>
    <w:rsid w:val="002B06D0"/>
    <w:rsid w:val="002B0893"/>
    <w:rsid w:val="002B0957"/>
    <w:rsid w:val="002B09A9"/>
    <w:rsid w:val="002B0A07"/>
    <w:rsid w:val="002B0B0A"/>
    <w:rsid w:val="002B0C35"/>
    <w:rsid w:val="002B0C70"/>
    <w:rsid w:val="002B0D0B"/>
    <w:rsid w:val="002B0D36"/>
    <w:rsid w:val="002B0E50"/>
    <w:rsid w:val="002B0E65"/>
    <w:rsid w:val="002B1095"/>
    <w:rsid w:val="002B10A6"/>
    <w:rsid w:val="002B1113"/>
    <w:rsid w:val="002B1211"/>
    <w:rsid w:val="002B1259"/>
    <w:rsid w:val="002B12EF"/>
    <w:rsid w:val="002B1355"/>
    <w:rsid w:val="002B135E"/>
    <w:rsid w:val="002B13C1"/>
    <w:rsid w:val="002B13E4"/>
    <w:rsid w:val="002B13F6"/>
    <w:rsid w:val="002B144E"/>
    <w:rsid w:val="002B14B4"/>
    <w:rsid w:val="002B14E6"/>
    <w:rsid w:val="002B154C"/>
    <w:rsid w:val="002B155D"/>
    <w:rsid w:val="002B156B"/>
    <w:rsid w:val="002B1598"/>
    <w:rsid w:val="002B15C4"/>
    <w:rsid w:val="002B15F2"/>
    <w:rsid w:val="002B1621"/>
    <w:rsid w:val="002B1650"/>
    <w:rsid w:val="002B1730"/>
    <w:rsid w:val="002B173F"/>
    <w:rsid w:val="002B1753"/>
    <w:rsid w:val="002B17DF"/>
    <w:rsid w:val="002B181F"/>
    <w:rsid w:val="002B1829"/>
    <w:rsid w:val="002B1853"/>
    <w:rsid w:val="002B1903"/>
    <w:rsid w:val="002B1935"/>
    <w:rsid w:val="002B1962"/>
    <w:rsid w:val="002B1A00"/>
    <w:rsid w:val="002B1A19"/>
    <w:rsid w:val="002B1A6F"/>
    <w:rsid w:val="002B1B89"/>
    <w:rsid w:val="002B1C2B"/>
    <w:rsid w:val="002B1C51"/>
    <w:rsid w:val="002B1C59"/>
    <w:rsid w:val="002B1DC3"/>
    <w:rsid w:val="002B1E33"/>
    <w:rsid w:val="002B1E43"/>
    <w:rsid w:val="002B1EB6"/>
    <w:rsid w:val="002B1ECA"/>
    <w:rsid w:val="002B2087"/>
    <w:rsid w:val="002B20DD"/>
    <w:rsid w:val="002B210B"/>
    <w:rsid w:val="002B2182"/>
    <w:rsid w:val="002B229A"/>
    <w:rsid w:val="002B22D1"/>
    <w:rsid w:val="002B22F6"/>
    <w:rsid w:val="002B2339"/>
    <w:rsid w:val="002B2387"/>
    <w:rsid w:val="002B2410"/>
    <w:rsid w:val="002B2614"/>
    <w:rsid w:val="002B266A"/>
    <w:rsid w:val="002B26E7"/>
    <w:rsid w:val="002B2718"/>
    <w:rsid w:val="002B273A"/>
    <w:rsid w:val="002B2776"/>
    <w:rsid w:val="002B2786"/>
    <w:rsid w:val="002B283A"/>
    <w:rsid w:val="002B283C"/>
    <w:rsid w:val="002B295A"/>
    <w:rsid w:val="002B29F6"/>
    <w:rsid w:val="002B2A76"/>
    <w:rsid w:val="002B2A8A"/>
    <w:rsid w:val="002B2A91"/>
    <w:rsid w:val="002B2B49"/>
    <w:rsid w:val="002B2B75"/>
    <w:rsid w:val="002B2BAF"/>
    <w:rsid w:val="002B2BC7"/>
    <w:rsid w:val="002B2BF4"/>
    <w:rsid w:val="002B2C3D"/>
    <w:rsid w:val="002B2C8B"/>
    <w:rsid w:val="002B2CAA"/>
    <w:rsid w:val="002B2CC7"/>
    <w:rsid w:val="002B2D0C"/>
    <w:rsid w:val="002B2D87"/>
    <w:rsid w:val="002B2DF1"/>
    <w:rsid w:val="002B2E2E"/>
    <w:rsid w:val="002B2E99"/>
    <w:rsid w:val="002B2F14"/>
    <w:rsid w:val="002B2F5A"/>
    <w:rsid w:val="002B2FA8"/>
    <w:rsid w:val="002B3000"/>
    <w:rsid w:val="002B3104"/>
    <w:rsid w:val="002B311B"/>
    <w:rsid w:val="002B31D4"/>
    <w:rsid w:val="002B32AD"/>
    <w:rsid w:val="002B32C8"/>
    <w:rsid w:val="002B32FF"/>
    <w:rsid w:val="002B3305"/>
    <w:rsid w:val="002B3356"/>
    <w:rsid w:val="002B33BF"/>
    <w:rsid w:val="002B3463"/>
    <w:rsid w:val="002B3473"/>
    <w:rsid w:val="002B34DD"/>
    <w:rsid w:val="002B3546"/>
    <w:rsid w:val="002B35FB"/>
    <w:rsid w:val="002B3674"/>
    <w:rsid w:val="002B3782"/>
    <w:rsid w:val="002B3807"/>
    <w:rsid w:val="002B38CC"/>
    <w:rsid w:val="002B38F2"/>
    <w:rsid w:val="002B390D"/>
    <w:rsid w:val="002B3938"/>
    <w:rsid w:val="002B3960"/>
    <w:rsid w:val="002B3987"/>
    <w:rsid w:val="002B399E"/>
    <w:rsid w:val="002B3AB1"/>
    <w:rsid w:val="002B3B62"/>
    <w:rsid w:val="002B3B90"/>
    <w:rsid w:val="002B3BF6"/>
    <w:rsid w:val="002B3CC6"/>
    <w:rsid w:val="002B3CF8"/>
    <w:rsid w:val="002B3D0B"/>
    <w:rsid w:val="002B3D19"/>
    <w:rsid w:val="002B3DAC"/>
    <w:rsid w:val="002B3E3E"/>
    <w:rsid w:val="002B3E99"/>
    <w:rsid w:val="002B3EA4"/>
    <w:rsid w:val="002B3EB8"/>
    <w:rsid w:val="002B3F45"/>
    <w:rsid w:val="002B4027"/>
    <w:rsid w:val="002B4038"/>
    <w:rsid w:val="002B4177"/>
    <w:rsid w:val="002B4323"/>
    <w:rsid w:val="002B4458"/>
    <w:rsid w:val="002B44BE"/>
    <w:rsid w:val="002B44BF"/>
    <w:rsid w:val="002B44DD"/>
    <w:rsid w:val="002B4536"/>
    <w:rsid w:val="002B457A"/>
    <w:rsid w:val="002B46C8"/>
    <w:rsid w:val="002B4821"/>
    <w:rsid w:val="002B4881"/>
    <w:rsid w:val="002B4889"/>
    <w:rsid w:val="002B48B5"/>
    <w:rsid w:val="002B48D5"/>
    <w:rsid w:val="002B4965"/>
    <w:rsid w:val="002B498A"/>
    <w:rsid w:val="002B49BE"/>
    <w:rsid w:val="002B4A3E"/>
    <w:rsid w:val="002B4A49"/>
    <w:rsid w:val="002B4A6F"/>
    <w:rsid w:val="002B4B25"/>
    <w:rsid w:val="002B4C42"/>
    <w:rsid w:val="002B4D9E"/>
    <w:rsid w:val="002B4DD0"/>
    <w:rsid w:val="002B4E60"/>
    <w:rsid w:val="002B4ECD"/>
    <w:rsid w:val="002B4EE7"/>
    <w:rsid w:val="002B4F0A"/>
    <w:rsid w:val="002B4F4E"/>
    <w:rsid w:val="002B4F5C"/>
    <w:rsid w:val="002B5057"/>
    <w:rsid w:val="002B5066"/>
    <w:rsid w:val="002B5087"/>
    <w:rsid w:val="002B5132"/>
    <w:rsid w:val="002B517C"/>
    <w:rsid w:val="002B51DE"/>
    <w:rsid w:val="002B5206"/>
    <w:rsid w:val="002B524E"/>
    <w:rsid w:val="002B5289"/>
    <w:rsid w:val="002B5335"/>
    <w:rsid w:val="002B534F"/>
    <w:rsid w:val="002B5357"/>
    <w:rsid w:val="002B548F"/>
    <w:rsid w:val="002B54A4"/>
    <w:rsid w:val="002B550A"/>
    <w:rsid w:val="002B5533"/>
    <w:rsid w:val="002B5545"/>
    <w:rsid w:val="002B564C"/>
    <w:rsid w:val="002B56BD"/>
    <w:rsid w:val="002B571B"/>
    <w:rsid w:val="002B57A5"/>
    <w:rsid w:val="002B57E1"/>
    <w:rsid w:val="002B582A"/>
    <w:rsid w:val="002B5852"/>
    <w:rsid w:val="002B5919"/>
    <w:rsid w:val="002B5971"/>
    <w:rsid w:val="002B5987"/>
    <w:rsid w:val="002B59A9"/>
    <w:rsid w:val="002B5A11"/>
    <w:rsid w:val="002B5A18"/>
    <w:rsid w:val="002B5A32"/>
    <w:rsid w:val="002B5A71"/>
    <w:rsid w:val="002B5C10"/>
    <w:rsid w:val="002B5C4C"/>
    <w:rsid w:val="002B5CBF"/>
    <w:rsid w:val="002B5CD8"/>
    <w:rsid w:val="002B5DA6"/>
    <w:rsid w:val="002B5E41"/>
    <w:rsid w:val="002B5E78"/>
    <w:rsid w:val="002B5EA0"/>
    <w:rsid w:val="002B5F2C"/>
    <w:rsid w:val="002B5FA2"/>
    <w:rsid w:val="002B5FA4"/>
    <w:rsid w:val="002B6091"/>
    <w:rsid w:val="002B6111"/>
    <w:rsid w:val="002B6131"/>
    <w:rsid w:val="002B6166"/>
    <w:rsid w:val="002B6202"/>
    <w:rsid w:val="002B629A"/>
    <w:rsid w:val="002B62C3"/>
    <w:rsid w:val="002B62DA"/>
    <w:rsid w:val="002B6314"/>
    <w:rsid w:val="002B6380"/>
    <w:rsid w:val="002B63AA"/>
    <w:rsid w:val="002B641D"/>
    <w:rsid w:val="002B6436"/>
    <w:rsid w:val="002B643D"/>
    <w:rsid w:val="002B643F"/>
    <w:rsid w:val="002B6478"/>
    <w:rsid w:val="002B64AE"/>
    <w:rsid w:val="002B667F"/>
    <w:rsid w:val="002B66E7"/>
    <w:rsid w:val="002B66F1"/>
    <w:rsid w:val="002B686F"/>
    <w:rsid w:val="002B68F1"/>
    <w:rsid w:val="002B69E4"/>
    <w:rsid w:val="002B6AAE"/>
    <w:rsid w:val="002B6AC4"/>
    <w:rsid w:val="002B6B1D"/>
    <w:rsid w:val="002B6B36"/>
    <w:rsid w:val="002B6B89"/>
    <w:rsid w:val="002B6C36"/>
    <w:rsid w:val="002B6C54"/>
    <w:rsid w:val="002B6CBA"/>
    <w:rsid w:val="002B6CE4"/>
    <w:rsid w:val="002B6D92"/>
    <w:rsid w:val="002B6DEB"/>
    <w:rsid w:val="002B6E5D"/>
    <w:rsid w:val="002B6E91"/>
    <w:rsid w:val="002B6F00"/>
    <w:rsid w:val="002B6F57"/>
    <w:rsid w:val="002B6F7F"/>
    <w:rsid w:val="002B6FA2"/>
    <w:rsid w:val="002B7074"/>
    <w:rsid w:val="002B707A"/>
    <w:rsid w:val="002B70F5"/>
    <w:rsid w:val="002B711F"/>
    <w:rsid w:val="002B713B"/>
    <w:rsid w:val="002B716D"/>
    <w:rsid w:val="002B71B8"/>
    <w:rsid w:val="002B7278"/>
    <w:rsid w:val="002B72E2"/>
    <w:rsid w:val="002B7425"/>
    <w:rsid w:val="002B757D"/>
    <w:rsid w:val="002B757F"/>
    <w:rsid w:val="002B758F"/>
    <w:rsid w:val="002B75A9"/>
    <w:rsid w:val="002B75D1"/>
    <w:rsid w:val="002B75D7"/>
    <w:rsid w:val="002B75DC"/>
    <w:rsid w:val="002B760C"/>
    <w:rsid w:val="002B7685"/>
    <w:rsid w:val="002B76D1"/>
    <w:rsid w:val="002B7758"/>
    <w:rsid w:val="002B775C"/>
    <w:rsid w:val="002B7765"/>
    <w:rsid w:val="002B77BF"/>
    <w:rsid w:val="002B783F"/>
    <w:rsid w:val="002B785F"/>
    <w:rsid w:val="002B7A11"/>
    <w:rsid w:val="002B7AA0"/>
    <w:rsid w:val="002B7B93"/>
    <w:rsid w:val="002B7B98"/>
    <w:rsid w:val="002B7BFF"/>
    <w:rsid w:val="002B7E30"/>
    <w:rsid w:val="002B7E60"/>
    <w:rsid w:val="002B7E79"/>
    <w:rsid w:val="002B7FAD"/>
    <w:rsid w:val="002B7FC9"/>
    <w:rsid w:val="002B7FF7"/>
    <w:rsid w:val="002BE071"/>
    <w:rsid w:val="002C005D"/>
    <w:rsid w:val="002C008D"/>
    <w:rsid w:val="002C0122"/>
    <w:rsid w:val="002C0334"/>
    <w:rsid w:val="002C0376"/>
    <w:rsid w:val="002C0422"/>
    <w:rsid w:val="002C042A"/>
    <w:rsid w:val="002C05A8"/>
    <w:rsid w:val="002C0611"/>
    <w:rsid w:val="002C0613"/>
    <w:rsid w:val="002C0670"/>
    <w:rsid w:val="002C06C4"/>
    <w:rsid w:val="002C06DD"/>
    <w:rsid w:val="002C0708"/>
    <w:rsid w:val="002C07A5"/>
    <w:rsid w:val="002C07BF"/>
    <w:rsid w:val="002C08AD"/>
    <w:rsid w:val="002C090A"/>
    <w:rsid w:val="002C090E"/>
    <w:rsid w:val="002C0A68"/>
    <w:rsid w:val="002C0AEF"/>
    <w:rsid w:val="002C0B3F"/>
    <w:rsid w:val="002C0BE1"/>
    <w:rsid w:val="002C0D01"/>
    <w:rsid w:val="002C0D0A"/>
    <w:rsid w:val="002C0E49"/>
    <w:rsid w:val="002C0ECF"/>
    <w:rsid w:val="002C0F8E"/>
    <w:rsid w:val="002C1082"/>
    <w:rsid w:val="002C1109"/>
    <w:rsid w:val="002C11A6"/>
    <w:rsid w:val="002C12A0"/>
    <w:rsid w:val="002C12CF"/>
    <w:rsid w:val="002C12D8"/>
    <w:rsid w:val="002C12FA"/>
    <w:rsid w:val="002C13DB"/>
    <w:rsid w:val="002C1532"/>
    <w:rsid w:val="002C1559"/>
    <w:rsid w:val="002C15AC"/>
    <w:rsid w:val="002C1699"/>
    <w:rsid w:val="002C1712"/>
    <w:rsid w:val="002C1744"/>
    <w:rsid w:val="002C1789"/>
    <w:rsid w:val="002C17CB"/>
    <w:rsid w:val="002C185C"/>
    <w:rsid w:val="002C1988"/>
    <w:rsid w:val="002C1AB9"/>
    <w:rsid w:val="002C1AD2"/>
    <w:rsid w:val="002C1B11"/>
    <w:rsid w:val="002C1BDE"/>
    <w:rsid w:val="002C1BFB"/>
    <w:rsid w:val="002C1C4A"/>
    <w:rsid w:val="002C1D37"/>
    <w:rsid w:val="002C1D6D"/>
    <w:rsid w:val="002C1DAC"/>
    <w:rsid w:val="002C1DCE"/>
    <w:rsid w:val="002C1EA7"/>
    <w:rsid w:val="002C1EE9"/>
    <w:rsid w:val="002C1F4C"/>
    <w:rsid w:val="002C200F"/>
    <w:rsid w:val="002C208C"/>
    <w:rsid w:val="002C209A"/>
    <w:rsid w:val="002C211A"/>
    <w:rsid w:val="002C2148"/>
    <w:rsid w:val="002C2153"/>
    <w:rsid w:val="002C2226"/>
    <w:rsid w:val="002C223D"/>
    <w:rsid w:val="002C22CD"/>
    <w:rsid w:val="002C2428"/>
    <w:rsid w:val="002C24A9"/>
    <w:rsid w:val="002C25AC"/>
    <w:rsid w:val="002C2620"/>
    <w:rsid w:val="002C263B"/>
    <w:rsid w:val="002C2642"/>
    <w:rsid w:val="002C2682"/>
    <w:rsid w:val="002C2687"/>
    <w:rsid w:val="002C269E"/>
    <w:rsid w:val="002C26CE"/>
    <w:rsid w:val="002C272D"/>
    <w:rsid w:val="002C2787"/>
    <w:rsid w:val="002C2793"/>
    <w:rsid w:val="002C2806"/>
    <w:rsid w:val="002C280E"/>
    <w:rsid w:val="002C2882"/>
    <w:rsid w:val="002C28D0"/>
    <w:rsid w:val="002C2944"/>
    <w:rsid w:val="002C2958"/>
    <w:rsid w:val="002C296E"/>
    <w:rsid w:val="002C2976"/>
    <w:rsid w:val="002C29DF"/>
    <w:rsid w:val="002C2A10"/>
    <w:rsid w:val="002C2A89"/>
    <w:rsid w:val="002C2A98"/>
    <w:rsid w:val="002C2AAA"/>
    <w:rsid w:val="002C2AD2"/>
    <w:rsid w:val="002C2AD5"/>
    <w:rsid w:val="002C2B08"/>
    <w:rsid w:val="002C2B0C"/>
    <w:rsid w:val="002C2C11"/>
    <w:rsid w:val="002C2E15"/>
    <w:rsid w:val="002C2E82"/>
    <w:rsid w:val="002C2F11"/>
    <w:rsid w:val="002C2F86"/>
    <w:rsid w:val="002C2FA5"/>
    <w:rsid w:val="002C2FAC"/>
    <w:rsid w:val="002C3003"/>
    <w:rsid w:val="002C300D"/>
    <w:rsid w:val="002C30D7"/>
    <w:rsid w:val="002C317D"/>
    <w:rsid w:val="002C31B2"/>
    <w:rsid w:val="002C323F"/>
    <w:rsid w:val="002C33CD"/>
    <w:rsid w:val="002C348C"/>
    <w:rsid w:val="002C34BF"/>
    <w:rsid w:val="002C34DE"/>
    <w:rsid w:val="002C350E"/>
    <w:rsid w:val="002C363D"/>
    <w:rsid w:val="002C3657"/>
    <w:rsid w:val="002C372F"/>
    <w:rsid w:val="002C3750"/>
    <w:rsid w:val="002C37AD"/>
    <w:rsid w:val="002C37B3"/>
    <w:rsid w:val="002C38CF"/>
    <w:rsid w:val="002C39E6"/>
    <w:rsid w:val="002C3A9C"/>
    <w:rsid w:val="002C3ACC"/>
    <w:rsid w:val="002C3B6B"/>
    <w:rsid w:val="002C3BD6"/>
    <w:rsid w:val="002C3C2A"/>
    <w:rsid w:val="002C3C40"/>
    <w:rsid w:val="002C3C4B"/>
    <w:rsid w:val="002C3CA4"/>
    <w:rsid w:val="002C3CD2"/>
    <w:rsid w:val="002C3CED"/>
    <w:rsid w:val="002C3CFD"/>
    <w:rsid w:val="002C3D50"/>
    <w:rsid w:val="002C3DAA"/>
    <w:rsid w:val="002C407E"/>
    <w:rsid w:val="002C40EF"/>
    <w:rsid w:val="002C415C"/>
    <w:rsid w:val="002C4172"/>
    <w:rsid w:val="002C41B3"/>
    <w:rsid w:val="002C41BC"/>
    <w:rsid w:val="002C4276"/>
    <w:rsid w:val="002C42D6"/>
    <w:rsid w:val="002C43C7"/>
    <w:rsid w:val="002C4517"/>
    <w:rsid w:val="002C45A1"/>
    <w:rsid w:val="002C45A8"/>
    <w:rsid w:val="002C45DE"/>
    <w:rsid w:val="002C460D"/>
    <w:rsid w:val="002C468F"/>
    <w:rsid w:val="002C48CB"/>
    <w:rsid w:val="002C4906"/>
    <w:rsid w:val="002C49F6"/>
    <w:rsid w:val="002C4AD6"/>
    <w:rsid w:val="002C4B07"/>
    <w:rsid w:val="002C4B52"/>
    <w:rsid w:val="002C4B5A"/>
    <w:rsid w:val="002C4B9C"/>
    <w:rsid w:val="002C4C0E"/>
    <w:rsid w:val="002C4C4D"/>
    <w:rsid w:val="002C4C6A"/>
    <w:rsid w:val="002C4CC8"/>
    <w:rsid w:val="002C4D98"/>
    <w:rsid w:val="002C4DF4"/>
    <w:rsid w:val="002C4E1E"/>
    <w:rsid w:val="002C4E22"/>
    <w:rsid w:val="002C4F2C"/>
    <w:rsid w:val="002C4F34"/>
    <w:rsid w:val="002C4F4F"/>
    <w:rsid w:val="002C4FE0"/>
    <w:rsid w:val="002C5158"/>
    <w:rsid w:val="002C517F"/>
    <w:rsid w:val="002C5207"/>
    <w:rsid w:val="002C524C"/>
    <w:rsid w:val="002C531B"/>
    <w:rsid w:val="002C533D"/>
    <w:rsid w:val="002C5387"/>
    <w:rsid w:val="002C53A4"/>
    <w:rsid w:val="002C5492"/>
    <w:rsid w:val="002C54D4"/>
    <w:rsid w:val="002C54FF"/>
    <w:rsid w:val="002C5573"/>
    <w:rsid w:val="002C5634"/>
    <w:rsid w:val="002C57B1"/>
    <w:rsid w:val="002C58BD"/>
    <w:rsid w:val="002C58C1"/>
    <w:rsid w:val="002C5918"/>
    <w:rsid w:val="002C5C2E"/>
    <w:rsid w:val="002C5D07"/>
    <w:rsid w:val="002C5D20"/>
    <w:rsid w:val="002C5D3A"/>
    <w:rsid w:val="002C5D82"/>
    <w:rsid w:val="002C5D9D"/>
    <w:rsid w:val="002C5DCB"/>
    <w:rsid w:val="002C5E81"/>
    <w:rsid w:val="002C5EB7"/>
    <w:rsid w:val="002C5EBF"/>
    <w:rsid w:val="002C5EEE"/>
    <w:rsid w:val="002C5F12"/>
    <w:rsid w:val="002C5F5B"/>
    <w:rsid w:val="002C5FE1"/>
    <w:rsid w:val="002C6132"/>
    <w:rsid w:val="002C613A"/>
    <w:rsid w:val="002C6145"/>
    <w:rsid w:val="002C6289"/>
    <w:rsid w:val="002C629C"/>
    <w:rsid w:val="002C637C"/>
    <w:rsid w:val="002C638A"/>
    <w:rsid w:val="002C63FC"/>
    <w:rsid w:val="002C646E"/>
    <w:rsid w:val="002C6473"/>
    <w:rsid w:val="002C64B3"/>
    <w:rsid w:val="002C653E"/>
    <w:rsid w:val="002C65D6"/>
    <w:rsid w:val="002C6657"/>
    <w:rsid w:val="002C668E"/>
    <w:rsid w:val="002C66F9"/>
    <w:rsid w:val="002C6708"/>
    <w:rsid w:val="002C6729"/>
    <w:rsid w:val="002C67B1"/>
    <w:rsid w:val="002C6811"/>
    <w:rsid w:val="002C6880"/>
    <w:rsid w:val="002C68BD"/>
    <w:rsid w:val="002C69B1"/>
    <w:rsid w:val="002C69B9"/>
    <w:rsid w:val="002C6A0A"/>
    <w:rsid w:val="002C6A6A"/>
    <w:rsid w:val="002C6A78"/>
    <w:rsid w:val="002C6A90"/>
    <w:rsid w:val="002C6AA8"/>
    <w:rsid w:val="002C6AC7"/>
    <w:rsid w:val="002C6B08"/>
    <w:rsid w:val="002C6B52"/>
    <w:rsid w:val="002C6C30"/>
    <w:rsid w:val="002C6C5D"/>
    <w:rsid w:val="002C6D07"/>
    <w:rsid w:val="002C6D34"/>
    <w:rsid w:val="002C6EBA"/>
    <w:rsid w:val="002C6EE3"/>
    <w:rsid w:val="002C6F05"/>
    <w:rsid w:val="002C709E"/>
    <w:rsid w:val="002C71C6"/>
    <w:rsid w:val="002C72AA"/>
    <w:rsid w:val="002C730C"/>
    <w:rsid w:val="002C739A"/>
    <w:rsid w:val="002C73A2"/>
    <w:rsid w:val="002C73AD"/>
    <w:rsid w:val="002C742E"/>
    <w:rsid w:val="002C754B"/>
    <w:rsid w:val="002C75FE"/>
    <w:rsid w:val="002C7702"/>
    <w:rsid w:val="002C7852"/>
    <w:rsid w:val="002C78B1"/>
    <w:rsid w:val="002C78E8"/>
    <w:rsid w:val="002C78FB"/>
    <w:rsid w:val="002C7A26"/>
    <w:rsid w:val="002C7A2A"/>
    <w:rsid w:val="002C7AAF"/>
    <w:rsid w:val="002C7AB5"/>
    <w:rsid w:val="002C7B41"/>
    <w:rsid w:val="002C7B58"/>
    <w:rsid w:val="002C7B75"/>
    <w:rsid w:val="002C7B89"/>
    <w:rsid w:val="002C7BCC"/>
    <w:rsid w:val="002C7C26"/>
    <w:rsid w:val="002C7C56"/>
    <w:rsid w:val="002C7C64"/>
    <w:rsid w:val="002C7C73"/>
    <w:rsid w:val="002C7C87"/>
    <w:rsid w:val="002C7CDE"/>
    <w:rsid w:val="002C7D74"/>
    <w:rsid w:val="002C7DB3"/>
    <w:rsid w:val="002C7E72"/>
    <w:rsid w:val="002C7EDA"/>
    <w:rsid w:val="002C7F19"/>
    <w:rsid w:val="002C7F1E"/>
    <w:rsid w:val="002C7F70"/>
    <w:rsid w:val="002C7FE8"/>
    <w:rsid w:val="002D0042"/>
    <w:rsid w:val="002D00DC"/>
    <w:rsid w:val="002D00EB"/>
    <w:rsid w:val="002D0192"/>
    <w:rsid w:val="002D0284"/>
    <w:rsid w:val="002D02B9"/>
    <w:rsid w:val="002D031C"/>
    <w:rsid w:val="002D0385"/>
    <w:rsid w:val="002D0452"/>
    <w:rsid w:val="002D0457"/>
    <w:rsid w:val="002D045A"/>
    <w:rsid w:val="002D04CF"/>
    <w:rsid w:val="002D0565"/>
    <w:rsid w:val="002D056C"/>
    <w:rsid w:val="002D0609"/>
    <w:rsid w:val="002D0636"/>
    <w:rsid w:val="002D0654"/>
    <w:rsid w:val="002D0755"/>
    <w:rsid w:val="002D0810"/>
    <w:rsid w:val="002D083F"/>
    <w:rsid w:val="002D0959"/>
    <w:rsid w:val="002D0B9E"/>
    <w:rsid w:val="002D0BA1"/>
    <w:rsid w:val="002D0BA2"/>
    <w:rsid w:val="002D0C47"/>
    <w:rsid w:val="002D0C5E"/>
    <w:rsid w:val="002D0C6D"/>
    <w:rsid w:val="002D0CEA"/>
    <w:rsid w:val="002D0D69"/>
    <w:rsid w:val="002D0DA2"/>
    <w:rsid w:val="002D0DC0"/>
    <w:rsid w:val="002D0E01"/>
    <w:rsid w:val="002D0E1C"/>
    <w:rsid w:val="002D0E32"/>
    <w:rsid w:val="002D0E4C"/>
    <w:rsid w:val="002D0E90"/>
    <w:rsid w:val="002D0EDD"/>
    <w:rsid w:val="002D0F07"/>
    <w:rsid w:val="002D0F1C"/>
    <w:rsid w:val="002D0F3E"/>
    <w:rsid w:val="002D0F80"/>
    <w:rsid w:val="002D0FC4"/>
    <w:rsid w:val="002D1060"/>
    <w:rsid w:val="002D1175"/>
    <w:rsid w:val="002D11AF"/>
    <w:rsid w:val="002D11D8"/>
    <w:rsid w:val="002D1225"/>
    <w:rsid w:val="002D1238"/>
    <w:rsid w:val="002D137D"/>
    <w:rsid w:val="002D140B"/>
    <w:rsid w:val="002D1415"/>
    <w:rsid w:val="002D145F"/>
    <w:rsid w:val="002D149E"/>
    <w:rsid w:val="002D1518"/>
    <w:rsid w:val="002D153D"/>
    <w:rsid w:val="002D15E7"/>
    <w:rsid w:val="002D15FC"/>
    <w:rsid w:val="002D16A2"/>
    <w:rsid w:val="002D16CF"/>
    <w:rsid w:val="002D16F6"/>
    <w:rsid w:val="002D1740"/>
    <w:rsid w:val="002D1856"/>
    <w:rsid w:val="002D1881"/>
    <w:rsid w:val="002D1889"/>
    <w:rsid w:val="002D194D"/>
    <w:rsid w:val="002D1A26"/>
    <w:rsid w:val="002D1A7E"/>
    <w:rsid w:val="002D1AD5"/>
    <w:rsid w:val="002D1BE7"/>
    <w:rsid w:val="002D1CAE"/>
    <w:rsid w:val="002D1CEB"/>
    <w:rsid w:val="002D1E4E"/>
    <w:rsid w:val="002D1EEC"/>
    <w:rsid w:val="002D1F3F"/>
    <w:rsid w:val="002D1FFB"/>
    <w:rsid w:val="002D2031"/>
    <w:rsid w:val="002D2060"/>
    <w:rsid w:val="002D20C0"/>
    <w:rsid w:val="002D20C6"/>
    <w:rsid w:val="002D2200"/>
    <w:rsid w:val="002D221D"/>
    <w:rsid w:val="002D227F"/>
    <w:rsid w:val="002D2280"/>
    <w:rsid w:val="002D2327"/>
    <w:rsid w:val="002D2362"/>
    <w:rsid w:val="002D23BE"/>
    <w:rsid w:val="002D2410"/>
    <w:rsid w:val="002D254B"/>
    <w:rsid w:val="002D2581"/>
    <w:rsid w:val="002D27AC"/>
    <w:rsid w:val="002D27CC"/>
    <w:rsid w:val="002D27D5"/>
    <w:rsid w:val="002D2821"/>
    <w:rsid w:val="002D287E"/>
    <w:rsid w:val="002D28B2"/>
    <w:rsid w:val="002D28B5"/>
    <w:rsid w:val="002D28C5"/>
    <w:rsid w:val="002D2902"/>
    <w:rsid w:val="002D2954"/>
    <w:rsid w:val="002D295C"/>
    <w:rsid w:val="002D2982"/>
    <w:rsid w:val="002D29B7"/>
    <w:rsid w:val="002D29D5"/>
    <w:rsid w:val="002D2A0C"/>
    <w:rsid w:val="002D2A65"/>
    <w:rsid w:val="002D2B20"/>
    <w:rsid w:val="002D2B37"/>
    <w:rsid w:val="002D2C64"/>
    <w:rsid w:val="002D2DEC"/>
    <w:rsid w:val="002D2E58"/>
    <w:rsid w:val="002D2ECD"/>
    <w:rsid w:val="002D2F45"/>
    <w:rsid w:val="002D2F65"/>
    <w:rsid w:val="002D2FCB"/>
    <w:rsid w:val="002D2FD2"/>
    <w:rsid w:val="002D2FF2"/>
    <w:rsid w:val="002D302D"/>
    <w:rsid w:val="002D3042"/>
    <w:rsid w:val="002D30BB"/>
    <w:rsid w:val="002D3100"/>
    <w:rsid w:val="002D3144"/>
    <w:rsid w:val="002D31BC"/>
    <w:rsid w:val="002D3208"/>
    <w:rsid w:val="002D3324"/>
    <w:rsid w:val="002D337E"/>
    <w:rsid w:val="002D33B9"/>
    <w:rsid w:val="002D33BF"/>
    <w:rsid w:val="002D33D4"/>
    <w:rsid w:val="002D341E"/>
    <w:rsid w:val="002D3427"/>
    <w:rsid w:val="002D3486"/>
    <w:rsid w:val="002D34ED"/>
    <w:rsid w:val="002D35D5"/>
    <w:rsid w:val="002D35F4"/>
    <w:rsid w:val="002D3676"/>
    <w:rsid w:val="002D36DF"/>
    <w:rsid w:val="002D3744"/>
    <w:rsid w:val="002D37A0"/>
    <w:rsid w:val="002D37C9"/>
    <w:rsid w:val="002D37DD"/>
    <w:rsid w:val="002D3879"/>
    <w:rsid w:val="002D38E7"/>
    <w:rsid w:val="002D38EC"/>
    <w:rsid w:val="002D38FB"/>
    <w:rsid w:val="002D3979"/>
    <w:rsid w:val="002D39BF"/>
    <w:rsid w:val="002D39E9"/>
    <w:rsid w:val="002D3A72"/>
    <w:rsid w:val="002D3A94"/>
    <w:rsid w:val="002D3AAE"/>
    <w:rsid w:val="002D3ADD"/>
    <w:rsid w:val="002D3B21"/>
    <w:rsid w:val="002D3BC0"/>
    <w:rsid w:val="002D3BF6"/>
    <w:rsid w:val="002D3C09"/>
    <w:rsid w:val="002D3D0F"/>
    <w:rsid w:val="002D3E5A"/>
    <w:rsid w:val="002D3F4F"/>
    <w:rsid w:val="002D3F89"/>
    <w:rsid w:val="002D3FF5"/>
    <w:rsid w:val="002D3FFC"/>
    <w:rsid w:val="002D4010"/>
    <w:rsid w:val="002D4029"/>
    <w:rsid w:val="002D4038"/>
    <w:rsid w:val="002D4045"/>
    <w:rsid w:val="002D40CC"/>
    <w:rsid w:val="002D4153"/>
    <w:rsid w:val="002D41A8"/>
    <w:rsid w:val="002D41AA"/>
    <w:rsid w:val="002D41AE"/>
    <w:rsid w:val="002D4236"/>
    <w:rsid w:val="002D42F8"/>
    <w:rsid w:val="002D4364"/>
    <w:rsid w:val="002D438D"/>
    <w:rsid w:val="002D4400"/>
    <w:rsid w:val="002D44D1"/>
    <w:rsid w:val="002D44F8"/>
    <w:rsid w:val="002D450C"/>
    <w:rsid w:val="002D4578"/>
    <w:rsid w:val="002D45A2"/>
    <w:rsid w:val="002D468C"/>
    <w:rsid w:val="002D46B7"/>
    <w:rsid w:val="002D46C9"/>
    <w:rsid w:val="002D471C"/>
    <w:rsid w:val="002D48E8"/>
    <w:rsid w:val="002D48EE"/>
    <w:rsid w:val="002D4921"/>
    <w:rsid w:val="002D4968"/>
    <w:rsid w:val="002D499D"/>
    <w:rsid w:val="002D49CD"/>
    <w:rsid w:val="002D4A72"/>
    <w:rsid w:val="002D4AC7"/>
    <w:rsid w:val="002D4AC9"/>
    <w:rsid w:val="002D4BF3"/>
    <w:rsid w:val="002D4C47"/>
    <w:rsid w:val="002D4CE9"/>
    <w:rsid w:val="002D4D00"/>
    <w:rsid w:val="002D4DF9"/>
    <w:rsid w:val="002D4E84"/>
    <w:rsid w:val="002D4E88"/>
    <w:rsid w:val="002D4E8F"/>
    <w:rsid w:val="002D4EA7"/>
    <w:rsid w:val="002D4EE5"/>
    <w:rsid w:val="002D4F0B"/>
    <w:rsid w:val="002D4F99"/>
    <w:rsid w:val="002D4FB4"/>
    <w:rsid w:val="002D4FC1"/>
    <w:rsid w:val="002D4FFC"/>
    <w:rsid w:val="002D500D"/>
    <w:rsid w:val="002D5110"/>
    <w:rsid w:val="002D5137"/>
    <w:rsid w:val="002D516A"/>
    <w:rsid w:val="002D5171"/>
    <w:rsid w:val="002D522B"/>
    <w:rsid w:val="002D524D"/>
    <w:rsid w:val="002D53C2"/>
    <w:rsid w:val="002D53F6"/>
    <w:rsid w:val="002D5412"/>
    <w:rsid w:val="002D549B"/>
    <w:rsid w:val="002D5568"/>
    <w:rsid w:val="002D5580"/>
    <w:rsid w:val="002D56B3"/>
    <w:rsid w:val="002D5757"/>
    <w:rsid w:val="002D577B"/>
    <w:rsid w:val="002D5789"/>
    <w:rsid w:val="002D57B9"/>
    <w:rsid w:val="002D58C2"/>
    <w:rsid w:val="002D58D4"/>
    <w:rsid w:val="002D5955"/>
    <w:rsid w:val="002D5960"/>
    <w:rsid w:val="002D59C7"/>
    <w:rsid w:val="002D5AD4"/>
    <w:rsid w:val="002D5AD5"/>
    <w:rsid w:val="002D5B57"/>
    <w:rsid w:val="002D5BBD"/>
    <w:rsid w:val="002D5C81"/>
    <w:rsid w:val="002D5C8B"/>
    <w:rsid w:val="002D5CB6"/>
    <w:rsid w:val="002D5CBB"/>
    <w:rsid w:val="002D5D0D"/>
    <w:rsid w:val="002D5DCE"/>
    <w:rsid w:val="002D5DF3"/>
    <w:rsid w:val="002D5E31"/>
    <w:rsid w:val="002D5E41"/>
    <w:rsid w:val="002D5E81"/>
    <w:rsid w:val="002D5EC8"/>
    <w:rsid w:val="002D5F27"/>
    <w:rsid w:val="002D5F5C"/>
    <w:rsid w:val="002D5F5D"/>
    <w:rsid w:val="002D5F93"/>
    <w:rsid w:val="002D6085"/>
    <w:rsid w:val="002D6118"/>
    <w:rsid w:val="002D6139"/>
    <w:rsid w:val="002D6142"/>
    <w:rsid w:val="002D61F9"/>
    <w:rsid w:val="002D6211"/>
    <w:rsid w:val="002D63B8"/>
    <w:rsid w:val="002D6450"/>
    <w:rsid w:val="002D65F4"/>
    <w:rsid w:val="002D681C"/>
    <w:rsid w:val="002D6838"/>
    <w:rsid w:val="002D6893"/>
    <w:rsid w:val="002D6A49"/>
    <w:rsid w:val="002D6A87"/>
    <w:rsid w:val="002D6B88"/>
    <w:rsid w:val="002D6BCF"/>
    <w:rsid w:val="002D6BEE"/>
    <w:rsid w:val="002D6BF9"/>
    <w:rsid w:val="002D6C1A"/>
    <w:rsid w:val="002D6CBE"/>
    <w:rsid w:val="002D6CC5"/>
    <w:rsid w:val="002D6CD8"/>
    <w:rsid w:val="002D6D36"/>
    <w:rsid w:val="002D6D94"/>
    <w:rsid w:val="002D6DB2"/>
    <w:rsid w:val="002D6E26"/>
    <w:rsid w:val="002D6EAC"/>
    <w:rsid w:val="002D6F32"/>
    <w:rsid w:val="002D6F6D"/>
    <w:rsid w:val="002D724C"/>
    <w:rsid w:val="002D72E1"/>
    <w:rsid w:val="002D730E"/>
    <w:rsid w:val="002D733A"/>
    <w:rsid w:val="002D7347"/>
    <w:rsid w:val="002D735C"/>
    <w:rsid w:val="002D73B8"/>
    <w:rsid w:val="002D755B"/>
    <w:rsid w:val="002D7604"/>
    <w:rsid w:val="002D7605"/>
    <w:rsid w:val="002D764D"/>
    <w:rsid w:val="002D7710"/>
    <w:rsid w:val="002D774C"/>
    <w:rsid w:val="002D778F"/>
    <w:rsid w:val="002D77B0"/>
    <w:rsid w:val="002D77B8"/>
    <w:rsid w:val="002D780A"/>
    <w:rsid w:val="002D781D"/>
    <w:rsid w:val="002D786A"/>
    <w:rsid w:val="002D7AB6"/>
    <w:rsid w:val="002D7B55"/>
    <w:rsid w:val="002D7B56"/>
    <w:rsid w:val="002D7C98"/>
    <w:rsid w:val="002D7C9D"/>
    <w:rsid w:val="002D7CC6"/>
    <w:rsid w:val="002D7D18"/>
    <w:rsid w:val="002D7EB7"/>
    <w:rsid w:val="002D7F6A"/>
    <w:rsid w:val="002D7FEA"/>
    <w:rsid w:val="002E001F"/>
    <w:rsid w:val="002E0028"/>
    <w:rsid w:val="002E0031"/>
    <w:rsid w:val="002E003A"/>
    <w:rsid w:val="002E004D"/>
    <w:rsid w:val="002E0082"/>
    <w:rsid w:val="002E0096"/>
    <w:rsid w:val="002E019B"/>
    <w:rsid w:val="002E01BD"/>
    <w:rsid w:val="002E025E"/>
    <w:rsid w:val="002E0296"/>
    <w:rsid w:val="002E02F0"/>
    <w:rsid w:val="002E0387"/>
    <w:rsid w:val="002E03C1"/>
    <w:rsid w:val="002E0403"/>
    <w:rsid w:val="002E04A6"/>
    <w:rsid w:val="002E0546"/>
    <w:rsid w:val="002E055A"/>
    <w:rsid w:val="002E05BC"/>
    <w:rsid w:val="002E05C2"/>
    <w:rsid w:val="002E05D5"/>
    <w:rsid w:val="002E0664"/>
    <w:rsid w:val="002E06D6"/>
    <w:rsid w:val="002E06EC"/>
    <w:rsid w:val="002E0757"/>
    <w:rsid w:val="002E07AD"/>
    <w:rsid w:val="002E08BE"/>
    <w:rsid w:val="002E095F"/>
    <w:rsid w:val="002E0992"/>
    <w:rsid w:val="002E09CF"/>
    <w:rsid w:val="002E0A30"/>
    <w:rsid w:val="002E0BB3"/>
    <w:rsid w:val="002E0C66"/>
    <w:rsid w:val="002E0D4A"/>
    <w:rsid w:val="002E0DB0"/>
    <w:rsid w:val="002E0DD5"/>
    <w:rsid w:val="002E0EA9"/>
    <w:rsid w:val="002E0EBD"/>
    <w:rsid w:val="002E0ED6"/>
    <w:rsid w:val="002E0F87"/>
    <w:rsid w:val="002E1036"/>
    <w:rsid w:val="002E1085"/>
    <w:rsid w:val="002E10DD"/>
    <w:rsid w:val="002E10E3"/>
    <w:rsid w:val="002E10F1"/>
    <w:rsid w:val="002E1126"/>
    <w:rsid w:val="002E112B"/>
    <w:rsid w:val="002E1182"/>
    <w:rsid w:val="002E11A3"/>
    <w:rsid w:val="002E12AD"/>
    <w:rsid w:val="002E1362"/>
    <w:rsid w:val="002E1392"/>
    <w:rsid w:val="002E13DB"/>
    <w:rsid w:val="002E1496"/>
    <w:rsid w:val="002E14C3"/>
    <w:rsid w:val="002E14EB"/>
    <w:rsid w:val="002E15A2"/>
    <w:rsid w:val="002E15BF"/>
    <w:rsid w:val="002E15CB"/>
    <w:rsid w:val="002E15D4"/>
    <w:rsid w:val="002E15D8"/>
    <w:rsid w:val="002E1628"/>
    <w:rsid w:val="002E1692"/>
    <w:rsid w:val="002E16ED"/>
    <w:rsid w:val="002E180C"/>
    <w:rsid w:val="002E1840"/>
    <w:rsid w:val="002E18F1"/>
    <w:rsid w:val="002E193C"/>
    <w:rsid w:val="002E194A"/>
    <w:rsid w:val="002E19DA"/>
    <w:rsid w:val="002E1BA9"/>
    <w:rsid w:val="002E1C2B"/>
    <w:rsid w:val="002E1C91"/>
    <w:rsid w:val="002E1CF3"/>
    <w:rsid w:val="002E1D28"/>
    <w:rsid w:val="002E1E76"/>
    <w:rsid w:val="002E1E8A"/>
    <w:rsid w:val="002E1FC2"/>
    <w:rsid w:val="002E1FC6"/>
    <w:rsid w:val="002E2020"/>
    <w:rsid w:val="002E21A5"/>
    <w:rsid w:val="002E22B5"/>
    <w:rsid w:val="002E2520"/>
    <w:rsid w:val="002E25CB"/>
    <w:rsid w:val="002E260A"/>
    <w:rsid w:val="002E2614"/>
    <w:rsid w:val="002E2712"/>
    <w:rsid w:val="002E2715"/>
    <w:rsid w:val="002E2744"/>
    <w:rsid w:val="002E27CD"/>
    <w:rsid w:val="002E2858"/>
    <w:rsid w:val="002E2869"/>
    <w:rsid w:val="002E2879"/>
    <w:rsid w:val="002E287B"/>
    <w:rsid w:val="002E290C"/>
    <w:rsid w:val="002E2928"/>
    <w:rsid w:val="002E2942"/>
    <w:rsid w:val="002E2977"/>
    <w:rsid w:val="002E2A6F"/>
    <w:rsid w:val="002E2AB8"/>
    <w:rsid w:val="002E2ACE"/>
    <w:rsid w:val="002E2ADA"/>
    <w:rsid w:val="002E2B0F"/>
    <w:rsid w:val="002E2B14"/>
    <w:rsid w:val="002E2B16"/>
    <w:rsid w:val="002E2B91"/>
    <w:rsid w:val="002E2B97"/>
    <w:rsid w:val="002E2BA0"/>
    <w:rsid w:val="002E2BA2"/>
    <w:rsid w:val="002E2BEA"/>
    <w:rsid w:val="002E2C0E"/>
    <w:rsid w:val="002E2C74"/>
    <w:rsid w:val="002E2D5A"/>
    <w:rsid w:val="002E2D6B"/>
    <w:rsid w:val="002E2E64"/>
    <w:rsid w:val="002E2F81"/>
    <w:rsid w:val="002E2FD8"/>
    <w:rsid w:val="002E3022"/>
    <w:rsid w:val="002E3047"/>
    <w:rsid w:val="002E306F"/>
    <w:rsid w:val="002E30A5"/>
    <w:rsid w:val="002E30B9"/>
    <w:rsid w:val="002E310D"/>
    <w:rsid w:val="002E313A"/>
    <w:rsid w:val="002E3219"/>
    <w:rsid w:val="002E321F"/>
    <w:rsid w:val="002E3286"/>
    <w:rsid w:val="002E3360"/>
    <w:rsid w:val="002E33A4"/>
    <w:rsid w:val="002E33F3"/>
    <w:rsid w:val="002E3436"/>
    <w:rsid w:val="002E3458"/>
    <w:rsid w:val="002E3551"/>
    <w:rsid w:val="002E360F"/>
    <w:rsid w:val="002E3648"/>
    <w:rsid w:val="002E366E"/>
    <w:rsid w:val="002E36F1"/>
    <w:rsid w:val="002E3736"/>
    <w:rsid w:val="002E374A"/>
    <w:rsid w:val="002E386A"/>
    <w:rsid w:val="002E3871"/>
    <w:rsid w:val="002E38D1"/>
    <w:rsid w:val="002E3913"/>
    <w:rsid w:val="002E3950"/>
    <w:rsid w:val="002E3A01"/>
    <w:rsid w:val="002E3A83"/>
    <w:rsid w:val="002E3AB8"/>
    <w:rsid w:val="002E3B64"/>
    <w:rsid w:val="002E3BD5"/>
    <w:rsid w:val="002E3C50"/>
    <w:rsid w:val="002E3C92"/>
    <w:rsid w:val="002E3CF9"/>
    <w:rsid w:val="002E3D59"/>
    <w:rsid w:val="002E3D6A"/>
    <w:rsid w:val="002E3DD3"/>
    <w:rsid w:val="002E3E30"/>
    <w:rsid w:val="002E3E7F"/>
    <w:rsid w:val="002E3F46"/>
    <w:rsid w:val="002E40C8"/>
    <w:rsid w:val="002E415D"/>
    <w:rsid w:val="002E4254"/>
    <w:rsid w:val="002E4280"/>
    <w:rsid w:val="002E42AB"/>
    <w:rsid w:val="002E4329"/>
    <w:rsid w:val="002E43C5"/>
    <w:rsid w:val="002E44EE"/>
    <w:rsid w:val="002E451A"/>
    <w:rsid w:val="002E452E"/>
    <w:rsid w:val="002E45AF"/>
    <w:rsid w:val="002E4638"/>
    <w:rsid w:val="002E46DF"/>
    <w:rsid w:val="002E4731"/>
    <w:rsid w:val="002E47C2"/>
    <w:rsid w:val="002E4808"/>
    <w:rsid w:val="002E4896"/>
    <w:rsid w:val="002E4963"/>
    <w:rsid w:val="002E4968"/>
    <w:rsid w:val="002E4A8D"/>
    <w:rsid w:val="002E4B9B"/>
    <w:rsid w:val="002E4BE0"/>
    <w:rsid w:val="002E4DB5"/>
    <w:rsid w:val="002E4F61"/>
    <w:rsid w:val="002E5104"/>
    <w:rsid w:val="002E517B"/>
    <w:rsid w:val="002E521B"/>
    <w:rsid w:val="002E524E"/>
    <w:rsid w:val="002E527A"/>
    <w:rsid w:val="002E528E"/>
    <w:rsid w:val="002E52D3"/>
    <w:rsid w:val="002E52D9"/>
    <w:rsid w:val="002E533D"/>
    <w:rsid w:val="002E539B"/>
    <w:rsid w:val="002E53FB"/>
    <w:rsid w:val="002E54ED"/>
    <w:rsid w:val="002E557E"/>
    <w:rsid w:val="002E55AD"/>
    <w:rsid w:val="002E55F3"/>
    <w:rsid w:val="002E56F2"/>
    <w:rsid w:val="002E579B"/>
    <w:rsid w:val="002E5800"/>
    <w:rsid w:val="002E594F"/>
    <w:rsid w:val="002E5985"/>
    <w:rsid w:val="002E598A"/>
    <w:rsid w:val="002E5994"/>
    <w:rsid w:val="002E59AB"/>
    <w:rsid w:val="002E5A37"/>
    <w:rsid w:val="002E5A76"/>
    <w:rsid w:val="002E5AC6"/>
    <w:rsid w:val="002E5B19"/>
    <w:rsid w:val="002E5CCB"/>
    <w:rsid w:val="002E5CED"/>
    <w:rsid w:val="002E5D14"/>
    <w:rsid w:val="002E5DCD"/>
    <w:rsid w:val="002E5DD4"/>
    <w:rsid w:val="002E5E1A"/>
    <w:rsid w:val="002E5E90"/>
    <w:rsid w:val="002E5EDA"/>
    <w:rsid w:val="002E6033"/>
    <w:rsid w:val="002E6080"/>
    <w:rsid w:val="002E60F7"/>
    <w:rsid w:val="002E619C"/>
    <w:rsid w:val="002E61A4"/>
    <w:rsid w:val="002E61DD"/>
    <w:rsid w:val="002E61FC"/>
    <w:rsid w:val="002E620A"/>
    <w:rsid w:val="002E6279"/>
    <w:rsid w:val="002E62DD"/>
    <w:rsid w:val="002E62E0"/>
    <w:rsid w:val="002E62E3"/>
    <w:rsid w:val="002E62F1"/>
    <w:rsid w:val="002E62F7"/>
    <w:rsid w:val="002E6360"/>
    <w:rsid w:val="002E6368"/>
    <w:rsid w:val="002E6375"/>
    <w:rsid w:val="002E6442"/>
    <w:rsid w:val="002E6448"/>
    <w:rsid w:val="002E648C"/>
    <w:rsid w:val="002E6525"/>
    <w:rsid w:val="002E6590"/>
    <w:rsid w:val="002E6598"/>
    <w:rsid w:val="002E6637"/>
    <w:rsid w:val="002E6683"/>
    <w:rsid w:val="002E66C5"/>
    <w:rsid w:val="002E66C8"/>
    <w:rsid w:val="002E66DF"/>
    <w:rsid w:val="002E68AB"/>
    <w:rsid w:val="002E6932"/>
    <w:rsid w:val="002E6941"/>
    <w:rsid w:val="002E69B8"/>
    <w:rsid w:val="002E69D5"/>
    <w:rsid w:val="002E6A18"/>
    <w:rsid w:val="002E6A3C"/>
    <w:rsid w:val="002E6BB8"/>
    <w:rsid w:val="002E6CA3"/>
    <w:rsid w:val="002E6D49"/>
    <w:rsid w:val="002E6D4D"/>
    <w:rsid w:val="002E6DB0"/>
    <w:rsid w:val="002E6DBA"/>
    <w:rsid w:val="002E6DF6"/>
    <w:rsid w:val="002E6E6A"/>
    <w:rsid w:val="002E6E6E"/>
    <w:rsid w:val="002E6EAA"/>
    <w:rsid w:val="002E6F88"/>
    <w:rsid w:val="002E707A"/>
    <w:rsid w:val="002E7137"/>
    <w:rsid w:val="002E71AF"/>
    <w:rsid w:val="002E71C1"/>
    <w:rsid w:val="002E71C8"/>
    <w:rsid w:val="002E72EE"/>
    <w:rsid w:val="002E7450"/>
    <w:rsid w:val="002E7489"/>
    <w:rsid w:val="002E74B2"/>
    <w:rsid w:val="002E74C0"/>
    <w:rsid w:val="002E74DF"/>
    <w:rsid w:val="002E7664"/>
    <w:rsid w:val="002E773B"/>
    <w:rsid w:val="002E774C"/>
    <w:rsid w:val="002E774E"/>
    <w:rsid w:val="002E77BA"/>
    <w:rsid w:val="002E78F1"/>
    <w:rsid w:val="002E7996"/>
    <w:rsid w:val="002E79CF"/>
    <w:rsid w:val="002E7AB6"/>
    <w:rsid w:val="002E7AD3"/>
    <w:rsid w:val="002E7CDC"/>
    <w:rsid w:val="002E7CF6"/>
    <w:rsid w:val="002E7CFD"/>
    <w:rsid w:val="002E7DA0"/>
    <w:rsid w:val="002E7DA7"/>
    <w:rsid w:val="002E7E68"/>
    <w:rsid w:val="002F00B6"/>
    <w:rsid w:val="002F027E"/>
    <w:rsid w:val="002F0367"/>
    <w:rsid w:val="002F03FE"/>
    <w:rsid w:val="002F04A0"/>
    <w:rsid w:val="002F04E5"/>
    <w:rsid w:val="002F04F6"/>
    <w:rsid w:val="002F0506"/>
    <w:rsid w:val="002F0558"/>
    <w:rsid w:val="002F05BD"/>
    <w:rsid w:val="002F05D6"/>
    <w:rsid w:val="002F0692"/>
    <w:rsid w:val="002F07D4"/>
    <w:rsid w:val="002F07FD"/>
    <w:rsid w:val="002F0828"/>
    <w:rsid w:val="002F08F3"/>
    <w:rsid w:val="002F0905"/>
    <w:rsid w:val="002F0AA9"/>
    <w:rsid w:val="002F0B06"/>
    <w:rsid w:val="002F0B4A"/>
    <w:rsid w:val="002F0BA1"/>
    <w:rsid w:val="002F0BE3"/>
    <w:rsid w:val="002F0C8B"/>
    <w:rsid w:val="002F0CA1"/>
    <w:rsid w:val="002F0CF4"/>
    <w:rsid w:val="002F0E08"/>
    <w:rsid w:val="002F0E09"/>
    <w:rsid w:val="002F0E62"/>
    <w:rsid w:val="002F0EEE"/>
    <w:rsid w:val="002F0F63"/>
    <w:rsid w:val="002F0F91"/>
    <w:rsid w:val="002F0FC5"/>
    <w:rsid w:val="002F0FFD"/>
    <w:rsid w:val="002F1028"/>
    <w:rsid w:val="002F10B7"/>
    <w:rsid w:val="002F10F8"/>
    <w:rsid w:val="002F1137"/>
    <w:rsid w:val="002F11DC"/>
    <w:rsid w:val="002F11F7"/>
    <w:rsid w:val="002F1238"/>
    <w:rsid w:val="002F1283"/>
    <w:rsid w:val="002F12AE"/>
    <w:rsid w:val="002F12CC"/>
    <w:rsid w:val="002F1341"/>
    <w:rsid w:val="002F1348"/>
    <w:rsid w:val="002F13F3"/>
    <w:rsid w:val="002F141B"/>
    <w:rsid w:val="002F1431"/>
    <w:rsid w:val="002F1562"/>
    <w:rsid w:val="002F15DE"/>
    <w:rsid w:val="002F164B"/>
    <w:rsid w:val="002F1757"/>
    <w:rsid w:val="002F175B"/>
    <w:rsid w:val="002F17EB"/>
    <w:rsid w:val="002F182D"/>
    <w:rsid w:val="002F182E"/>
    <w:rsid w:val="002F18D9"/>
    <w:rsid w:val="002F1924"/>
    <w:rsid w:val="002F1929"/>
    <w:rsid w:val="002F19A1"/>
    <w:rsid w:val="002F1A37"/>
    <w:rsid w:val="002F1A57"/>
    <w:rsid w:val="002F1A91"/>
    <w:rsid w:val="002F1B0A"/>
    <w:rsid w:val="002F1B52"/>
    <w:rsid w:val="002F1B93"/>
    <w:rsid w:val="002F1BD5"/>
    <w:rsid w:val="002F1BDC"/>
    <w:rsid w:val="002F1C13"/>
    <w:rsid w:val="002F1C1A"/>
    <w:rsid w:val="002F1D5A"/>
    <w:rsid w:val="002F1D94"/>
    <w:rsid w:val="002F1EEE"/>
    <w:rsid w:val="002F1F73"/>
    <w:rsid w:val="002F2021"/>
    <w:rsid w:val="002F2038"/>
    <w:rsid w:val="002F2067"/>
    <w:rsid w:val="002F20C1"/>
    <w:rsid w:val="002F212D"/>
    <w:rsid w:val="002F217F"/>
    <w:rsid w:val="002F21AD"/>
    <w:rsid w:val="002F22AE"/>
    <w:rsid w:val="002F22AF"/>
    <w:rsid w:val="002F22F4"/>
    <w:rsid w:val="002F234E"/>
    <w:rsid w:val="002F238C"/>
    <w:rsid w:val="002F23D0"/>
    <w:rsid w:val="002F23D4"/>
    <w:rsid w:val="002F2442"/>
    <w:rsid w:val="002F24C1"/>
    <w:rsid w:val="002F252A"/>
    <w:rsid w:val="002F2546"/>
    <w:rsid w:val="002F2581"/>
    <w:rsid w:val="002F264D"/>
    <w:rsid w:val="002F26F7"/>
    <w:rsid w:val="002F2711"/>
    <w:rsid w:val="002F27D6"/>
    <w:rsid w:val="002F2802"/>
    <w:rsid w:val="002F284A"/>
    <w:rsid w:val="002F2918"/>
    <w:rsid w:val="002F2A52"/>
    <w:rsid w:val="002F2A7E"/>
    <w:rsid w:val="002F2AB6"/>
    <w:rsid w:val="002F2AF5"/>
    <w:rsid w:val="002F2B3C"/>
    <w:rsid w:val="002F2B6F"/>
    <w:rsid w:val="002F2C06"/>
    <w:rsid w:val="002F2C52"/>
    <w:rsid w:val="002F2C57"/>
    <w:rsid w:val="002F2C6B"/>
    <w:rsid w:val="002F2D80"/>
    <w:rsid w:val="002F2DFE"/>
    <w:rsid w:val="002F2E45"/>
    <w:rsid w:val="002F2E86"/>
    <w:rsid w:val="002F2EC2"/>
    <w:rsid w:val="002F2F4B"/>
    <w:rsid w:val="002F304B"/>
    <w:rsid w:val="002F31EC"/>
    <w:rsid w:val="002F32A6"/>
    <w:rsid w:val="002F34D4"/>
    <w:rsid w:val="002F3534"/>
    <w:rsid w:val="002F358A"/>
    <w:rsid w:val="002F359B"/>
    <w:rsid w:val="002F35A8"/>
    <w:rsid w:val="002F35B8"/>
    <w:rsid w:val="002F35C8"/>
    <w:rsid w:val="002F3601"/>
    <w:rsid w:val="002F3682"/>
    <w:rsid w:val="002F36F6"/>
    <w:rsid w:val="002F37CD"/>
    <w:rsid w:val="002F3816"/>
    <w:rsid w:val="002F39E5"/>
    <w:rsid w:val="002F3AAE"/>
    <w:rsid w:val="002F3B60"/>
    <w:rsid w:val="002F3C25"/>
    <w:rsid w:val="002F3C89"/>
    <w:rsid w:val="002F3CAA"/>
    <w:rsid w:val="002F3D76"/>
    <w:rsid w:val="002F3DC9"/>
    <w:rsid w:val="002F3E61"/>
    <w:rsid w:val="002F3EBD"/>
    <w:rsid w:val="002F3F9F"/>
    <w:rsid w:val="002F3FAB"/>
    <w:rsid w:val="002F3FC4"/>
    <w:rsid w:val="002F3FD3"/>
    <w:rsid w:val="002F41CA"/>
    <w:rsid w:val="002F4292"/>
    <w:rsid w:val="002F42CD"/>
    <w:rsid w:val="002F444B"/>
    <w:rsid w:val="002F445E"/>
    <w:rsid w:val="002F446E"/>
    <w:rsid w:val="002F44E7"/>
    <w:rsid w:val="002F4504"/>
    <w:rsid w:val="002F452B"/>
    <w:rsid w:val="002F457A"/>
    <w:rsid w:val="002F45DC"/>
    <w:rsid w:val="002F4798"/>
    <w:rsid w:val="002F47AC"/>
    <w:rsid w:val="002F47D2"/>
    <w:rsid w:val="002F4837"/>
    <w:rsid w:val="002F4894"/>
    <w:rsid w:val="002F492D"/>
    <w:rsid w:val="002F494B"/>
    <w:rsid w:val="002F49DF"/>
    <w:rsid w:val="002F4A38"/>
    <w:rsid w:val="002F4A59"/>
    <w:rsid w:val="002F4AE0"/>
    <w:rsid w:val="002F4C03"/>
    <w:rsid w:val="002F4C18"/>
    <w:rsid w:val="002F4D78"/>
    <w:rsid w:val="002F4DD3"/>
    <w:rsid w:val="002F4E08"/>
    <w:rsid w:val="002F4E3B"/>
    <w:rsid w:val="002F4F49"/>
    <w:rsid w:val="002F4F83"/>
    <w:rsid w:val="002F4FE3"/>
    <w:rsid w:val="002F5219"/>
    <w:rsid w:val="002F5336"/>
    <w:rsid w:val="002F5345"/>
    <w:rsid w:val="002F5351"/>
    <w:rsid w:val="002F53A8"/>
    <w:rsid w:val="002F5480"/>
    <w:rsid w:val="002F562A"/>
    <w:rsid w:val="002F5665"/>
    <w:rsid w:val="002F567B"/>
    <w:rsid w:val="002F569F"/>
    <w:rsid w:val="002F56F4"/>
    <w:rsid w:val="002F5788"/>
    <w:rsid w:val="002F57C8"/>
    <w:rsid w:val="002F580F"/>
    <w:rsid w:val="002F588C"/>
    <w:rsid w:val="002F58A9"/>
    <w:rsid w:val="002F58F2"/>
    <w:rsid w:val="002F5940"/>
    <w:rsid w:val="002F5A4E"/>
    <w:rsid w:val="002F5A91"/>
    <w:rsid w:val="002F5A93"/>
    <w:rsid w:val="002F5BBC"/>
    <w:rsid w:val="002F5BF7"/>
    <w:rsid w:val="002F5CDD"/>
    <w:rsid w:val="002F5CF5"/>
    <w:rsid w:val="002F5D1C"/>
    <w:rsid w:val="002F600D"/>
    <w:rsid w:val="002F60C5"/>
    <w:rsid w:val="002F610B"/>
    <w:rsid w:val="002F6156"/>
    <w:rsid w:val="002F6163"/>
    <w:rsid w:val="002F6189"/>
    <w:rsid w:val="002F61A0"/>
    <w:rsid w:val="002F6261"/>
    <w:rsid w:val="002F62B7"/>
    <w:rsid w:val="002F62FA"/>
    <w:rsid w:val="002F6328"/>
    <w:rsid w:val="002F63A1"/>
    <w:rsid w:val="002F63D8"/>
    <w:rsid w:val="002F647D"/>
    <w:rsid w:val="002F64B4"/>
    <w:rsid w:val="002F64D0"/>
    <w:rsid w:val="002F64DC"/>
    <w:rsid w:val="002F6714"/>
    <w:rsid w:val="002F671D"/>
    <w:rsid w:val="002F675A"/>
    <w:rsid w:val="002F6857"/>
    <w:rsid w:val="002F68DC"/>
    <w:rsid w:val="002F690E"/>
    <w:rsid w:val="002F6980"/>
    <w:rsid w:val="002F69BB"/>
    <w:rsid w:val="002F69EE"/>
    <w:rsid w:val="002F6A94"/>
    <w:rsid w:val="002F6ABC"/>
    <w:rsid w:val="002F6AC7"/>
    <w:rsid w:val="002F6AD4"/>
    <w:rsid w:val="002F6B35"/>
    <w:rsid w:val="002F6BD1"/>
    <w:rsid w:val="002F6CBF"/>
    <w:rsid w:val="002F6CEF"/>
    <w:rsid w:val="002F6DA0"/>
    <w:rsid w:val="002F6DAA"/>
    <w:rsid w:val="002F6DC4"/>
    <w:rsid w:val="002F6E9A"/>
    <w:rsid w:val="002F6EA7"/>
    <w:rsid w:val="002F6F12"/>
    <w:rsid w:val="002F7094"/>
    <w:rsid w:val="002F709F"/>
    <w:rsid w:val="002F714F"/>
    <w:rsid w:val="002F7152"/>
    <w:rsid w:val="002F7209"/>
    <w:rsid w:val="002F720D"/>
    <w:rsid w:val="002F7223"/>
    <w:rsid w:val="002F7234"/>
    <w:rsid w:val="002F7277"/>
    <w:rsid w:val="002F741D"/>
    <w:rsid w:val="002F7443"/>
    <w:rsid w:val="002F7502"/>
    <w:rsid w:val="002F7529"/>
    <w:rsid w:val="002F756A"/>
    <w:rsid w:val="002F76AF"/>
    <w:rsid w:val="002F76E5"/>
    <w:rsid w:val="002F7744"/>
    <w:rsid w:val="002F781D"/>
    <w:rsid w:val="002F790A"/>
    <w:rsid w:val="002F7938"/>
    <w:rsid w:val="002F7939"/>
    <w:rsid w:val="002F793E"/>
    <w:rsid w:val="002F7B0F"/>
    <w:rsid w:val="002F7B88"/>
    <w:rsid w:val="002F7BA4"/>
    <w:rsid w:val="002F7BC6"/>
    <w:rsid w:val="002F7C3B"/>
    <w:rsid w:val="002F7D22"/>
    <w:rsid w:val="002F7E6E"/>
    <w:rsid w:val="002F7EB0"/>
    <w:rsid w:val="002F7EB4"/>
    <w:rsid w:val="002F7F44"/>
    <w:rsid w:val="002F7FDC"/>
    <w:rsid w:val="003000FE"/>
    <w:rsid w:val="00300164"/>
    <w:rsid w:val="00300170"/>
    <w:rsid w:val="003001AE"/>
    <w:rsid w:val="003001B5"/>
    <w:rsid w:val="003001D7"/>
    <w:rsid w:val="0030042D"/>
    <w:rsid w:val="003004BA"/>
    <w:rsid w:val="003004D5"/>
    <w:rsid w:val="003005DF"/>
    <w:rsid w:val="00300667"/>
    <w:rsid w:val="00300687"/>
    <w:rsid w:val="003006C6"/>
    <w:rsid w:val="003006CA"/>
    <w:rsid w:val="003006E6"/>
    <w:rsid w:val="00300720"/>
    <w:rsid w:val="0030072E"/>
    <w:rsid w:val="00300780"/>
    <w:rsid w:val="0030078F"/>
    <w:rsid w:val="003007BA"/>
    <w:rsid w:val="0030089C"/>
    <w:rsid w:val="00300942"/>
    <w:rsid w:val="0030094A"/>
    <w:rsid w:val="00300966"/>
    <w:rsid w:val="003009B0"/>
    <w:rsid w:val="00300A61"/>
    <w:rsid w:val="00300B76"/>
    <w:rsid w:val="00300CB4"/>
    <w:rsid w:val="00300D71"/>
    <w:rsid w:val="00300E4D"/>
    <w:rsid w:val="00300E7C"/>
    <w:rsid w:val="00300EC6"/>
    <w:rsid w:val="00300F15"/>
    <w:rsid w:val="00300F1A"/>
    <w:rsid w:val="0030109B"/>
    <w:rsid w:val="003010B1"/>
    <w:rsid w:val="003010E5"/>
    <w:rsid w:val="00301112"/>
    <w:rsid w:val="003011AA"/>
    <w:rsid w:val="00301247"/>
    <w:rsid w:val="003012B3"/>
    <w:rsid w:val="00301421"/>
    <w:rsid w:val="00301536"/>
    <w:rsid w:val="00301562"/>
    <w:rsid w:val="0030158E"/>
    <w:rsid w:val="003015CB"/>
    <w:rsid w:val="003015FC"/>
    <w:rsid w:val="003016B2"/>
    <w:rsid w:val="00301712"/>
    <w:rsid w:val="0030179B"/>
    <w:rsid w:val="0030179C"/>
    <w:rsid w:val="003017C6"/>
    <w:rsid w:val="003017E1"/>
    <w:rsid w:val="003017E4"/>
    <w:rsid w:val="00301837"/>
    <w:rsid w:val="0030187F"/>
    <w:rsid w:val="003018E0"/>
    <w:rsid w:val="00301911"/>
    <w:rsid w:val="00301979"/>
    <w:rsid w:val="0030197D"/>
    <w:rsid w:val="00301984"/>
    <w:rsid w:val="00301A31"/>
    <w:rsid w:val="00301AA3"/>
    <w:rsid w:val="00301AC9"/>
    <w:rsid w:val="00301AF2"/>
    <w:rsid w:val="00301CA0"/>
    <w:rsid w:val="00301CB9"/>
    <w:rsid w:val="00301D4B"/>
    <w:rsid w:val="00301E63"/>
    <w:rsid w:val="00301E9B"/>
    <w:rsid w:val="00301EBF"/>
    <w:rsid w:val="00301F92"/>
    <w:rsid w:val="0030200B"/>
    <w:rsid w:val="0030211E"/>
    <w:rsid w:val="0030216E"/>
    <w:rsid w:val="003021E7"/>
    <w:rsid w:val="0030221B"/>
    <w:rsid w:val="00302239"/>
    <w:rsid w:val="0030224C"/>
    <w:rsid w:val="0030226C"/>
    <w:rsid w:val="00302355"/>
    <w:rsid w:val="00302357"/>
    <w:rsid w:val="0030246D"/>
    <w:rsid w:val="00302495"/>
    <w:rsid w:val="0030256C"/>
    <w:rsid w:val="00302588"/>
    <w:rsid w:val="003025A0"/>
    <w:rsid w:val="003025F1"/>
    <w:rsid w:val="0030261D"/>
    <w:rsid w:val="0030267F"/>
    <w:rsid w:val="003027EE"/>
    <w:rsid w:val="00302837"/>
    <w:rsid w:val="00302910"/>
    <w:rsid w:val="00302B0E"/>
    <w:rsid w:val="00302B12"/>
    <w:rsid w:val="00302B45"/>
    <w:rsid w:val="00302C28"/>
    <w:rsid w:val="00302C51"/>
    <w:rsid w:val="00302C6E"/>
    <w:rsid w:val="00302CA0"/>
    <w:rsid w:val="00302D07"/>
    <w:rsid w:val="00302D0F"/>
    <w:rsid w:val="00302E04"/>
    <w:rsid w:val="00302F07"/>
    <w:rsid w:val="00302FCB"/>
    <w:rsid w:val="00302FFD"/>
    <w:rsid w:val="0030301A"/>
    <w:rsid w:val="00303029"/>
    <w:rsid w:val="0030306B"/>
    <w:rsid w:val="00303075"/>
    <w:rsid w:val="00303134"/>
    <w:rsid w:val="00303193"/>
    <w:rsid w:val="003031BA"/>
    <w:rsid w:val="003031CE"/>
    <w:rsid w:val="00303211"/>
    <w:rsid w:val="003032D5"/>
    <w:rsid w:val="00303311"/>
    <w:rsid w:val="0030331F"/>
    <w:rsid w:val="00303353"/>
    <w:rsid w:val="003033C7"/>
    <w:rsid w:val="003033CB"/>
    <w:rsid w:val="003033D0"/>
    <w:rsid w:val="003034A5"/>
    <w:rsid w:val="003035B0"/>
    <w:rsid w:val="003035BA"/>
    <w:rsid w:val="00303636"/>
    <w:rsid w:val="00303689"/>
    <w:rsid w:val="0030368A"/>
    <w:rsid w:val="003036D2"/>
    <w:rsid w:val="0030379F"/>
    <w:rsid w:val="003037BA"/>
    <w:rsid w:val="003037C9"/>
    <w:rsid w:val="003037D0"/>
    <w:rsid w:val="00303820"/>
    <w:rsid w:val="00303826"/>
    <w:rsid w:val="00303835"/>
    <w:rsid w:val="00303888"/>
    <w:rsid w:val="003038AE"/>
    <w:rsid w:val="0030393E"/>
    <w:rsid w:val="0030396E"/>
    <w:rsid w:val="003039B5"/>
    <w:rsid w:val="00303A23"/>
    <w:rsid w:val="00303B01"/>
    <w:rsid w:val="00303B83"/>
    <w:rsid w:val="00303B93"/>
    <w:rsid w:val="00303C28"/>
    <w:rsid w:val="00303C47"/>
    <w:rsid w:val="00303C5B"/>
    <w:rsid w:val="00303C77"/>
    <w:rsid w:val="00303CBC"/>
    <w:rsid w:val="00303CC8"/>
    <w:rsid w:val="00303D7D"/>
    <w:rsid w:val="00303D85"/>
    <w:rsid w:val="00303DB4"/>
    <w:rsid w:val="00303E76"/>
    <w:rsid w:val="00303E80"/>
    <w:rsid w:val="00303E9E"/>
    <w:rsid w:val="00303ED1"/>
    <w:rsid w:val="00303ED2"/>
    <w:rsid w:val="00303F7B"/>
    <w:rsid w:val="00303FC8"/>
    <w:rsid w:val="0030408A"/>
    <w:rsid w:val="003040BB"/>
    <w:rsid w:val="003040BC"/>
    <w:rsid w:val="003041C2"/>
    <w:rsid w:val="003041FF"/>
    <w:rsid w:val="00304273"/>
    <w:rsid w:val="003042B5"/>
    <w:rsid w:val="00304354"/>
    <w:rsid w:val="003043A1"/>
    <w:rsid w:val="003044ED"/>
    <w:rsid w:val="00304549"/>
    <w:rsid w:val="003046BD"/>
    <w:rsid w:val="0030474F"/>
    <w:rsid w:val="00304821"/>
    <w:rsid w:val="0030488E"/>
    <w:rsid w:val="0030498D"/>
    <w:rsid w:val="003049CE"/>
    <w:rsid w:val="003049E7"/>
    <w:rsid w:val="00304AAD"/>
    <w:rsid w:val="00304B35"/>
    <w:rsid w:val="00304B96"/>
    <w:rsid w:val="00304BFB"/>
    <w:rsid w:val="00304BFF"/>
    <w:rsid w:val="00304CDB"/>
    <w:rsid w:val="00304D3A"/>
    <w:rsid w:val="00304D45"/>
    <w:rsid w:val="00304DA8"/>
    <w:rsid w:val="00304E7A"/>
    <w:rsid w:val="00304F1B"/>
    <w:rsid w:val="00305036"/>
    <w:rsid w:val="0030516A"/>
    <w:rsid w:val="00305196"/>
    <w:rsid w:val="0030529D"/>
    <w:rsid w:val="003052FD"/>
    <w:rsid w:val="00305370"/>
    <w:rsid w:val="0030539F"/>
    <w:rsid w:val="003053FB"/>
    <w:rsid w:val="003054D8"/>
    <w:rsid w:val="00305541"/>
    <w:rsid w:val="00305559"/>
    <w:rsid w:val="003055A2"/>
    <w:rsid w:val="00305600"/>
    <w:rsid w:val="00305636"/>
    <w:rsid w:val="0030563C"/>
    <w:rsid w:val="003056CA"/>
    <w:rsid w:val="003056E5"/>
    <w:rsid w:val="003056F4"/>
    <w:rsid w:val="00305713"/>
    <w:rsid w:val="00305757"/>
    <w:rsid w:val="00305863"/>
    <w:rsid w:val="00305872"/>
    <w:rsid w:val="003058D2"/>
    <w:rsid w:val="003058F4"/>
    <w:rsid w:val="00305922"/>
    <w:rsid w:val="00305927"/>
    <w:rsid w:val="0030596C"/>
    <w:rsid w:val="00305AA2"/>
    <w:rsid w:val="00305AAA"/>
    <w:rsid w:val="00305AD9"/>
    <w:rsid w:val="00305B43"/>
    <w:rsid w:val="00305B59"/>
    <w:rsid w:val="00305B66"/>
    <w:rsid w:val="00305BE7"/>
    <w:rsid w:val="00305CFC"/>
    <w:rsid w:val="00305D18"/>
    <w:rsid w:val="00305D4C"/>
    <w:rsid w:val="00305DBF"/>
    <w:rsid w:val="00305DF5"/>
    <w:rsid w:val="00305E1D"/>
    <w:rsid w:val="00305ECA"/>
    <w:rsid w:val="00305F23"/>
    <w:rsid w:val="00305F45"/>
    <w:rsid w:val="00305F6E"/>
    <w:rsid w:val="00305FC4"/>
    <w:rsid w:val="00306091"/>
    <w:rsid w:val="003060A7"/>
    <w:rsid w:val="003060F1"/>
    <w:rsid w:val="003060FD"/>
    <w:rsid w:val="003062B1"/>
    <w:rsid w:val="003062BB"/>
    <w:rsid w:val="003062FD"/>
    <w:rsid w:val="00306392"/>
    <w:rsid w:val="0030642A"/>
    <w:rsid w:val="0030652B"/>
    <w:rsid w:val="00306683"/>
    <w:rsid w:val="003066D4"/>
    <w:rsid w:val="003067DA"/>
    <w:rsid w:val="0030682D"/>
    <w:rsid w:val="00306881"/>
    <w:rsid w:val="003069EB"/>
    <w:rsid w:val="00306A15"/>
    <w:rsid w:val="00306B72"/>
    <w:rsid w:val="00306BAD"/>
    <w:rsid w:val="00306BCA"/>
    <w:rsid w:val="00306C72"/>
    <w:rsid w:val="00306D7C"/>
    <w:rsid w:val="00306E6E"/>
    <w:rsid w:val="00306EAA"/>
    <w:rsid w:val="00306F16"/>
    <w:rsid w:val="00306F27"/>
    <w:rsid w:val="00306F80"/>
    <w:rsid w:val="00306FA0"/>
    <w:rsid w:val="00306FFB"/>
    <w:rsid w:val="00307013"/>
    <w:rsid w:val="00307016"/>
    <w:rsid w:val="003070C5"/>
    <w:rsid w:val="003070D0"/>
    <w:rsid w:val="003070D1"/>
    <w:rsid w:val="003070F1"/>
    <w:rsid w:val="0030716F"/>
    <w:rsid w:val="0030717A"/>
    <w:rsid w:val="00307182"/>
    <w:rsid w:val="0030723F"/>
    <w:rsid w:val="00307281"/>
    <w:rsid w:val="003073C9"/>
    <w:rsid w:val="0030742D"/>
    <w:rsid w:val="0030759A"/>
    <w:rsid w:val="0030760C"/>
    <w:rsid w:val="003076AD"/>
    <w:rsid w:val="003077B7"/>
    <w:rsid w:val="0030781D"/>
    <w:rsid w:val="003078CA"/>
    <w:rsid w:val="00307948"/>
    <w:rsid w:val="00307996"/>
    <w:rsid w:val="003079AC"/>
    <w:rsid w:val="003079B9"/>
    <w:rsid w:val="00307A13"/>
    <w:rsid w:val="00307A32"/>
    <w:rsid w:val="00307A54"/>
    <w:rsid w:val="00307B22"/>
    <w:rsid w:val="00307B59"/>
    <w:rsid w:val="00307C5B"/>
    <w:rsid w:val="00307C80"/>
    <w:rsid w:val="00307C9A"/>
    <w:rsid w:val="00307D0A"/>
    <w:rsid w:val="00307D44"/>
    <w:rsid w:val="00307DEF"/>
    <w:rsid w:val="00307F68"/>
    <w:rsid w:val="00307F83"/>
    <w:rsid w:val="00307F94"/>
    <w:rsid w:val="00307FC9"/>
    <w:rsid w:val="00307FE2"/>
    <w:rsid w:val="00307FE8"/>
    <w:rsid w:val="00307FFA"/>
    <w:rsid w:val="00310087"/>
    <w:rsid w:val="003100B9"/>
    <w:rsid w:val="003101B6"/>
    <w:rsid w:val="003101BC"/>
    <w:rsid w:val="00310222"/>
    <w:rsid w:val="00310239"/>
    <w:rsid w:val="00310272"/>
    <w:rsid w:val="00310344"/>
    <w:rsid w:val="0031038A"/>
    <w:rsid w:val="003103C9"/>
    <w:rsid w:val="00310472"/>
    <w:rsid w:val="003104F9"/>
    <w:rsid w:val="003105CF"/>
    <w:rsid w:val="00310666"/>
    <w:rsid w:val="0031066C"/>
    <w:rsid w:val="00310672"/>
    <w:rsid w:val="003106EC"/>
    <w:rsid w:val="003106FB"/>
    <w:rsid w:val="00310796"/>
    <w:rsid w:val="0031081F"/>
    <w:rsid w:val="0031093E"/>
    <w:rsid w:val="00310A4B"/>
    <w:rsid w:val="00310A8B"/>
    <w:rsid w:val="00310A8E"/>
    <w:rsid w:val="00310A9F"/>
    <w:rsid w:val="00310AD8"/>
    <w:rsid w:val="00310BBA"/>
    <w:rsid w:val="00310BEE"/>
    <w:rsid w:val="00310D94"/>
    <w:rsid w:val="00310F2A"/>
    <w:rsid w:val="00310F69"/>
    <w:rsid w:val="00311006"/>
    <w:rsid w:val="00311101"/>
    <w:rsid w:val="0031118B"/>
    <w:rsid w:val="0031131A"/>
    <w:rsid w:val="0031133E"/>
    <w:rsid w:val="0031134A"/>
    <w:rsid w:val="00311397"/>
    <w:rsid w:val="003113C5"/>
    <w:rsid w:val="003114E1"/>
    <w:rsid w:val="00311501"/>
    <w:rsid w:val="0031151C"/>
    <w:rsid w:val="0031171E"/>
    <w:rsid w:val="00311731"/>
    <w:rsid w:val="003118BE"/>
    <w:rsid w:val="003118DC"/>
    <w:rsid w:val="00311A49"/>
    <w:rsid w:val="00311A4C"/>
    <w:rsid w:val="00311A53"/>
    <w:rsid w:val="00311AD3"/>
    <w:rsid w:val="00311B04"/>
    <w:rsid w:val="00311B99"/>
    <w:rsid w:val="00311C11"/>
    <w:rsid w:val="00311CA8"/>
    <w:rsid w:val="00311D1A"/>
    <w:rsid w:val="00311D58"/>
    <w:rsid w:val="00311DF7"/>
    <w:rsid w:val="00311EA3"/>
    <w:rsid w:val="00311F54"/>
    <w:rsid w:val="00311F73"/>
    <w:rsid w:val="00312051"/>
    <w:rsid w:val="00312071"/>
    <w:rsid w:val="00312155"/>
    <w:rsid w:val="003121B2"/>
    <w:rsid w:val="003121F6"/>
    <w:rsid w:val="003122A8"/>
    <w:rsid w:val="00312308"/>
    <w:rsid w:val="00312309"/>
    <w:rsid w:val="0031234F"/>
    <w:rsid w:val="00312389"/>
    <w:rsid w:val="003123AB"/>
    <w:rsid w:val="003124F3"/>
    <w:rsid w:val="003124F5"/>
    <w:rsid w:val="003124F9"/>
    <w:rsid w:val="0031256A"/>
    <w:rsid w:val="0031258C"/>
    <w:rsid w:val="00312629"/>
    <w:rsid w:val="00312658"/>
    <w:rsid w:val="003126E0"/>
    <w:rsid w:val="003126E2"/>
    <w:rsid w:val="00312727"/>
    <w:rsid w:val="00312773"/>
    <w:rsid w:val="0031278D"/>
    <w:rsid w:val="0031283E"/>
    <w:rsid w:val="003128D3"/>
    <w:rsid w:val="0031293A"/>
    <w:rsid w:val="0031296C"/>
    <w:rsid w:val="00312991"/>
    <w:rsid w:val="003129B6"/>
    <w:rsid w:val="00312AFE"/>
    <w:rsid w:val="00312B05"/>
    <w:rsid w:val="00312B06"/>
    <w:rsid w:val="00312B07"/>
    <w:rsid w:val="00312B7D"/>
    <w:rsid w:val="00312B9B"/>
    <w:rsid w:val="00312BFC"/>
    <w:rsid w:val="00312C8B"/>
    <w:rsid w:val="00312D61"/>
    <w:rsid w:val="00312D78"/>
    <w:rsid w:val="00312DA5"/>
    <w:rsid w:val="00312E96"/>
    <w:rsid w:val="00312EC9"/>
    <w:rsid w:val="00312F0F"/>
    <w:rsid w:val="00312FE7"/>
    <w:rsid w:val="0031314D"/>
    <w:rsid w:val="0031317F"/>
    <w:rsid w:val="003131A2"/>
    <w:rsid w:val="003132AC"/>
    <w:rsid w:val="00313466"/>
    <w:rsid w:val="0031347C"/>
    <w:rsid w:val="003134B7"/>
    <w:rsid w:val="003134C1"/>
    <w:rsid w:val="00313504"/>
    <w:rsid w:val="00313505"/>
    <w:rsid w:val="0031358F"/>
    <w:rsid w:val="0031376A"/>
    <w:rsid w:val="00313782"/>
    <w:rsid w:val="003138D7"/>
    <w:rsid w:val="003138D9"/>
    <w:rsid w:val="00313953"/>
    <w:rsid w:val="0031395C"/>
    <w:rsid w:val="003139F9"/>
    <w:rsid w:val="00313A90"/>
    <w:rsid w:val="00313AAF"/>
    <w:rsid w:val="00313AC5"/>
    <w:rsid w:val="00313B2B"/>
    <w:rsid w:val="00313B9B"/>
    <w:rsid w:val="00313C3E"/>
    <w:rsid w:val="00313C89"/>
    <w:rsid w:val="00313CDD"/>
    <w:rsid w:val="00313E5B"/>
    <w:rsid w:val="00313E74"/>
    <w:rsid w:val="00313F0C"/>
    <w:rsid w:val="00313F32"/>
    <w:rsid w:val="00313F5D"/>
    <w:rsid w:val="00313F85"/>
    <w:rsid w:val="003141BE"/>
    <w:rsid w:val="003141FC"/>
    <w:rsid w:val="00314213"/>
    <w:rsid w:val="00314241"/>
    <w:rsid w:val="003142BA"/>
    <w:rsid w:val="003142DE"/>
    <w:rsid w:val="0031437D"/>
    <w:rsid w:val="003143C4"/>
    <w:rsid w:val="0031440F"/>
    <w:rsid w:val="0031442F"/>
    <w:rsid w:val="00314438"/>
    <w:rsid w:val="003144CC"/>
    <w:rsid w:val="00314590"/>
    <w:rsid w:val="003145CD"/>
    <w:rsid w:val="00314625"/>
    <w:rsid w:val="0031468A"/>
    <w:rsid w:val="00314748"/>
    <w:rsid w:val="00314749"/>
    <w:rsid w:val="0031475A"/>
    <w:rsid w:val="00314777"/>
    <w:rsid w:val="003147A1"/>
    <w:rsid w:val="003147C4"/>
    <w:rsid w:val="0031485C"/>
    <w:rsid w:val="003148C2"/>
    <w:rsid w:val="003149C1"/>
    <w:rsid w:val="003149DE"/>
    <w:rsid w:val="003149F0"/>
    <w:rsid w:val="00314A2F"/>
    <w:rsid w:val="00314A75"/>
    <w:rsid w:val="00314A96"/>
    <w:rsid w:val="00314B1F"/>
    <w:rsid w:val="00314B6A"/>
    <w:rsid w:val="00314BCA"/>
    <w:rsid w:val="00314C2E"/>
    <w:rsid w:val="00314C52"/>
    <w:rsid w:val="00314C8B"/>
    <w:rsid w:val="00314DFC"/>
    <w:rsid w:val="00314E56"/>
    <w:rsid w:val="00314E88"/>
    <w:rsid w:val="00314ED2"/>
    <w:rsid w:val="00314EDA"/>
    <w:rsid w:val="00314FAF"/>
    <w:rsid w:val="00314FBA"/>
    <w:rsid w:val="00314FC4"/>
    <w:rsid w:val="00315010"/>
    <w:rsid w:val="003150EE"/>
    <w:rsid w:val="003150F3"/>
    <w:rsid w:val="0031520D"/>
    <w:rsid w:val="0031520F"/>
    <w:rsid w:val="003152BD"/>
    <w:rsid w:val="003153C4"/>
    <w:rsid w:val="003153DC"/>
    <w:rsid w:val="003153F5"/>
    <w:rsid w:val="0031540C"/>
    <w:rsid w:val="0031540E"/>
    <w:rsid w:val="00315422"/>
    <w:rsid w:val="00315435"/>
    <w:rsid w:val="003155FB"/>
    <w:rsid w:val="00315629"/>
    <w:rsid w:val="0031562C"/>
    <w:rsid w:val="003157CB"/>
    <w:rsid w:val="00315874"/>
    <w:rsid w:val="00315882"/>
    <w:rsid w:val="003158D3"/>
    <w:rsid w:val="003158FF"/>
    <w:rsid w:val="00315942"/>
    <w:rsid w:val="003159E9"/>
    <w:rsid w:val="003159EB"/>
    <w:rsid w:val="00315B1F"/>
    <w:rsid w:val="00315B3B"/>
    <w:rsid w:val="00315B54"/>
    <w:rsid w:val="00315B57"/>
    <w:rsid w:val="00315BBD"/>
    <w:rsid w:val="00315BC2"/>
    <w:rsid w:val="00315C9E"/>
    <w:rsid w:val="00315CBB"/>
    <w:rsid w:val="00315D0E"/>
    <w:rsid w:val="00315E4D"/>
    <w:rsid w:val="00315E81"/>
    <w:rsid w:val="00315E9F"/>
    <w:rsid w:val="00315EE0"/>
    <w:rsid w:val="00315F14"/>
    <w:rsid w:val="00315FEC"/>
    <w:rsid w:val="00316016"/>
    <w:rsid w:val="0031606B"/>
    <w:rsid w:val="00316111"/>
    <w:rsid w:val="0031636E"/>
    <w:rsid w:val="003163CE"/>
    <w:rsid w:val="0031656E"/>
    <w:rsid w:val="00316570"/>
    <w:rsid w:val="00316596"/>
    <w:rsid w:val="003165C7"/>
    <w:rsid w:val="003165F2"/>
    <w:rsid w:val="00316683"/>
    <w:rsid w:val="0031677C"/>
    <w:rsid w:val="003167C2"/>
    <w:rsid w:val="00316864"/>
    <w:rsid w:val="00316878"/>
    <w:rsid w:val="00316882"/>
    <w:rsid w:val="003168E7"/>
    <w:rsid w:val="00316915"/>
    <w:rsid w:val="003169CA"/>
    <w:rsid w:val="00316A0D"/>
    <w:rsid w:val="00316A30"/>
    <w:rsid w:val="00316A44"/>
    <w:rsid w:val="00316C03"/>
    <w:rsid w:val="00316C1D"/>
    <w:rsid w:val="00316D05"/>
    <w:rsid w:val="00316D73"/>
    <w:rsid w:val="00316DE6"/>
    <w:rsid w:val="00316E01"/>
    <w:rsid w:val="00316E97"/>
    <w:rsid w:val="00316FDE"/>
    <w:rsid w:val="0031707E"/>
    <w:rsid w:val="003170CF"/>
    <w:rsid w:val="00317129"/>
    <w:rsid w:val="003171B0"/>
    <w:rsid w:val="003171C7"/>
    <w:rsid w:val="00317235"/>
    <w:rsid w:val="003172C0"/>
    <w:rsid w:val="003173A5"/>
    <w:rsid w:val="003173C1"/>
    <w:rsid w:val="0031742A"/>
    <w:rsid w:val="00317490"/>
    <w:rsid w:val="003174A0"/>
    <w:rsid w:val="003174B0"/>
    <w:rsid w:val="003174D7"/>
    <w:rsid w:val="00317531"/>
    <w:rsid w:val="00317548"/>
    <w:rsid w:val="0031757A"/>
    <w:rsid w:val="003175F1"/>
    <w:rsid w:val="0031762D"/>
    <w:rsid w:val="00317745"/>
    <w:rsid w:val="00317749"/>
    <w:rsid w:val="003177BE"/>
    <w:rsid w:val="00317849"/>
    <w:rsid w:val="00317864"/>
    <w:rsid w:val="00317A0B"/>
    <w:rsid w:val="00317A7B"/>
    <w:rsid w:val="00317AB2"/>
    <w:rsid w:val="00317ABB"/>
    <w:rsid w:val="00317B9D"/>
    <w:rsid w:val="00317BA1"/>
    <w:rsid w:val="00317DAD"/>
    <w:rsid w:val="00317EBB"/>
    <w:rsid w:val="00317F42"/>
    <w:rsid w:val="00317FB2"/>
    <w:rsid w:val="00317FE8"/>
    <w:rsid w:val="003200EA"/>
    <w:rsid w:val="00320174"/>
    <w:rsid w:val="00320198"/>
    <w:rsid w:val="003202E3"/>
    <w:rsid w:val="00320355"/>
    <w:rsid w:val="00320361"/>
    <w:rsid w:val="003203D4"/>
    <w:rsid w:val="003203E1"/>
    <w:rsid w:val="0032040A"/>
    <w:rsid w:val="00320509"/>
    <w:rsid w:val="0032050F"/>
    <w:rsid w:val="00320663"/>
    <w:rsid w:val="00320696"/>
    <w:rsid w:val="00320743"/>
    <w:rsid w:val="0032080E"/>
    <w:rsid w:val="00320870"/>
    <w:rsid w:val="003208C6"/>
    <w:rsid w:val="00320A15"/>
    <w:rsid w:val="00320A2E"/>
    <w:rsid w:val="00320ACF"/>
    <w:rsid w:val="00320AD0"/>
    <w:rsid w:val="00320B0D"/>
    <w:rsid w:val="00320B1A"/>
    <w:rsid w:val="00320B25"/>
    <w:rsid w:val="00320BF5"/>
    <w:rsid w:val="00320C16"/>
    <w:rsid w:val="00320C2E"/>
    <w:rsid w:val="00320D79"/>
    <w:rsid w:val="00320DE5"/>
    <w:rsid w:val="00320E3E"/>
    <w:rsid w:val="00320E6D"/>
    <w:rsid w:val="00320EC9"/>
    <w:rsid w:val="00320F7B"/>
    <w:rsid w:val="0032101B"/>
    <w:rsid w:val="0032107C"/>
    <w:rsid w:val="003210CB"/>
    <w:rsid w:val="003211B2"/>
    <w:rsid w:val="00321205"/>
    <w:rsid w:val="00321266"/>
    <w:rsid w:val="0032138F"/>
    <w:rsid w:val="00321400"/>
    <w:rsid w:val="003214B3"/>
    <w:rsid w:val="003214B6"/>
    <w:rsid w:val="00321540"/>
    <w:rsid w:val="00321683"/>
    <w:rsid w:val="00321693"/>
    <w:rsid w:val="003216A2"/>
    <w:rsid w:val="00321804"/>
    <w:rsid w:val="00321843"/>
    <w:rsid w:val="00321864"/>
    <w:rsid w:val="003218D4"/>
    <w:rsid w:val="003218FE"/>
    <w:rsid w:val="00321932"/>
    <w:rsid w:val="0032195E"/>
    <w:rsid w:val="00321965"/>
    <w:rsid w:val="00321A65"/>
    <w:rsid w:val="00321ABE"/>
    <w:rsid w:val="00321B29"/>
    <w:rsid w:val="00321B60"/>
    <w:rsid w:val="00321BCA"/>
    <w:rsid w:val="00321C25"/>
    <w:rsid w:val="00321C45"/>
    <w:rsid w:val="00321D08"/>
    <w:rsid w:val="00321D76"/>
    <w:rsid w:val="00321E05"/>
    <w:rsid w:val="00321EE0"/>
    <w:rsid w:val="00321EF8"/>
    <w:rsid w:val="00321F14"/>
    <w:rsid w:val="00321F6B"/>
    <w:rsid w:val="00321FE7"/>
    <w:rsid w:val="0032201B"/>
    <w:rsid w:val="00322024"/>
    <w:rsid w:val="00322035"/>
    <w:rsid w:val="00322090"/>
    <w:rsid w:val="003220F3"/>
    <w:rsid w:val="00322101"/>
    <w:rsid w:val="00322160"/>
    <w:rsid w:val="003221BF"/>
    <w:rsid w:val="003221C8"/>
    <w:rsid w:val="00322395"/>
    <w:rsid w:val="00322438"/>
    <w:rsid w:val="0032248A"/>
    <w:rsid w:val="00322495"/>
    <w:rsid w:val="003224AD"/>
    <w:rsid w:val="0032252A"/>
    <w:rsid w:val="003225C1"/>
    <w:rsid w:val="003226FE"/>
    <w:rsid w:val="00322723"/>
    <w:rsid w:val="0032272B"/>
    <w:rsid w:val="00322758"/>
    <w:rsid w:val="00322791"/>
    <w:rsid w:val="003227DC"/>
    <w:rsid w:val="00322842"/>
    <w:rsid w:val="00322946"/>
    <w:rsid w:val="0032297F"/>
    <w:rsid w:val="0032298E"/>
    <w:rsid w:val="00322BC2"/>
    <w:rsid w:val="00322BDB"/>
    <w:rsid w:val="00322CD9"/>
    <w:rsid w:val="00322CF2"/>
    <w:rsid w:val="00322E0F"/>
    <w:rsid w:val="00322E22"/>
    <w:rsid w:val="00322E33"/>
    <w:rsid w:val="00322FEE"/>
    <w:rsid w:val="00322FF4"/>
    <w:rsid w:val="00323014"/>
    <w:rsid w:val="003230C8"/>
    <w:rsid w:val="003230ED"/>
    <w:rsid w:val="0032319F"/>
    <w:rsid w:val="003231EB"/>
    <w:rsid w:val="0032323F"/>
    <w:rsid w:val="00323266"/>
    <w:rsid w:val="0032326C"/>
    <w:rsid w:val="003232E1"/>
    <w:rsid w:val="00323394"/>
    <w:rsid w:val="003234CC"/>
    <w:rsid w:val="00323523"/>
    <w:rsid w:val="0032356C"/>
    <w:rsid w:val="003235BF"/>
    <w:rsid w:val="003235C2"/>
    <w:rsid w:val="003235F2"/>
    <w:rsid w:val="00323645"/>
    <w:rsid w:val="0032364F"/>
    <w:rsid w:val="003236A0"/>
    <w:rsid w:val="003236F4"/>
    <w:rsid w:val="00323701"/>
    <w:rsid w:val="00323703"/>
    <w:rsid w:val="00323762"/>
    <w:rsid w:val="0032380A"/>
    <w:rsid w:val="00323887"/>
    <w:rsid w:val="00323899"/>
    <w:rsid w:val="00323917"/>
    <w:rsid w:val="00323A09"/>
    <w:rsid w:val="00323B14"/>
    <w:rsid w:val="00323B4A"/>
    <w:rsid w:val="00323BBE"/>
    <w:rsid w:val="00323C5D"/>
    <w:rsid w:val="00323C6A"/>
    <w:rsid w:val="00323E14"/>
    <w:rsid w:val="00323E6A"/>
    <w:rsid w:val="00323F1C"/>
    <w:rsid w:val="00323FC4"/>
    <w:rsid w:val="00324006"/>
    <w:rsid w:val="0032409B"/>
    <w:rsid w:val="003241B0"/>
    <w:rsid w:val="003241CB"/>
    <w:rsid w:val="00324214"/>
    <w:rsid w:val="00324232"/>
    <w:rsid w:val="00324325"/>
    <w:rsid w:val="0032437C"/>
    <w:rsid w:val="003243B4"/>
    <w:rsid w:val="0032443B"/>
    <w:rsid w:val="00324448"/>
    <w:rsid w:val="003244CE"/>
    <w:rsid w:val="00324504"/>
    <w:rsid w:val="00324518"/>
    <w:rsid w:val="00324522"/>
    <w:rsid w:val="00324608"/>
    <w:rsid w:val="00324640"/>
    <w:rsid w:val="003246BB"/>
    <w:rsid w:val="00324727"/>
    <w:rsid w:val="003247A3"/>
    <w:rsid w:val="0032486B"/>
    <w:rsid w:val="0032495A"/>
    <w:rsid w:val="0032495E"/>
    <w:rsid w:val="00324983"/>
    <w:rsid w:val="003249DE"/>
    <w:rsid w:val="00324AA1"/>
    <w:rsid w:val="00324BB5"/>
    <w:rsid w:val="00324C19"/>
    <w:rsid w:val="00324C1D"/>
    <w:rsid w:val="00324C24"/>
    <w:rsid w:val="00324D57"/>
    <w:rsid w:val="00324D5F"/>
    <w:rsid w:val="00324DAD"/>
    <w:rsid w:val="00324E7D"/>
    <w:rsid w:val="00324ED2"/>
    <w:rsid w:val="00324F53"/>
    <w:rsid w:val="00324FD8"/>
    <w:rsid w:val="0032501C"/>
    <w:rsid w:val="00325093"/>
    <w:rsid w:val="003250B3"/>
    <w:rsid w:val="003250C1"/>
    <w:rsid w:val="003251D3"/>
    <w:rsid w:val="00325228"/>
    <w:rsid w:val="00325234"/>
    <w:rsid w:val="00325283"/>
    <w:rsid w:val="00325397"/>
    <w:rsid w:val="0032543B"/>
    <w:rsid w:val="00325462"/>
    <w:rsid w:val="003254C7"/>
    <w:rsid w:val="003255E1"/>
    <w:rsid w:val="003255E3"/>
    <w:rsid w:val="00325676"/>
    <w:rsid w:val="0032567B"/>
    <w:rsid w:val="003256CF"/>
    <w:rsid w:val="0032576A"/>
    <w:rsid w:val="00325798"/>
    <w:rsid w:val="00325862"/>
    <w:rsid w:val="003258A8"/>
    <w:rsid w:val="003258FC"/>
    <w:rsid w:val="00325925"/>
    <w:rsid w:val="0032595C"/>
    <w:rsid w:val="00325966"/>
    <w:rsid w:val="00325A36"/>
    <w:rsid w:val="00325A51"/>
    <w:rsid w:val="00325A56"/>
    <w:rsid w:val="00325A59"/>
    <w:rsid w:val="00325B36"/>
    <w:rsid w:val="00325C40"/>
    <w:rsid w:val="00325D27"/>
    <w:rsid w:val="00325D51"/>
    <w:rsid w:val="00325E79"/>
    <w:rsid w:val="00325EA5"/>
    <w:rsid w:val="00325F66"/>
    <w:rsid w:val="00325FF2"/>
    <w:rsid w:val="0032602C"/>
    <w:rsid w:val="00326039"/>
    <w:rsid w:val="003260B6"/>
    <w:rsid w:val="003260FB"/>
    <w:rsid w:val="003261D7"/>
    <w:rsid w:val="00326303"/>
    <w:rsid w:val="003263C5"/>
    <w:rsid w:val="003263F0"/>
    <w:rsid w:val="003264A8"/>
    <w:rsid w:val="003264F8"/>
    <w:rsid w:val="0032650B"/>
    <w:rsid w:val="0032662E"/>
    <w:rsid w:val="0032667B"/>
    <w:rsid w:val="003266CB"/>
    <w:rsid w:val="003266DF"/>
    <w:rsid w:val="00326781"/>
    <w:rsid w:val="003267C8"/>
    <w:rsid w:val="0032682D"/>
    <w:rsid w:val="00326949"/>
    <w:rsid w:val="00326A7F"/>
    <w:rsid w:val="00326AFE"/>
    <w:rsid w:val="00326BC0"/>
    <w:rsid w:val="00326C7D"/>
    <w:rsid w:val="00326D57"/>
    <w:rsid w:val="00326D81"/>
    <w:rsid w:val="00326DEB"/>
    <w:rsid w:val="00326E7B"/>
    <w:rsid w:val="00326EE7"/>
    <w:rsid w:val="00326F07"/>
    <w:rsid w:val="00326FC2"/>
    <w:rsid w:val="00326FD6"/>
    <w:rsid w:val="003270D7"/>
    <w:rsid w:val="00327162"/>
    <w:rsid w:val="00327200"/>
    <w:rsid w:val="00327206"/>
    <w:rsid w:val="0032728B"/>
    <w:rsid w:val="003272A5"/>
    <w:rsid w:val="003273D8"/>
    <w:rsid w:val="0032744F"/>
    <w:rsid w:val="003274A9"/>
    <w:rsid w:val="003274C0"/>
    <w:rsid w:val="00327557"/>
    <w:rsid w:val="0032756A"/>
    <w:rsid w:val="00327580"/>
    <w:rsid w:val="003275F3"/>
    <w:rsid w:val="0032769E"/>
    <w:rsid w:val="003277F9"/>
    <w:rsid w:val="00327851"/>
    <w:rsid w:val="0032787B"/>
    <w:rsid w:val="0032799B"/>
    <w:rsid w:val="00327A18"/>
    <w:rsid w:val="00327B4A"/>
    <w:rsid w:val="00327C6B"/>
    <w:rsid w:val="00327CF9"/>
    <w:rsid w:val="00327D25"/>
    <w:rsid w:val="00327D84"/>
    <w:rsid w:val="00327DA1"/>
    <w:rsid w:val="00327DC8"/>
    <w:rsid w:val="00327E12"/>
    <w:rsid w:val="00327E56"/>
    <w:rsid w:val="00327E9C"/>
    <w:rsid w:val="00327F42"/>
    <w:rsid w:val="00330113"/>
    <w:rsid w:val="00330248"/>
    <w:rsid w:val="0033026D"/>
    <w:rsid w:val="003302A7"/>
    <w:rsid w:val="003302D9"/>
    <w:rsid w:val="003302FB"/>
    <w:rsid w:val="00330305"/>
    <w:rsid w:val="0033036B"/>
    <w:rsid w:val="0033038E"/>
    <w:rsid w:val="00330408"/>
    <w:rsid w:val="0033046B"/>
    <w:rsid w:val="00330475"/>
    <w:rsid w:val="0033055C"/>
    <w:rsid w:val="00330614"/>
    <w:rsid w:val="00330711"/>
    <w:rsid w:val="00330731"/>
    <w:rsid w:val="00330763"/>
    <w:rsid w:val="003307E6"/>
    <w:rsid w:val="0033082A"/>
    <w:rsid w:val="003308A0"/>
    <w:rsid w:val="00330912"/>
    <w:rsid w:val="00330913"/>
    <w:rsid w:val="00330952"/>
    <w:rsid w:val="003309A3"/>
    <w:rsid w:val="00330A12"/>
    <w:rsid w:val="00330A13"/>
    <w:rsid w:val="00330AD7"/>
    <w:rsid w:val="00330B6F"/>
    <w:rsid w:val="00330BFD"/>
    <w:rsid w:val="00330C42"/>
    <w:rsid w:val="00330CAD"/>
    <w:rsid w:val="00330CB3"/>
    <w:rsid w:val="00330CD6"/>
    <w:rsid w:val="00330F1D"/>
    <w:rsid w:val="00330F9C"/>
    <w:rsid w:val="0033103A"/>
    <w:rsid w:val="00331090"/>
    <w:rsid w:val="003310D5"/>
    <w:rsid w:val="0033116D"/>
    <w:rsid w:val="00331255"/>
    <w:rsid w:val="003312C1"/>
    <w:rsid w:val="003312E8"/>
    <w:rsid w:val="00331369"/>
    <w:rsid w:val="003313A4"/>
    <w:rsid w:val="003313AD"/>
    <w:rsid w:val="003314A1"/>
    <w:rsid w:val="00331510"/>
    <w:rsid w:val="00331513"/>
    <w:rsid w:val="0033169B"/>
    <w:rsid w:val="003316DE"/>
    <w:rsid w:val="003317A8"/>
    <w:rsid w:val="00331812"/>
    <w:rsid w:val="0033185D"/>
    <w:rsid w:val="00331924"/>
    <w:rsid w:val="00331A47"/>
    <w:rsid w:val="00331AA4"/>
    <w:rsid w:val="00331B06"/>
    <w:rsid w:val="00331B68"/>
    <w:rsid w:val="00331C36"/>
    <w:rsid w:val="00331C84"/>
    <w:rsid w:val="00331CE9"/>
    <w:rsid w:val="00331DD5"/>
    <w:rsid w:val="00331E07"/>
    <w:rsid w:val="00331E87"/>
    <w:rsid w:val="00331F12"/>
    <w:rsid w:val="003320A8"/>
    <w:rsid w:val="003320AD"/>
    <w:rsid w:val="003320B1"/>
    <w:rsid w:val="00332100"/>
    <w:rsid w:val="0033213D"/>
    <w:rsid w:val="003321B0"/>
    <w:rsid w:val="00332201"/>
    <w:rsid w:val="00332259"/>
    <w:rsid w:val="00332262"/>
    <w:rsid w:val="00332265"/>
    <w:rsid w:val="003322A2"/>
    <w:rsid w:val="003323E0"/>
    <w:rsid w:val="003324B2"/>
    <w:rsid w:val="003324E6"/>
    <w:rsid w:val="00332505"/>
    <w:rsid w:val="0033252E"/>
    <w:rsid w:val="003325C5"/>
    <w:rsid w:val="003326F3"/>
    <w:rsid w:val="003326F9"/>
    <w:rsid w:val="0033273F"/>
    <w:rsid w:val="00332810"/>
    <w:rsid w:val="0033297F"/>
    <w:rsid w:val="00332987"/>
    <w:rsid w:val="00332988"/>
    <w:rsid w:val="00332A54"/>
    <w:rsid w:val="00332A73"/>
    <w:rsid w:val="00332AF5"/>
    <w:rsid w:val="00332B09"/>
    <w:rsid w:val="00332B35"/>
    <w:rsid w:val="00332B4A"/>
    <w:rsid w:val="00332C81"/>
    <w:rsid w:val="00332CDF"/>
    <w:rsid w:val="00332CF5"/>
    <w:rsid w:val="00332D11"/>
    <w:rsid w:val="00332D16"/>
    <w:rsid w:val="00332D17"/>
    <w:rsid w:val="00332D1A"/>
    <w:rsid w:val="00332D8B"/>
    <w:rsid w:val="00332DFA"/>
    <w:rsid w:val="00332E18"/>
    <w:rsid w:val="00332E39"/>
    <w:rsid w:val="00332E99"/>
    <w:rsid w:val="00332F8A"/>
    <w:rsid w:val="00333061"/>
    <w:rsid w:val="00333099"/>
    <w:rsid w:val="003330EC"/>
    <w:rsid w:val="00333146"/>
    <w:rsid w:val="00333258"/>
    <w:rsid w:val="0033326B"/>
    <w:rsid w:val="00333307"/>
    <w:rsid w:val="003333BC"/>
    <w:rsid w:val="00333431"/>
    <w:rsid w:val="00333561"/>
    <w:rsid w:val="003335AC"/>
    <w:rsid w:val="00333605"/>
    <w:rsid w:val="003336D4"/>
    <w:rsid w:val="00333719"/>
    <w:rsid w:val="0033378B"/>
    <w:rsid w:val="003337A0"/>
    <w:rsid w:val="00333892"/>
    <w:rsid w:val="003338B2"/>
    <w:rsid w:val="00333A1F"/>
    <w:rsid w:val="00333A3C"/>
    <w:rsid w:val="00333AC5"/>
    <w:rsid w:val="00333B3E"/>
    <w:rsid w:val="00333B66"/>
    <w:rsid w:val="00333B73"/>
    <w:rsid w:val="00333C17"/>
    <w:rsid w:val="00333C4E"/>
    <w:rsid w:val="00333DE8"/>
    <w:rsid w:val="00333DFD"/>
    <w:rsid w:val="00333E36"/>
    <w:rsid w:val="00333E4A"/>
    <w:rsid w:val="00333EE7"/>
    <w:rsid w:val="00333F78"/>
    <w:rsid w:val="00333F90"/>
    <w:rsid w:val="00333FFF"/>
    <w:rsid w:val="0033406C"/>
    <w:rsid w:val="003340C5"/>
    <w:rsid w:val="00334141"/>
    <w:rsid w:val="0033418B"/>
    <w:rsid w:val="00334241"/>
    <w:rsid w:val="00334293"/>
    <w:rsid w:val="003342B5"/>
    <w:rsid w:val="003342E7"/>
    <w:rsid w:val="0033432E"/>
    <w:rsid w:val="00334334"/>
    <w:rsid w:val="003343ED"/>
    <w:rsid w:val="00334407"/>
    <w:rsid w:val="0033443B"/>
    <w:rsid w:val="0033447B"/>
    <w:rsid w:val="003344BE"/>
    <w:rsid w:val="003344C6"/>
    <w:rsid w:val="003344E6"/>
    <w:rsid w:val="00334552"/>
    <w:rsid w:val="003345EF"/>
    <w:rsid w:val="003346E5"/>
    <w:rsid w:val="00334747"/>
    <w:rsid w:val="00334754"/>
    <w:rsid w:val="0033493A"/>
    <w:rsid w:val="0033494F"/>
    <w:rsid w:val="0033496C"/>
    <w:rsid w:val="00334973"/>
    <w:rsid w:val="003349BC"/>
    <w:rsid w:val="003349EA"/>
    <w:rsid w:val="00334B4C"/>
    <w:rsid w:val="00334C19"/>
    <w:rsid w:val="00334CFB"/>
    <w:rsid w:val="00334D18"/>
    <w:rsid w:val="00334D4F"/>
    <w:rsid w:val="00334D71"/>
    <w:rsid w:val="00334D83"/>
    <w:rsid w:val="00334DA4"/>
    <w:rsid w:val="00334DBF"/>
    <w:rsid w:val="00334DD2"/>
    <w:rsid w:val="00334DF5"/>
    <w:rsid w:val="00334E20"/>
    <w:rsid w:val="00334E2D"/>
    <w:rsid w:val="00334E3E"/>
    <w:rsid w:val="00334E84"/>
    <w:rsid w:val="00334E94"/>
    <w:rsid w:val="00334EED"/>
    <w:rsid w:val="00334F60"/>
    <w:rsid w:val="00334FEC"/>
    <w:rsid w:val="00334FFB"/>
    <w:rsid w:val="003350A9"/>
    <w:rsid w:val="00335153"/>
    <w:rsid w:val="00335159"/>
    <w:rsid w:val="00335164"/>
    <w:rsid w:val="003351B4"/>
    <w:rsid w:val="003351D8"/>
    <w:rsid w:val="003351E8"/>
    <w:rsid w:val="0033528B"/>
    <w:rsid w:val="003352E0"/>
    <w:rsid w:val="00335381"/>
    <w:rsid w:val="003353C3"/>
    <w:rsid w:val="0033540C"/>
    <w:rsid w:val="003354F6"/>
    <w:rsid w:val="00335500"/>
    <w:rsid w:val="0033553D"/>
    <w:rsid w:val="0033557B"/>
    <w:rsid w:val="00335581"/>
    <w:rsid w:val="0033566F"/>
    <w:rsid w:val="003356D7"/>
    <w:rsid w:val="003356F5"/>
    <w:rsid w:val="0033573C"/>
    <w:rsid w:val="0033573F"/>
    <w:rsid w:val="00335755"/>
    <w:rsid w:val="003357AA"/>
    <w:rsid w:val="003357DB"/>
    <w:rsid w:val="0033598D"/>
    <w:rsid w:val="00335A29"/>
    <w:rsid w:val="00335AB0"/>
    <w:rsid w:val="00335B29"/>
    <w:rsid w:val="00335BF9"/>
    <w:rsid w:val="00335C52"/>
    <w:rsid w:val="00335C5E"/>
    <w:rsid w:val="00335CE5"/>
    <w:rsid w:val="00335D11"/>
    <w:rsid w:val="00335DBC"/>
    <w:rsid w:val="00335E75"/>
    <w:rsid w:val="00335EAF"/>
    <w:rsid w:val="00335EBD"/>
    <w:rsid w:val="00335EEB"/>
    <w:rsid w:val="00335F1E"/>
    <w:rsid w:val="00335F7A"/>
    <w:rsid w:val="00335FBF"/>
    <w:rsid w:val="00335FDA"/>
    <w:rsid w:val="00336076"/>
    <w:rsid w:val="003360B3"/>
    <w:rsid w:val="0033615E"/>
    <w:rsid w:val="00336169"/>
    <w:rsid w:val="00336350"/>
    <w:rsid w:val="00336369"/>
    <w:rsid w:val="003364F3"/>
    <w:rsid w:val="00336627"/>
    <w:rsid w:val="00336693"/>
    <w:rsid w:val="003366FE"/>
    <w:rsid w:val="00336716"/>
    <w:rsid w:val="00336795"/>
    <w:rsid w:val="0033686F"/>
    <w:rsid w:val="00336907"/>
    <w:rsid w:val="0033696B"/>
    <w:rsid w:val="003369D7"/>
    <w:rsid w:val="003369EF"/>
    <w:rsid w:val="00336A60"/>
    <w:rsid w:val="00336B14"/>
    <w:rsid w:val="00336BB6"/>
    <w:rsid w:val="00336BD0"/>
    <w:rsid w:val="00336C93"/>
    <w:rsid w:val="00336D50"/>
    <w:rsid w:val="00336DD6"/>
    <w:rsid w:val="00336EA2"/>
    <w:rsid w:val="00336EA3"/>
    <w:rsid w:val="00336F05"/>
    <w:rsid w:val="00336F41"/>
    <w:rsid w:val="00336F5E"/>
    <w:rsid w:val="00336F65"/>
    <w:rsid w:val="00336FD4"/>
    <w:rsid w:val="003370C2"/>
    <w:rsid w:val="0033725A"/>
    <w:rsid w:val="003372BE"/>
    <w:rsid w:val="00337300"/>
    <w:rsid w:val="0033736B"/>
    <w:rsid w:val="003373FA"/>
    <w:rsid w:val="0033756C"/>
    <w:rsid w:val="00337597"/>
    <w:rsid w:val="00337682"/>
    <w:rsid w:val="003376A2"/>
    <w:rsid w:val="0033787C"/>
    <w:rsid w:val="003378B6"/>
    <w:rsid w:val="003378C2"/>
    <w:rsid w:val="003378F5"/>
    <w:rsid w:val="00337925"/>
    <w:rsid w:val="0033792B"/>
    <w:rsid w:val="0033793C"/>
    <w:rsid w:val="0033797F"/>
    <w:rsid w:val="00337988"/>
    <w:rsid w:val="003379CE"/>
    <w:rsid w:val="003379F6"/>
    <w:rsid w:val="003379FF"/>
    <w:rsid w:val="00337A42"/>
    <w:rsid w:val="00337A46"/>
    <w:rsid w:val="00337A7A"/>
    <w:rsid w:val="00337ADA"/>
    <w:rsid w:val="00337AF4"/>
    <w:rsid w:val="00337B5E"/>
    <w:rsid w:val="00337B8B"/>
    <w:rsid w:val="00337BCC"/>
    <w:rsid w:val="00337D63"/>
    <w:rsid w:val="00337D94"/>
    <w:rsid w:val="00337DD1"/>
    <w:rsid w:val="00337DDE"/>
    <w:rsid w:val="00337E1C"/>
    <w:rsid w:val="00337E2A"/>
    <w:rsid w:val="00337E3A"/>
    <w:rsid w:val="00337E8D"/>
    <w:rsid w:val="00337ED8"/>
    <w:rsid w:val="00337FD4"/>
    <w:rsid w:val="0034005F"/>
    <w:rsid w:val="003401F0"/>
    <w:rsid w:val="00340266"/>
    <w:rsid w:val="003402CA"/>
    <w:rsid w:val="003402D4"/>
    <w:rsid w:val="003402DC"/>
    <w:rsid w:val="00340333"/>
    <w:rsid w:val="0034036F"/>
    <w:rsid w:val="00340379"/>
    <w:rsid w:val="00340392"/>
    <w:rsid w:val="003403E9"/>
    <w:rsid w:val="0034045E"/>
    <w:rsid w:val="00340465"/>
    <w:rsid w:val="00340489"/>
    <w:rsid w:val="003404AE"/>
    <w:rsid w:val="003405BA"/>
    <w:rsid w:val="003405BC"/>
    <w:rsid w:val="003406AE"/>
    <w:rsid w:val="003406B9"/>
    <w:rsid w:val="00340706"/>
    <w:rsid w:val="00340716"/>
    <w:rsid w:val="00340748"/>
    <w:rsid w:val="00340793"/>
    <w:rsid w:val="003407F3"/>
    <w:rsid w:val="00340816"/>
    <w:rsid w:val="00340A4C"/>
    <w:rsid w:val="00340A67"/>
    <w:rsid w:val="00340A87"/>
    <w:rsid w:val="00340B10"/>
    <w:rsid w:val="00340B54"/>
    <w:rsid w:val="00340BC7"/>
    <w:rsid w:val="00340DA3"/>
    <w:rsid w:val="00340E0F"/>
    <w:rsid w:val="00340E72"/>
    <w:rsid w:val="00340E7B"/>
    <w:rsid w:val="00340E7D"/>
    <w:rsid w:val="00340EBD"/>
    <w:rsid w:val="0034103E"/>
    <w:rsid w:val="0034117A"/>
    <w:rsid w:val="0034121C"/>
    <w:rsid w:val="00341223"/>
    <w:rsid w:val="0034126C"/>
    <w:rsid w:val="00341277"/>
    <w:rsid w:val="003412B3"/>
    <w:rsid w:val="003412D6"/>
    <w:rsid w:val="003412EC"/>
    <w:rsid w:val="00341368"/>
    <w:rsid w:val="003413B3"/>
    <w:rsid w:val="00341497"/>
    <w:rsid w:val="0034155D"/>
    <w:rsid w:val="00341638"/>
    <w:rsid w:val="00341656"/>
    <w:rsid w:val="0034169B"/>
    <w:rsid w:val="003416D3"/>
    <w:rsid w:val="00341709"/>
    <w:rsid w:val="003417C7"/>
    <w:rsid w:val="003417DA"/>
    <w:rsid w:val="00341815"/>
    <w:rsid w:val="003418D2"/>
    <w:rsid w:val="003418EB"/>
    <w:rsid w:val="00341957"/>
    <w:rsid w:val="00341983"/>
    <w:rsid w:val="003419F8"/>
    <w:rsid w:val="00341A39"/>
    <w:rsid w:val="00341B55"/>
    <w:rsid w:val="00341B62"/>
    <w:rsid w:val="00341BF4"/>
    <w:rsid w:val="00341C18"/>
    <w:rsid w:val="00341CFF"/>
    <w:rsid w:val="00341E15"/>
    <w:rsid w:val="00341E90"/>
    <w:rsid w:val="00341EB0"/>
    <w:rsid w:val="00341EFB"/>
    <w:rsid w:val="00341F3B"/>
    <w:rsid w:val="0034209C"/>
    <w:rsid w:val="00342107"/>
    <w:rsid w:val="00342125"/>
    <w:rsid w:val="003421DF"/>
    <w:rsid w:val="0034220C"/>
    <w:rsid w:val="0034229D"/>
    <w:rsid w:val="0034229F"/>
    <w:rsid w:val="003422BF"/>
    <w:rsid w:val="003422C1"/>
    <w:rsid w:val="003423BE"/>
    <w:rsid w:val="00342526"/>
    <w:rsid w:val="00342634"/>
    <w:rsid w:val="00342647"/>
    <w:rsid w:val="00342A1D"/>
    <w:rsid w:val="00342A36"/>
    <w:rsid w:val="00342B5F"/>
    <w:rsid w:val="00342BC7"/>
    <w:rsid w:val="00342BE7"/>
    <w:rsid w:val="00342C0D"/>
    <w:rsid w:val="00342C2D"/>
    <w:rsid w:val="00342C30"/>
    <w:rsid w:val="00342C57"/>
    <w:rsid w:val="00342C61"/>
    <w:rsid w:val="00342C87"/>
    <w:rsid w:val="00342CA5"/>
    <w:rsid w:val="00342DA3"/>
    <w:rsid w:val="00342E1D"/>
    <w:rsid w:val="00342E33"/>
    <w:rsid w:val="00342F12"/>
    <w:rsid w:val="0034302D"/>
    <w:rsid w:val="00343100"/>
    <w:rsid w:val="00343113"/>
    <w:rsid w:val="003431A6"/>
    <w:rsid w:val="003431E0"/>
    <w:rsid w:val="00343273"/>
    <w:rsid w:val="0034330F"/>
    <w:rsid w:val="003433D2"/>
    <w:rsid w:val="0034342B"/>
    <w:rsid w:val="0034349E"/>
    <w:rsid w:val="0034361F"/>
    <w:rsid w:val="00343651"/>
    <w:rsid w:val="00343705"/>
    <w:rsid w:val="0034370C"/>
    <w:rsid w:val="0034373C"/>
    <w:rsid w:val="0034381D"/>
    <w:rsid w:val="003438BD"/>
    <w:rsid w:val="003438C6"/>
    <w:rsid w:val="003438D2"/>
    <w:rsid w:val="00343911"/>
    <w:rsid w:val="003439DA"/>
    <w:rsid w:val="00343AAF"/>
    <w:rsid w:val="00343AD6"/>
    <w:rsid w:val="00343B38"/>
    <w:rsid w:val="00343B69"/>
    <w:rsid w:val="00343B73"/>
    <w:rsid w:val="00343C25"/>
    <w:rsid w:val="00343CCC"/>
    <w:rsid w:val="00343D33"/>
    <w:rsid w:val="00343DDA"/>
    <w:rsid w:val="00343DDD"/>
    <w:rsid w:val="00343DF6"/>
    <w:rsid w:val="00343E1B"/>
    <w:rsid w:val="00343E4C"/>
    <w:rsid w:val="00343E77"/>
    <w:rsid w:val="00343E88"/>
    <w:rsid w:val="00343F41"/>
    <w:rsid w:val="00343FDD"/>
    <w:rsid w:val="00343FDE"/>
    <w:rsid w:val="0034408C"/>
    <w:rsid w:val="003440A7"/>
    <w:rsid w:val="0034410A"/>
    <w:rsid w:val="003441FA"/>
    <w:rsid w:val="00344215"/>
    <w:rsid w:val="0034435D"/>
    <w:rsid w:val="0034436C"/>
    <w:rsid w:val="003443FD"/>
    <w:rsid w:val="0034446C"/>
    <w:rsid w:val="003445A7"/>
    <w:rsid w:val="00344628"/>
    <w:rsid w:val="0034468C"/>
    <w:rsid w:val="00344766"/>
    <w:rsid w:val="003447D3"/>
    <w:rsid w:val="003447DB"/>
    <w:rsid w:val="00344849"/>
    <w:rsid w:val="003448AE"/>
    <w:rsid w:val="00344981"/>
    <w:rsid w:val="00344988"/>
    <w:rsid w:val="003449CA"/>
    <w:rsid w:val="00344B0B"/>
    <w:rsid w:val="00344B22"/>
    <w:rsid w:val="00344B5B"/>
    <w:rsid w:val="00344CB1"/>
    <w:rsid w:val="00344D4C"/>
    <w:rsid w:val="00344DEB"/>
    <w:rsid w:val="00344E57"/>
    <w:rsid w:val="00344E6C"/>
    <w:rsid w:val="00344EB5"/>
    <w:rsid w:val="00344EC6"/>
    <w:rsid w:val="00344ED9"/>
    <w:rsid w:val="00344FB5"/>
    <w:rsid w:val="00345016"/>
    <w:rsid w:val="00345048"/>
    <w:rsid w:val="003450D1"/>
    <w:rsid w:val="00345115"/>
    <w:rsid w:val="00345280"/>
    <w:rsid w:val="003452D6"/>
    <w:rsid w:val="003453D6"/>
    <w:rsid w:val="00345484"/>
    <w:rsid w:val="0034554F"/>
    <w:rsid w:val="0034570E"/>
    <w:rsid w:val="00345767"/>
    <w:rsid w:val="0034576E"/>
    <w:rsid w:val="003457A8"/>
    <w:rsid w:val="003457BB"/>
    <w:rsid w:val="003458E0"/>
    <w:rsid w:val="003458E4"/>
    <w:rsid w:val="00345992"/>
    <w:rsid w:val="003459AA"/>
    <w:rsid w:val="00345A3B"/>
    <w:rsid w:val="00345A79"/>
    <w:rsid w:val="00345AA3"/>
    <w:rsid w:val="00345B8D"/>
    <w:rsid w:val="00345BA5"/>
    <w:rsid w:val="00345C98"/>
    <w:rsid w:val="00345C99"/>
    <w:rsid w:val="00345E0D"/>
    <w:rsid w:val="00345E8A"/>
    <w:rsid w:val="00345F40"/>
    <w:rsid w:val="0034602C"/>
    <w:rsid w:val="00346106"/>
    <w:rsid w:val="00346155"/>
    <w:rsid w:val="003461CD"/>
    <w:rsid w:val="00346248"/>
    <w:rsid w:val="003463AD"/>
    <w:rsid w:val="00346466"/>
    <w:rsid w:val="00346496"/>
    <w:rsid w:val="003464EB"/>
    <w:rsid w:val="003464EC"/>
    <w:rsid w:val="00346634"/>
    <w:rsid w:val="00346647"/>
    <w:rsid w:val="0034669A"/>
    <w:rsid w:val="0034669D"/>
    <w:rsid w:val="003466A3"/>
    <w:rsid w:val="003466F5"/>
    <w:rsid w:val="00346854"/>
    <w:rsid w:val="003469A7"/>
    <w:rsid w:val="003469F4"/>
    <w:rsid w:val="00346A5B"/>
    <w:rsid w:val="00346AB8"/>
    <w:rsid w:val="00346AD1"/>
    <w:rsid w:val="00346AEC"/>
    <w:rsid w:val="00346B23"/>
    <w:rsid w:val="00346B60"/>
    <w:rsid w:val="00346C5D"/>
    <w:rsid w:val="00346D6B"/>
    <w:rsid w:val="00346DA9"/>
    <w:rsid w:val="00346F70"/>
    <w:rsid w:val="00346F88"/>
    <w:rsid w:val="00346F8E"/>
    <w:rsid w:val="00346FAE"/>
    <w:rsid w:val="0034700B"/>
    <w:rsid w:val="00347044"/>
    <w:rsid w:val="00347047"/>
    <w:rsid w:val="003470B2"/>
    <w:rsid w:val="003470DC"/>
    <w:rsid w:val="003470FD"/>
    <w:rsid w:val="0034710F"/>
    <w:rsid w:val="00347112"/>
    <w:rsid w:val="00347118"/>
    <w:rsid w:val="00347182"/>
    <w:rsid w:val="003471C5"/>
    <w:rsid w:val="003471D4"/>
    <w:rsid w:val="003471F3"/>
    <w:rsid w:val="003472A5"/>
    <w:rsid w:val="003472DF"/>
    <w:rsid w:val="0034734F"/>
    <w:rsid w:val="00347396"/>
    <w:rsid w:val="003473C3"/>
    <w:rsid w:val="003473C6"/>
    <w:rsid w:val="003473EA"/>
    <w:rsid w:val="00347474"/>
    <w:rsid w:val="0034749D"/>
    <w:rsid w:val="003474B6"/>
    <w:rsid w:val="003474DA"/>
    <w:rsid w:val="003476D5"/>
    <w:rsid w:val="00347729"/>
    <w:rsid w:val="00347774"/>
    <w:rsid w:val="00347794"/>
    <w:rsid w:val="00347809"/>
    <w:rsid w:val="0034780F"/>
    <w:rsid w:val="00347862"/>
    <w:rsid w:val="003478AE"/>
    <w:rsid w:val="003478EA"/>
    <w:rsid w:val="00347934"/>
    <w:rsid w:val="00347949"/>
    <w:rsid w:val="0034796F"/>
    <w:rsid w:val="00347ACD"/>
    <w:rsid w:val="00347B9A"/>
    <w:rsid w:val="00347BC3"/>
    <w:rsid w:val="00347BF6"/>
    <w:rsid w:val="00347D4E"/>
    <w:rsid w:val="00347D5F"/>
    <w:rsid w:val="00347D89"/>
    <w:rsid w:val="00347D8C"/>
    <w:rsid w:val="00347DA8"/>
    <w:rsid w:val="00347DB6"/>
    <w:rsid w:val="00347DF1"/>
    <w:rsid w:val="00347E0E"/>
    <w:rsid w:val="00347EEC"/>
    <w:rsid w:val="00347EFC"/>
    <w:rsid w:val="00347F88"/>
    <w:rsid w:val="00350003"/>
    <w:rsid w:val="00350017"/>
    <w:rsid w:val="00350024"/>
    <w:rsid w:val="00350057"/>
    <w:rsid w:val="003500C7"/>
    <w:rsid w:val="003500E0"/>
    <w:rsid w:val="00350228"/>
    <w:rsid w:val="00350277"/>
    <w:rsid w:val="0035029B"/>
    <w:rsid w:val="003502A6"/>
    <w:rsid w:val="003503A2"/>
    <w:rsid w:val="003503A6"/>
    <w:rsid w:val="003503CD"/>
    <w:rsid w:val="00350465"/>
    <w:rsid w:val="003504DE"/>
    <w:rsid w:val="0035051A"/>
    <w:rsid w:val="00350543"/>
    <w:rsid w:val="00350576"/>
    <w:rsid w:val="003505A6"/>
    <w:rsid w:val="003505CF"/>
    <w:rsid w:val="00350630"/>
    <w:rsid w:val="003506E0"/>
    <w:rsid w:val="003506F5"/>
    <w:rsid w:val="003508CC"/>
    <w:rsid w:val="003509AF"/>
    <w:rsid w:val="00350AB9"/>
    <w:rsid w:val="00350B5A"/>
    <w:rsid w:val="00350B70"/>
    <w:rsid w:val="00350B98"/>
    <w:rsid w:val="00350BB5"/>
    <w:rsid w:val="00350CAE"/>
    <w:rsid w:val="00350D10"/>
    <w:rsid w:val="00350E6E"/>
    <w:rsid w:val="00350E73"/>
    <w:rsid w:val="00350EE3"/>
    <w:rsid w:val="00350EED"/>
    <w:rsid w:val="00350F5C"/>
    <w:rsid w:val="00350FDB"/>
    <w:rsid w:val="0035105C"/>
    <w:rsid w:val="00351197"/>
    <w:rsid w:val="003511C1"/>
    <w:rsid w:val="003511DA"/>
    <w:rsid w:val="003512A0"/>
    <w:rsid w:val="003512F2"/>
    <w:rsid w:val="0035130A"/>
    <w:rsid w:val="00351326"/>
    <w:rsid w:val="0035144B"/>
    <w:rsid w:val="003514C1"/>
    <w:rsid w:val="0035152C"/>
    <w:rsid w:val="00351572"/>
    <w:rsid w:val="003515D9"/>
    <w:rsid w:val="003515FC"/>
    <w:rsid w:val="00351623"/>
    <w:rsid w:val="0035166E"/>
    <w:rsid w:val="003516AA"/>
    <w:rsid w:val="003516E4"/>
    <w:rsid w:val="00351766"/>
    <w:rsid w:val="003517A1"/>
    <w:rsid w:val="00351850"/>
    <w:rsid w:val="00351894"/>
    <w:rsid w:val="003518F3"/>
    <w:rsid w:val="00351975"/>
    <w:rsid w:val="00351A70"/>
    <w:rsid w:val="00351AF6"/>
    <w:rsid w:val="00351B3E"/>
    <w:rsid w:val="00351B86"/>
    <w:rsid w:val="00351C47"/>
    <w:rsid w:val="00351CD1"/>
    <w:rsid w:val="00351D93"/>
    <w:rsid w:val="00351DAB"/>
    <w:rsid w:val="00351E5C"/>
    <w:rsid w:val="00351F9B"/>
    <w:rsid w:val="00351FC7"/>
    <w:rsid w:val="00352050"/>
    <w:rsid w:val="00352057"/>
    <w:rsid w:val="003520DA"/>
    <w:rsid w:val="00352116"/>
    <w:rsid w:val="00352132"/>
    <w:rsid w:val="0035217E"/>
    <w:rsid w:val="00352195"/>
    <w:rsid w:val="00352251"/>
    <w:rsid w:val="00352273"/>
    <w:rsid w:val="00352352"/>
    <w:rsid w:val="0035235E"/>
    <w:rsid w:val="0035239D"/>
    <w:rsid w:val="003523E8"/>
    <w:rsid w:val="003525EB"/>
    <w:rsid w:val="003526BD"/>
    <w:rsid w:val="00352776"/>
    <w:rsid w:val="003527A1"/>
    <w:rsid w:val="003527DE"/>
    <w:rsid w:val="00352801"/>
    <w:rsid w:val="003528B6"/>
    <w:rsid w:val="003528BD"/>
    <w:rsid w:val="003528FD"/>
    <w:rsid w:val="003529D9"/>
    <w:rsid w:val="003529DC"/>
    <w:rsid w:val="003529E7"/>
    <w:rsid w:val="00352A60"/>
    <w:rsid w:val="00352A62"/>
    <w:rsid w:val="00352AA5"/>
    <w:rsid w:val="00352B79"/>
    <w:rsid w:val="00352B7B"/>
    <w:rsid w:val="00352BCF"/>
    <w:rsid w:val="00352C79"/>
    <w:rsid w:val="00352CC6"/>
    <w:rsid w:val="00352D4C"/>
    <w:rsid w:val="00352D71"/>
    <w:rsid w:val="00352DAE"/>
    <w:rsid w:val="00352DF0"/>
    <w:rsid w:val="00352E1C"/>
    <w:rsid w:val="00352E5D"/>
    <w:rsid w:val="00352F5B"/>
    <w:rsid w:val="00352F76"/>
    <w:rsid w:val="0035300B"/>
    <w:rsid w:val="0035300D"/>
    <w:rsid w:val="003530B3"/>
    <w:rsid w:val="0035317B"/>
    <w:rsid w:val="00353188"/>
    <w:rsid w:val="00353198"/>
    <w:rsid w:val="003531A5"/>
    <w:rsid w:val="003531A6"/>
    <w:rsid w:val="003531AE"/>
    <w:rsid w:val="003531D1"/>
    <w:rsid w:val="003532A9"/>
    <w:rsid w:val="0035331B"/>
    <w:rsid w:val="0035332A"/>
    <w:rsid w:val="00353344"/>
    <w:rsid w:val="0035336D"/>
    <w:rsid w:val="00353453"/>
    <w:rsid w:val="003534A8"/>
    <w:rsid w:val="00353532"/>
    <w:rsid w:val="003535D2"/>
    <w:rsid w:val="003535EC"/>
    <w:rsid w:val="00353607"/>
    <w:rsid w:val="0035367B"/>
    <w:rsid w:val="003536F7"/>
    <w:rsid w:val="0035377C"/>
    <w:rsid w:val="003537C4"/>
    <w:rsid w:val="00353863"/>
    <w:rsid w:val="00353901"/>
    <w:rsid w:val="00353924"/>
    <w:rsid w:val="00353941"/>
    <w:rsid w:val="00353A76"/>
    <w:rsid w:val="00353AC6"/>
    <w:rsid w:val="00353AFB"/>
    <w:rsid w:val="00353B37"/>
    <w:rsid w:val="00353BEF"/>
    <w:rsid w:val="00353C56"/>
    <w:rsid w:val="00353C72"/>
    <w:rsid w:val="00353CBE"/>
    <w:rsid w:val="00353CD3"/>
    <w:rsid w:val="00353D04"/>
    <w:rsid w:val="00353E03"/>
    <w:rsid w:val="00353E3A"/>
    <w:rsid w:val="00353E41"/>
    <w:rsid w:val="0035402F"/>
    <w:rsid w:val="00354090"/>
    <w:rsid w:val="003540AD"/>
    <w:rsid w:val="00354115"/>
    <w:rsid w:val="00354187"/>
    <w:rsid w:val="003541AF"/>
    <w:rsid w:val="003541D9"/>
    <w:rsid w:val="003541F3"/>
    <w:rsid w:val="0035422B"/>
    <w:rsid w:val="0035424D"/>
    <w:rsid w:val="003542B9"/>
    <w:rsid w:val="003543B5"/>
    <w:rsid w:val="003544FD"/>
    <w:rsid w:val="0035450F"/>
    <w:rsid w:val="003545B2"/>
    <w:rsid w:val="003545BE"/>
    <w:rsid w:val="003545E3"/>
    <w:rsid w:val="00354642"/>
    <w:rsid w:val="003548DC"/>
    <w:rsid w:val="003549DF"/>
    <w:rsid w:val="003549E4"/>
    <w:rsid w:val="00354A6B"/>
    <w:rsid w:val="00354A80"/>
    <w:rsid w:val="00354AE9"/>
    <w:rsid w:val="00354B16"/>
    <w:rsid w:val="00354B3C"/>
    <w:rsid w:val="00354B4E"/>
    <w:rsid w:val="00354BFD"/>
    <w:rsid w:val="00354C27"/>
    <w:rsid w:val="00354C2A"/>
    <w:rsid w:val="00354C95"/>
    <w:rsid w:val="00354CBC"/>
    <w:rsid w:val="00354D46"/>
    <w:rsid w:val="00354E11"/>
    <w:rsid w:val="00354E84"/>
    <w:rsid w:val="00354EE4"/>
    <w:rsid w:val="00354FDB"/>
    <w:rsid w:val="00355013"/>
    <w:rsid w:val="0035511B"/>
    <w:rsid w:val="0035511C"/>
    <w:rsid w:val="003551E0"/>
    <w:rsid w:val="00355252"/>
    <w:rsid w:val="00355261"/>
    <w:rsid w:val="003552CE"/>
    <w:rsid w:val="0035532D"/>
    <w:rsid w:val="003553E7"/>
    <w:rsid w:val="00355478"/>
    <w:rsid w:val="0035549C"/>
    <w:rsid w:val="003554DB"/>
    <w:rsid w:val="003555A6"/>
    <w:rsid w:val="003555CC"/>
    <w:rsid w:val="003555ED"/>
    <w:rsid w:val="0035566F"/>
    <w:rsid w:val="003556A4"/>
    <w:rsid w:val="003556E4"/>
    <w:rsid w:val="0035590E"/>
    <w:rsid w:val="0035599E"/>
    <w:rsid w:val="00355A1E"/>
    <w:rsid w:val="00355B33"/>
    <w:rsid w:val="00355C97"/>
    <w:rsid w:val="00355CA7"/>
    <w:rsid w:val="00355E2F"/>
    <w:rsid w:val="00355E62"/>
    <w:rsid w:val="00355EC1"/>
    <w:rsid w:val="00355F92"/>
    <w:rsid w:val="00355FF8"/>
    <w:rsid w:val="00356043"/>
    <w:rsid w:val="0035608B"/>
    <w:rsid w:val="003561C6"/>
    <w:rsid w:val="003561E0"/>
    <w:rsid w:val="0035629B"/>
    <w:rsid w:val="0035631E"/>
    <w:rsid w:val="0035636D"/>
    <w:rsid w:val="003563C3"/>
    <w:rsid w:val="0035642F"/>
    <w:rsid w:val="0035647A"/>
    <w:rsid w:val="00356499"/>
    <w:rsid w:val="003564CA"/>
    <w:rsid w:val="003564FC"/>
    <w:rsid w:val="0035652D"/>
    <w:rsid w:val="003565EB"/>
    <w:rsid w:val="003565EF"/>
    <w:rsid w:val="003566A4"/>
    <w:rsid w:val="0035672A"/>
    <w:rsid w:val="0035681D"/>
    <w:rsid w:val="0035683B"/>
    <w:rsid w:val="0035688B"/>
    <w:rsid w:val="003568E3"/>
    <w:rsid w:val="003568FF"/>
    <w:rsid w:val="00356944"/>
    <w:rsid w:val="00356A20"/>
    <w:rsid w:val="00356A56"/>
    <w:rsid w:val="00356B07"/>
    <w:rsid w:val="00356B9B"/>
    <w:rsid w:val="00356C64"/>
    <w:rsid w:val="00356D2D"/>
    <w:rsid w:val="00356D93"/>
    <w:rsid w:val="00356DAB"/>
    <w:rsid w:val="00356E16"/>
    <w:rsid w:val="00356E33"/>
    <w:rsid w:val="00356E48"/>
    <w:rsid w:val="00356E5A"/>
    <w:rsid w:val="00356F45"/>
    <w:rsid w:val="00357030"/>
    <w:rsid w:val="003570C2"/>
    <w:rsid w:val="003571D1"/>
    <w:rsid w:val="00357245"/>
    <w:rsid w:val="00357252"/>
    <w:rsid w:val="00357257"/>
    <w:rsid w:val="0035730B"/>
    <w:rsid w:val="00357352"/>
    <w:rsid w:val="0035737B"/>
    <w:rsid w:val="003573F0"/>
    <w:rsid w:val="003573FB"/>
    <w:rsid w:val="003574AB"/>
    <w:rsid w:val="00357500"/>
    <w:rsid w:val="00357511"/>
    <w:rsid w:val="0035754E"/>
    <w:rsid w:val="00357590"/>
    <w:rsid w:val="00357594"/>
    <w:rsid w:val="003575FD"/>
    <w:rsid w:val="003576E2"/>
    <w:rsid w:val="0035771E"/>
    <w:rsid w:val="00357721"/>
    <w:rsid w:val="00357797"/>
    <w:rsid w:val="003577F4"/>
    <w:rsid w:val="00357826"/>
    <w:rsid w:val="00357842"/>
    <w:rsid w:val="003578B6"/>
    <w:rsid w:val="0035791F"/>
    <w:rsid w:val="00357A38"/>
    <w:rsid w:val="00357AB3"/>
    <w:rsid w:val="00357ABF"/>
    <w:rsid w:val="00357B3B"/>
    <w:rsid w:val="00357BCA"/>
    <w:rsid w:val="00357CC6"/>
    <w:rsid w:val="00357D06"/>
    <w:rsid w:val="00357D8F"/>
    <w:rsid w:val="00357E85"/>
    <w:rsid w:val="00357EA0"/>
    <w:rsid w:val="00357ED9"/>
    <w:rsid w:val="00357F8D"/>
    <w:rsid w:val="00357F9F"/>
    <w:rsid w:val="00357FB5"/>
    <w:rsid w:val="00357FEE"/>
    <w:rsid w:val="0036009A"/>
    <w:rsid w:val="00360291"/>
    <w:rsid w:val="0036040B"/>
    <w:rsid w:val="003604BE"/>
    <w:rsid w:val="00360532"/>
    <w:rsid w:val="003605C6"/>
    <w:rsid w:val="003606F9"/>
    <w:rsid w:val="0036081D"/>
    <w:rsid w:val="00360899"/>
    <w:rsid w:val="003608AC"/>
    <w:rsid w:val="003608AE"/>
    <w:rsid w:val="003608C7"/>
    <w:rsid w:val="003608F5"/>
    <w:rsid w:val="0036094A"/>
    <w:rsid w:val="003609DE"/>
    <w:rsid w:val="00360AAD"/>
    <w:rsid w:val="00360AFC"/>
    <w:rsid w:val="00360B0B"/>
    <w:rsid w:val="00360B30"/>
    <w:rsid w:val="00360BD7"/>
    <w:rsid w:val="00360BFA"/>
    <w:rsid w:val="00360C64"/>
    <w:rsid w:val="00360CC0"/>
    <w:rsid w:val="00360D3E"/>
    <w:rsid w:val="00360DBE"/>
    <w:rsid w:val="00360E14"/>
    <w:rsid w:val="00360E23"/>
    <w:rsid w:val="00360E71"/>
    <w:rsid w:val="00360F0B"/>
    <w:rsid w:val="00360F21"/>
    <w:rsid w:val="0036110B"/>
    <w:rsid w:val="00361119"/>
    <w:rsid w:val="00361280"/>
    <w:rsid w:val="003612A4"/>
    <w:rsid w:val="00361373"/>
    <w:rsid w:val="003613AF"/>
    <w:rsid w:val="003613C4"/>
    <w:rsid w:val="003613D5"/>
    <w:rsid w:val="0036140B"/>
    <w:rsid w:val="0036140F"/>
    <w:rsid w:val="0036145D"/>
    <w:rsid w:val="003614B2"/>
    <w:rsid w:val="00361527"/>
    <w:rsid w:val="00361553"/>
    <w:rsid w:val="003615AE"/>
    <w:rsid w:val="003615B7"/>
    <w:rsid w:val="0036164E"/>
    <w:rsid w:val="00361654"/>
    <w:rsid w:val="003616C2"/>
    <w:rsid w:val="003616DC"/>
    <w:rsid w:val="00361719"/>
    <w:rsid w:val="00361747"/>
    <w:rsid w:val="00361754"/>
    <w:rsid w:val="00361807"/>
    <w:rsid w:val="0036187D"/>
    <w:rsid w:val="00361A5A"/>
    <w:rsid w:val="00361AA6"/>
    <w:rsid w:val="00361B85"/>
    <w:rsid w:val="00361BE0"/>
    <w:rsid w:val="00361BFD"/>
    <w:rsid w:val="00361C16"/>
    <w:rsid w:val="00361C5A"/>
    <w:rsid w:val="00361CC7"/>
    <w:rsid w:val="00361D36"/>
    <w:rsid w:val="00361D46"/>
    <w:rsid w:val="00361DF0"/>
    <w:rsid w:val="00361E3F"/>
    <w:rsid w:val="00361EEE"/>
    <w:rsid w:val="00361FEB"/>
    <w:rsid w:val="00362001"/>
    <w:rsid w:val="0036201F"/>
    <w:rsid w:val="00362064"/>
    <w:rsid w:val="0036220F"/>
    <w:rsid w:val="00362292"/>
    <w:rsid w:val="003622DA"/>
    <w:rsid w:val="00362303"/>
    <w:rsid w:val="00362541"/>
    <w:rsid w:val="00362556"/>
    <w:rsid w:val="0036255B"/>
    <w:rsid w:val="0036259B"/>
    <w:rsid w:val="003625C9"/>
    <w:rsid w:val="0036269E"/>
    <w:rsid w:val="0036272F"/>
    <w:rsid w:val="003627B3"/>
    <w:rsid w:val="0036289A"/>
    <w:rsid w:val="003628CC"/>
    <w:rsid w:val="0036297E"/>
    <w:rsid w:val="003629E2"/>
    <w:rsid w:val="00362A31"/>
    <w:rsid w:val="00362C26"/>
    <w:rsid w:val="00362C5F"/>
    <w:rsid w:val="00362C79"/>
    <w:rsid w:val="00362C83"/>
    <w:rsid w:val="00362CC3"/>
    <w:rsid w:val="00362E34"/>
    <w:rsid w:val="00362E80"/>
    <w:rsid w:val="00362E8B"/>
    <w:rsid w:val="00362EF5"/>
    <w:rsid w:val="00362F5F"/>
    <w:rsid w:val="00362F6E"/>
    <w:rsid w:val="00362F8D"/>
    <w:rsid w:val="003630B8"/>
    <w:rsid w:val="003630BE"/>
    <w:rsid w:val="003630F4"/>
    <w:rsid w:val="00363152"/>
    <w:rsid w:val="0036316B"/>
    <w:rsid w:val="0036330F"/>
    <w:rsid w:val="00363325"/>
    <w:rsid w:val="00363389"/>
    <w:rsid w:val="0036346B"/>
    <w:rsid w:val="003634CD"/>
    <w:rsid w:val="00363582"/>
    <w:rsid w:val="00363677"/>
    <w:rsid w:val="003636BC"/>
    <w:rsid w:val="00363762"/>
    <w:rsid w:val="0036381C"/>
    <w:rsid w:val="00363885"/>
    <w:rsid w:val="00363974"/>
    <w:rsid w:val="003639B1"/>
    <w:rsid w:val="00363A2E"/>
    <w:rsid w:val="00363A83"/>
    <w:rsid w:val="00363AA1"/>
    <w:rsid w:val="00363B4C"/>
    <w:rsid w:val="00363B9E"/>
    <w:rsid w:val="00363BEC"/>
    <w:rsid w:val="00363C37"/>
    <w:rsid w:val="00363C3D"/>
    <w:rsid w:val="00363E25"/>
    <w:rsid w:val="00363ECE"/>
    <w:rsid w:val="00363EFF"/>
    <w:rsid w:val="00363F47"/>
    <w:rsid w:val="00363F50"/>
    <w:rsid w:val="00363F7D"/>
    <w:rsid w:val="00363FA2"/>
    <w:rsid w:val="00364026"/>
    <w:rsid w:val="00364103"/>
    <w:rsid w:val="00364115"/>
    <w:rsid w:val="0036413B"/>
    <w:rsid w:val="0036419B"/>
    <w:rsid w:val="003641BE"/>
    <w:rsid w:val="003641D3"/>
    <w:rsid w:val="003641DC"/>
    <w:rsid w:val="0036421E"/>
    <w:rsid w:val="003642E6"/>
    <w:rsid w:val="00364316"/>
    <w:rsid w:val="00364351"/>
    <w:rsid w:val="00364381"/>
    <w:rsid w:val="0036440F"/>
    <w:rsid w:val="00364411"/>
    <w:rsid w:val="003644BB"/>
    <w:rsid w:val="003644FE"/>
    <w:rsid w:val="0036458F"/>
    <w:rsid w:val="00364710"/>
    <w:rsid w:val="00364712"/>
    <w:rsid w:val="003647A0"/>
    <w:rsid w:val="003647F1"/>
    <w:rsid w:val="00364834"/>
    <w:rsid w:val="0036486A"/>
    <w:rsid w:val="00364916"/>
    <w:rsid w:val="00364A03"/>
    <w:rsid w:val="00364AB2"/>
    <w:rsid w:val="00364AF7"/>
    <w:rsid w:val="00364B37"/>
    <w:rsid w:val="00364BC7"/>
    <w:rsid w:val="00364BF9"/>
    <w:rsid w:val="00364C07"/>
    <w:rsid w:val="00364CA6"/>
    <w:rsid w:val="00364CD8"/>
    <w:rsid w:val="00364D33"/>
    <w:rsid w:val="00364D8C"/>
    <w:rsid w:val="00364E10"/>
    <w:rsid w:val="00364E18"/>
    <w:rsid w:val="00364E84"/>
    <w:rsid w:val="00364ECB"/>
    <w:rsid w:val="0036502F"/>
    <w:rsid w:val="003650D2"/>
    <w:rsid w:val="00365117"/>
    <w:rsid w:val="003651AA"/>
    <w:rsid w:val="003651BF"/>
    <w:rsid w:val="00365224"/>
    <w:rsid w:val="00365259"/>
    <w:rsid w:val="003652D9"/>
    <w:rsid w:val="003652F8"/>
    <w:rsid w:val="0036537E"/>
    <w:rsid w:val="003653EB"/>
    <w:rsid w:val="00365427"/>
    <w:rsid w:val="003654E2"/>
    <w:rsid w:val="0036551F"/>
    <w:rsid w:val="0036552F"/>
    <w:rsid w:val="0036562F"/>
    <w:rsid w:val="00365744"/>
    <w:rsid w:val="00365746"/>
    <w:rsid w:val="00365847"/>
    <w:rsid w:val="00365867"/>
    <w:rsid w:val="0036586B"/>
    <w:rsid w:val="003658DE"/>
    <w:rsid w:val="00365912"/>
    <w:rsid w:val="00365A44"/>
    <w:rsid w:val="00365A8B"/>
    <w:rsid w:val="00365AD2"/>
    <w:rsid w:val="00365B3E"/>
    <w:rsid w:val="00365C33"/>
    <w:rsid w:val="00365C92"/>
    <w:rsid w:val="00365C95"/>
    <w:rsid w:val="00365DC7"/>
    <w:rsid w:val="00365E6A"/>
    <w:rsid w:val="0036603E"/>
    <w:rsid w:val="0036607C"/>
    <w:rsid w:val="003660DB"/>
    <w:rsid w:val="003660EB"/>
    <w:rsid w:val="00366171"/>
    <w:rsid w:val="00366187"/>
    <w:rsid w:val="003661FF"/>
    <w:rsid w:val="0036622E"/>
    <w:rsid w:val="00366321"/>
    <w:rsid w:val="003663A9"/>
    <w:rsid w:val="00366446"/>
    <w:rsid w:val="0036645C"/>
    <w:rsid w:val="00366477"/>
    <w:rsid w:val="00366546"/>
    <w:rsid w:val="00366675"/>
    <w:rsid w:val="003666E3"/>
    <w:rsid w:val="0036693D"/>
    <w:rsid w:val="0036696F"/>
    <w:rsid w:val="0036699E"/>
    <w:rsid w:val="00366BB9"/>
    <w:rsid w:val="00366CC3"/>
    <w:rsid w:val="00366D29"/>
    <w:rsid w:val="00366E48"/>
    <w:rsid w:val="00366EEA"/>
    <w:rsid w:val="00366F25"/>
    <w:rsid w:val="00366FAF"/>
    <w:rsid w:val="0036701D"/>
    <w:rsid w:val="0036708E"/>
    <w:rsid w:val="003670D7"/>
    <w:rsid w:val="003670DB"/>
    <w:rsid w:val="00367115"/>
    <w:rsid w:val="0036711C"/>
    <w:rsid w:val="0036722B"/>
    <w:rsid w:val="0036729A"/>
    <w:rsid w:val="003672B4"/>
    <w:rsid w:val="003672FC"/>
    <w:rsid w:val="0036736A"/>
    <w:rsid w:val="00367440"/>
    <w:rsid w:val="003674DD"/>
    <w:rsid w:val="0036753B"/>
    <w:rsid w:val="003675E9"/>
    <w:rsid w:val="003675EA"/>
    <w:rsid w:val="0036766F"/>
    <w:rsid w:val="003676AF"/>
    <w:rsid w:val="00367745"/>
    <w:rsid w:val="00367817"/>
    <w:rsid w:val="003678B3"/>
    <w:rsid w:val="00367A44"/>
    <w:rsid w:val="00367AB6"/>
    <w:rsid w:val="00367AD8"/>
    <w:rsid w:val="00367ADC"/>
    <w:rsid w:val="00367B33"/>
    <w:rsid w:val="00367C0F"/>
    <w:rsid w:val="00367C3E"/>
    <w:rsid w:val="00367C53"/>
    <w:rsid w:val="00367CB2"/>
    <w:rsid w:val="00367CEF"/>
    <w:rsid w:val="00367D28"/>
    <w:rsid w:val="00367D2D"/>
    <w:rsid w:val="00367DA5"/>
    <w:rsid w:val="00367DA6"/>
    <w:rsid w:val="00367ECD"/>
    <w:rsid w:val="00367EDF"/>
    <w:rsid w:val="00367EEB"/>
    <w:rsid w:val="00367FAE"/>
    <w:rsid w:val="003700BF"/>
    <w:rsid w:val="003700C5"/>
    <w:rsid w:val="003700C7"/>
    <w:rsid w:val="003700C9"/>
    <w:rsid w:val="00370131"/>
    <w:rsid w:val="003701BA"/>
    <w:rsid w:val="00370273"/>
    <w:rsid w:val="003702A9"/>
    <w:rsid w:val="00370344"/>
    <w:rsid w:val="003703B9"/>
    <w:rsid w:val="003703C6"/>
    <w:rsid w:val="003703EA"/>
    <w:rsid w:val="003703F1"/>
    <w:rsid w:val="00370448"/>
    <w:rsid w:val="00370467"/>
    <w:rsid w:val="00370479"/>
    <w:rsid w:val="00370498"/>
    <w:rsid w:val="003704D7"/>
    <w:rsid w:val="00370574"/>
    <w:rsid w:val="003705EE"/>
    <w:rsid w:val="00370676"/>
    <w:rsid w:val="003707A7"/>
    <w:rsid w:val="00370822"/>
    <w:rsid w:val="003708DD"/>
    <w:rsid w:val="00370901"/>
    <w:rsid w:val="00370905"/>
    <w:rsid w:val="00370A37"/>
    <w:rsid w:val="00370A3D"/>
    <w:rsid w:val="00370AF4"/>
    <w:rsid w:val="00370B1C"/>
    <w:rsid w:val="00370B9B"/>
    <w:rsid w:val="00370C26"/>
    <w:rsid w:val="00370C7E"/>
    <w:rsid w:val="00370D7A"/>
    <w:rsid w:val="00370E0B"/>
    <w:rsid w:val="00370E6E"/>
    <w:rsid w:val="00370F66"/>
    <w:rsid w:val="00370F78"/>
    <w:rsid w:val="00370FEE"/>
    <w:rsid w:val="00371057"/>
    <w:rsid w:val="0037110F"/>
    <w:rsid w:val="0037113D"/>
    <w:rsid w:val="00371151"/>
    <w:rsid w:val="003711AA"/>
    <w:rsid w:val="003711C5"/>
    <w:rsid w:val="0037123E"/>
    <w:rsid w:val="0037125F"/>
    <w:rsid w:val="003712A1"/>
    <w:rsid w:val="00371386"/>
    <w:rsid w:val="003713B7"/>
    <w:rsid w:val="003713C2"/>
    <w:rsid w:val="00371403"/>
    <w:rsid w:val="00371449"/>
    <w:rsid w:val="0037145F"/>
    <w:rsid w:val="003714B6"/>
    <w:rsid w:val="00371530"/>
    <w:rsid w:val="00371652"/>
    <w:rsid w:val="0037169B"/>
    <w:rsid w:val="0037172D"/>
    <w:rsid w:val="00371749"/>
    <w:rsid w:val="00371764"/>
    <w:rsid w:val="00371780"/>
    <w:rsid w:val="003717C0"/>
    <w:rsid w:val="003717C8"/>
    <w:rsid w:val="003717E8"/>
    <w:rsid w:val="0037189B"/>
    <w:rsid w:val="003718FF"/>
    <w:rsid w:val="003719D8"/>
    <w:rsid w:val="00371A33"/>
    <w:rsid w:val="00371A4C"/>
    <w:rsid w:val="00371AE1"/>
    <w:rsid w:val="00371B5A"/>
    <w:rsid w:val="00371CDC"/>
    <w:rsid w:val="00371DD9"/>
    <w:rsid w:val="00371E7A"/>
    <w:rsid w:val="00371E9E"/>
    <w:rsid w:val="00371F6F"/>
    <w:rsid w:val="00371F8C"/>
    <w:rsid w:val="00372021"/>
    <w:rsid w:val="0037205C"/>
    <w:rsid w:val="003720FE"/>
    <w:rsid w:val="00372114"/>
    <w:rsid w:val="003721B4"/>
    <w:rsid w:val="003722A1"/>
    <w:rsid w:val="003722E6"/>
    <w:rsid w:val="00372367"/>
    <w:rsid w:val="00372382"/>
    <w:rsid w:val="00372446"/>
    <w:rsid w:val="0037254F"/>
    <w:rsid w:val="003725F9"/>
    <w:rsid w:val="00372605"/>
    <w:rsid w:val="0037261F"/>
    <w:rsid w:val="003726D5"/>
    <w:rsid w:val="0037271C"/>
    <w:rsid w:val="00372742"/>
    <w:rsid w:val="0037274A"/>
    <w:rsid w:val="0037280E"/>
    <w:rsid w:val="003728E5"/>
    <w:rsid w:val="00372914"/>
    <w:rsid w:val="00372916"/>
    <w:rsid w:val="00372959"/>
    <w:rsid w:val="003729F7"/>
    <w:rsid w:val="00372A85"/>
    <w:rsid w:val="00372ACD"/>
    <w:rsid w:val="00372B05"/>
    <w:rsid w:val="00372B99"/>
    <w:rsid w:val="00372BBC"/>
    <w:rsid w:val="00372BE6"/>
    <w:rsid w:val="00372C54"/>
    <w:rsid w:val="00372C73"/>
    <w:rsid w:val="00372C7A"/>
    <w:rsid w:val="00372D44"/>
    <w:rsid w:val="00372D69"/>
    <w:rsid w:val="00372E4D"/>
    <w:rsid w:val="00372E52"/>
    <w:rsid w:val="00372E5E"/>
    <w:rsid w:val="00372E74"/>
    <w:rsid w:val="00372EF5"/>
    <w:rsid w:val="003730DA"/>
    <w:rsid w:val="003730F2"/>
    <w:rsid w:val="00373125"/>
    <w:rsid w:val="00373126"/>
    <w:rsid w:val="00373147"/>
    <w:rsid w:val="0037316E"/>
    <w:rsid w:val="0037318D"/>
    <w:rsid w:val="00373299"/>
    <w:rsid w:val="003732CF"/>
    <w:rsid w:val="00373423"/>
    <w:rsid w:val="00373474"/>
    <w:rsid w:val="003734BB"/>
    <w:rsid w:val="003734F4"/>
    <w:rsid w:val="0037355F"/>
    <w:rsid w:val="003735BF"/>
    <w:rsid w:val="003735D9"/>
    <w:rsid w:val="00373676"/>
    <w:rsid w:val="00373695"/>
    <w:rsid w:val="003736F9"/>
    <w:rsid w:val="00373721"/>
    <w:rsid w:val="0037372E"/>
    <w:rsid w:val="00373820"/>
    <w:rsid w:val="003738DE"/>
    <w:rsid w:val="0037392F"/>
    <w:rsid w:val="0037393E"/>
    <w:rsid w:val="0037396C"/>
    <w:rsid w:val="00373982"/>
    <w:rsid w:val="00373A1B"/>
    <w:rsid w:val="00373A61"/>
    <w:rsid w:val="00373AAC"/>
    <w:rsid w:val="00373B52"/>
    <w:rsid w:val="00373B8B"/>
    <w:rsid w:val="00373C5B"/>
    <w:rsid w:val="00373C81"/>
    <w:rsid w:val="00373E42"/>
    <w:rsid w:val="00373EFE"/>
    <w:rsid w:val="00373F4D"/>
    <w:rsid w:val="00373F78"/>
    <w:rsid w:val="00374007"/>
    <w:rsid w:val="00374008"/>
    <w:rsid w:val="003740A6"/>
    <w:rsid w:val="003741A6"/>
    <w:rsid w:val="00374231"/>
    <w:rsid w:val="003742C0"/>
    <w:rsid w:val="003742CE"/>
    <w:rsid w:val="0037435C"/>
    <w:rsid w:val="0037435E"/>
    <w:rsid w:val="003743F7"/>
    <w:rsid w:val="003744B3"/>
    <w:rsid w:val="00374548"/>
    <w:rsid w:val="0037455F"/>
    <w:rsid w:val="00374695"/>
    <w:rsid w:val="003746BC"/>
    <w:rsid w:val="003746DE"/>
    <w:rsid w:val="003746EC"/>
    <w:rsid w:val="0037473F"/>
    <w:rsid w:val="0037477D"/>
    <w:rsid w:val="00374861"/>
    <w:rsid w:val="00374917"/>
    <w:rsid w:val="003749E6"/>
    <w:rsid w:val="00374A35"/>
    <w:rsid w:val="00374A36"/>
    <w:rsid w:val="00374AFE"/>
    <w:rsid w:val="00374B14"/>
    <w:rsid w:val="00374B2D"/>
    <w:rsid w:val="00374B94"/>
    <w:rsid w:val="00374C1D"/>
    <w:rsid w:val="00374C84"/>
    <w:rsid w:val="00374CBF"/>
    <w:rsid w:val="00374D3C"/>
    <w:rsid w:val="00374D62"/>
    <w:rsid w:val="00374D81"/>
    <w:rsid w:val="00374DC6"/>
    <w:rsid w:val="00374FE2"/>
    <w:rsid w:val="00375005"/>
    <w:rsid w:val="003750B2"/>
    <w:rsid w:val="003750B7"/>
    <w:rsid w:val="003750C4"/>
    <w:rsid w:val="003750F3"/>
    <w:rsid w:val="0037510E"/>
    <w:rsid w:val="00375218"/>
    <w:rsid w:val="00375219"/>
    <w:rsid w:val="003752C9"/>
    <w:rsid w:val="003754B3"/>
    <w:rsid w:val="003754F0"/>
    <w:rsid w:val="003754F5"/>
    <w:rsid w:val="00375552"/>
    <w:rsid w:val="003755C1"/>
    <w:rsid w:val="003755DE"/>
    <w:rsid w:val="003756B9"/>
    <w:rsid w:val="00375715"/>
    <w:rsid w:val="00375852"/>
    <w:rsid w:val="00375876"/>
    <w:rsid w:val="00375891"/>
    <w:rsid w:val="003758A7"/>
    <w:rsid w:val="00375B24"/>
    <w:rsid w:val="00375BCE"/>
    <w:rsid w:val="00375C53"/>
    <w:rsid w:val="00375C9E"/>
    <w:rsid w:val="00375D87"/>
    <w:rsid w:val="00375DF0"/>
    <w:rsid w:val="00375E1F"/>
    <w:rsid w:val="00375E71"/>
    <w:rsid w:val="00375EB0"/>
    <w:rsid w:val="00375FD4"/>
    <w:rsid w:val="00375FF4"/>
    <w:rsid w:val="0037607E"/>
    <w:rsid w:val="00376280"/>
    <w:rsid w:val="003762DF"/>
    <w:rsid w:val="0037636A"/>
    <w:rsid w:val="0037637E"/>
    <w:rsid w:val="00376380"/>
    <w:rsid w:val="0037639E"/>
    <w:rsid w:val="0037640E"/>
    <w:rsid w:val="003764D8"/>
    <w:rsid w:val="003765E2"/>
    <w:rsid w:val="00376633"/>
    <w:rsid w:val="00376635"/>
    <w:rsid w:val="00376701"/>
    <w:rsid w:val="003767C7"/>
    <w:rsid w:val="003768A7"/>
    <w:rsid w:val="003769AF"/>
    <w:rsid w:val="003769E1"/>
    <w:rsid w:val="003769FB"/>
    <w:rsid w:val="00376B33"/>
    <w:rsid w:val="00376B3D"/>
    <w:rsid w:val="00376C67"/>
    <w:rsid w:val="00376C7A"/>
    <w:rsid w:val="00376CCC"/>
    <w:rsid w:val="00376D15"/>
    <w:rsid w:val="00376E0E"/>
    <w:rsid w:val="00376EDC"/>
    <w:rsid w:val="0037704B"/>
    <w:rsid w:val="003770D5"/>
    <w:rsid w:val="0037721B"/>
    <w:rsid w:val="0037723B"/>
    <w:rsid w:val="003772B5"/>
    <w:rsid w:val="00377364"/>
    <w:rsid w:val="0037740E"/>
    <w:rsid w:val="00377447"/>
    <w:rsid w:val="00377464"/>
    <w:rsid w:val="00377557"/>
    <w:rsid w:val="00377593"/>
    <w:rsid w:val="003775A1"/>
    <w:rsid w:val="00377616"/>
    <w:rsid w:val="0037762B"/>
    <w:rsid w:val="003776A2"/>
    <w:rsid w:val="00377843"/>
    <w:rsid w:val="00377886"/>
    <w:rsid w:val="00377897"/>
    <w:rsid w:val="0037789D"/>
    <w:rsid w:val="00377980"/>
    <w:rsid w:val="003779FA"/>
    <w:rsid w:val="00377B39"/>
    <w:rsid w:val="00377BB3"/>
    <w:rsid w:val="00377BEA"/>
    <w:rsid w:val="00377C26"/>
    <w:rsid w:val="00377C6F"/>
    <w:rsid w:val="00377CA8"/>
    <w:rsid w:val="00377CF7"/>
    <w:rsid w:val="00377D41"/>
    <w:rsid w:val="00377D6C"/>
    <w:rsid w:val="00377DC1"/>
    <w:rsid w:val="00377E64"/>
    <w:rsid w:val="00377EBE"/>
    <w:rsid w:val="00377EE9"/>
    <w:rsid w:val="00377EF8"/>
    <w:rsid w:val="00377EFB"/>
    <w:rsid w:val="00377F33"/>
    <w:rsid w:val="00377F58"/>
    <w:rsid w:val="00377F70"/>
    <w:rsid w:val="00377FED"/>
    <w:rsid w:val="00380093"/>
    <w:rsid w:val="00380123"/>
    <w:rsid w:val="00380134"/>
    <w:rsid w:val="0038013D"/>
    <w:rsid w:val="00380312"/>
    <w:rsid w:val="00380330"/>
    <w:rsid w:val="00380369"/>
    <w:rsid w:val="00380474"/>
    <w:rsid w:val="003804C1"/>
    <w:rsid w:val="003804CE"/>
    <w:rsid w:val="00380540"/>
    <w:rsid w:val="003805FF"/>
    <w:rsid w:val="00380629"/>
    <w:rsid w:val="0038062B"/>
    <w:rsid w:val="0038074B"/>
    <w:rsid w:val="00380754"/>
    <w:rsid w:val="0038075E"/>
    <w:rsid w:val="00380776"/>
    <w:rsid w:val="003807FB"/>
    <w:rsid w:val="003807FC"/>
    <w:rsid w:val="00380949"/>
    <w:rsid w:val="0038097C"/>
    <w:rsid w:val="00380A16"/>
    <w:rsid w:val="00380A3A"/>
    <w:rsid w:val="00380A7A"/>
    <w:rsid w:val="00380AC4"/>
    <w:rsid w:val="00380B4C"/>
    <w:rsid w:val="00380BDC"/>
    <w:rsid w:val="00380C06"/>
    <w:rsid w:val="00380C0E"/>
    <w:rsid w:val="00380C6D"/>
    <w:rsid w:val="00380CE9"/>
    <w:rsid w:val="00380CEB"/>
    <w:rsid w:val="00380D04"/>
    <w:rsid w:val="00380D21"/>
    <w:rsid w:val="00380D8B"/>
    <w:rsid w:val="00380DB2"/>
    <w:rsid w:val="00380E1C"/>
    <w:rsid w:val="00380E36"/>
    <w:rsid w:val="00380F1A"/>
    <w:rsid w:val="00380F9F"/>
    <w:rsid w:val="00380FAA"/>
    <w:rsid w:val="00380FC7"/>
    <w:rsid w:val="00380FCC"/>
    <w:rsid w:val="0038109C"/>
    <w:rsid w:val="003810BD"/>
    <w:rsid w:val="003810D4"/>
    <w:rsid w:val="00381116"/>
    <w:rsid w:val="0038121A"/>
    <w:rsid w:val="0038129B"/>
    <w:rsid w:val="003812D5"/>
    <w:rsid w:val="003812D7"/>
    <w:rsid w:val="003812F7"/>
    <w:rsid w:val="00381322"/>
    <w:rsid w:val="0038132E"/>
    <w:rsid w:val="003813DB"/>
    <w:rsid w:val="003814A5"/>
    <w:rsid w:val="003814AB"/>
    <w:rsid w:val="003814C7"/>
    <w:rsid w:val="00381502"/>
    <w:rsid w:val="00381621"/>
    <w:rsid w:val="00381622"/>
    <w:rsid w:val="0038162D"/>
    <w:rsid w:val="0038168F"/>
    <w:rsid w:val="00381723"/>
    <w:rsid w:val="00381903"/>
    <w:rsid w:val="0038190D"/>
    <w:rsid w:val="00381971"/>
    <w:rsid w:val="003819D2"/>
    <w:rsid w:val="003819E6"/>
    <w:rsid w:val="003819ED"/>
    <w:rsid w:val="00381A24"/>
    <w:rsid w:val="00381A53"/>
    <w:rsid w:val="00381B4F"/>
    <w:rsid w:val="00381BD8"/>
    <w:rsid w:val="00381BDC"/>
    <w:rsid w:val="00381D28"/>
    <w:rsid w:val="00381DD4"/>
    <w:rsid w:val="00381EBD"/>
    <w:rsid w:val="00381F1B"/>
    <w:rsid w:val="00381F41"/>
    <w:rsid w:val="00381FE2"/>
    <w:rsid w:val="003820F3"/>
    <w:rsid w:val="0038211A"/>
    <w:rsid w:val="00382120"/>
    <w:rsid w:val="003821E0"/>
    <w:rsid w:val="00382207"/>
    <w:rsid w:val="0038227E"/>
    <w:rsid w:val="00382335"/>
    <w:rsid w:val="0038238B"/>
    <w:rsid w:val="003823C6"/>
    <w:rsid w:val="00382471"/>
    <w:rsid w:val="003825E6"/>
    <w:rsid w:val="003826BD"/>
    <w:rsid w:val="003826C7"/>
    <w:rsid w:val="00382715"/>
    <w:rsid w:val="0038284D"/>
    <w:rsid w:val="003828DF"/>
    <w:rsid w:val="0038296A"/>
    <w:rsid w:val="00382AD6"/>
    <w:rsid w:val="00382B5A"/>
    <w:rsid w:val="00382B83"/>
    <w:rsid w:val="00382B9C"/>
    <w:rsid w:val="00382BCF"/>
    <w:rsid w:val="00382D24"/>
    <w:rsid w:val="00382D72"/>
    <w:rsid w:val="00382DC5"/>
    <w:rsid w:val="00382DE2"/>
    <w:rsid w:val="00382E23"/>
    <w:rsid w:val="00382E28"/>
    <w:rsid w:val="00382E2D"/>
    <w:rsid w:val="00382E45"/>
    <w:rsid w:val="00382F4E"/>
    <w:rsid w:val="00382F81"/>
    <w:rsid w:val="00382FEB"/>
    <w:rsid w:val="0038301E"/>
    <w:rsid w:val="00383035"/>
    <w:rsid w:val="0038303A"/>
    <w:rsid w:val="00383063"/>
    <w:rsid w:val="0038324E"/>
    <w:rsid w:val="00383294"/>
    <w:rsid w:val="00383334"/>
    <w:rsid w:val="00383360"/>
    <w:rsid w:val="003833E4"/>
    <w:rsid w:val="003833FD"/>
    <w:rsid w:val="003834A2"/>
    <w:rsid w:val="0038358E"/>
    <w:rsid w:val="00383626"/>
    <w:rsid w:val="0038364A"/>
    <w:rsid w:val="00383698"/>
    <w:rsid w:val="00383734"/>
    <w:rsid w:val="003837DB"/>
    <w:rsid w:val="00383819"/>
    <w:rsid w:val="00383887"/>
    <w:rsid w:val="00383A01"/>
    <w:rsid w:val="00383A38"/>
    <w:rsid w:val="00383A3E"/>
    <w:rsid w:val="00383A81"/>
    <w:rsid w:val="00383ADD"/>
    <w:rsid w:val="00383B4B"/>
    <w:rsid w:val="00383BB1"/>
    <w:rsid w:val="00383BEA"/>
    <w:rsid w:val="00383CAE"/>
    <w:rsid w:val="00383DD7"/>
    <w:rsid w:val="00383E0A"/>
    <w:rsid w:val="00383E95"/>
    <w:rsid w:val="00383EA6"/>
    <w:rsid w:val="0038400D"/>
    <w:rsid w:val="003840C8"/>
    <w:rsid w:val="00384120"/>
    <w:rsid w:val="00384128"/>
    <w:rsid w:val="003841A4"/>
    <w:rsid w:val="003841AF"/>
    <w:rsid w:val="003841E5"/>
    <w:rsid w:val="003842B6"/>
    <w:rsid w:val="00384307"/>
    <w:rsid w:val="0038435C"/>
    <w:rsid w:val="0038439D"/>
    <w:rsid w:val="00384431"/>
    <w:rsid w:val="0038454C"/>
    <w:rsid w:val="003845B2"/>
    <w:rsid w:val="003845C8"/>
    <w:rsid w:val="00384720"/>
    <w:rsid w:val="00384817"/>
    <w:rsid w:val="00384830"/>
    <w:rsid w:val="00384862"/>
    <w:rsid w:val="003848D0"/>
    <w:rsid w:val="00384980"/>
    <w:rsid w:val="0038498B"/>
    <w:rsid w:val="00384B95"/>
    <w:rsid w:val="00384BA5"/>
    <w:rsid w:val="00384BD5"/>
    <w:rsid w:val="00384BEA"/>
    <w:rsid w:val="00384C1F"/>
    <w:rsid w:val="00384C4C"/>
    <w:rsid w:val="00384CE2"/>
    <w:rsid w:val="00384D47"/>
    <w:rsid w:val="00384D77"/>
    <w:rsid w:val="00384DAF"/>
    <w:rsid w:val="00384DB4"/>
    <w:rsid w:val="00384E84"/>
    <w:rsid w:val="00385010"/>
    <w:rsid w:val="00385036"/>
    <w:rsid w:val="003850A8"/>
    <w:rsid w:val="00385133"/>
    <w:rsid w:val="003851CC"/>
    <w:rsid w:val="0038522C"/>
    <w:rsid w:val="00385303"/>
    <w:rsid w:val="00385375"/>
    <w:rsid w:val="003853CF"/>
    <w:rsid w:val="00385587"/>
    <w:rsid w:val="0038559C"/>
    <w:rsid w:val="003855C4"/>
    <w:rsid w:val="00385607"/>
    <w:rsid w:val="00385609"/>
    <w:rsid w:val="00385656"/>
    <w:rsid w:val="00385662"/>
    <w:rsid w:val="003856C6"/>
    <w:rsid w:val="00385712"/>
    <w:rsid w:val="003857F7"/>
    <w:rsid w:val="003857FC"/>
    <w:rsid w:val="0038581E"/>
    <w:rsid w:val="003858AC"/>
    <w:rsid w:val="003858C3"/>
    <w:rsid w:val="00385910"/>
    <w:rsid w:val="00385A70"/>
    <w:rsid w:val="00385AB8"/>
    <w:rsid w:val="00385B68"/>
    <w:rsid w:val="00385BC4"/>
    <w:rsid w:val="00385C17"/>
    <w:rsid w:val="00385C2B"/>
    <w:rsid w:val="00385C37"/>
    <w:rsid w:val="00385D74"/>
    <w:rsid w:val="00385E48"/>
    <w:rsid w:val="00385E92"/>
    <w:rsid w:val="00385EA0"/>
    <w:rsid w:val="00385EB4"/>
    <w:rsid w:val="00385F55"/>
    <w:rsid w:val="00385F78"/>
    <w:rsid w:val="00385F7B"/>
    <w:rsid w:val="00385FAA"/>
    <w:rsid w:val="00385FEC"/>
    <w:rsid w:val="00386001"/>
    <w:rsid w:val="00386146"/>
    <w:rsid w:val="00386241"/>
    <w:rsid w:val="003862DA"/>
    <w:rsid w:val="00386337"/>
    <w:rsid w:val="003863D9"/>
    <w:rsid w:val="0038648A"/>
    <w:rsid w:val="00386535"/>
    <w:rsid w:val="0038655A"/>
    <w:rsid w:val="00386590"/>
    <w:rsid w:val="003865DD"/>
    <w:rsid w:val="00386603"/>
    <w:rsid w:val="00386642"/>
    <w:rsid w:val="00386671"/>
    <w:rsid w:val="0038667B"/>
    <w:rsid w:val="0038667F"/>
    <w:rsid w:val="003866CC"/>
    <w:rsid w:val="003866FD"/>
    <w:rsid w:val="00386740"/>
    <w:rsid w:val="003868EB"/>
    <w:rsid w:val="003869EB"/>
    <w:rsid w:val="00386AD3"/>
    <w:rsid w:val="00386B39"/>
    <w:rsid w:val="00386B61"/>
    <w:rsid w:val="00386CE1"/>
    <w:rsid w:val="00386D2F"/>
    <w:rsid w:val="00386F05"/>
    <w:rsid w:val="00386FA2"/>
    <w:rsid w:val="0038705C"/>
    <w:rsid w:val="003870F5"/>
    <w:rsid w:val="003871A8"/>
    <w:rsid w:val="00387253"/>
    <w:rsid w:val="003872A2"/>
    <w:rsid w:val="003872E6"/>
    <w:rsid w:val="00387359"/>
    <w:rsid w:val="0038735C"/>
    <w:rsid w:val="00387381"/>
    <w:rsid w:val="003873EC"/>
    <w:rsid w:val="003873F2"/>
    <w:rsid w:val="0038744D"/>
    <w:rsid w:val="0038747A"/>
    <w:rsid w:val="003874E2"/>
    <w:rsid w:val="00387518"/>
    <w:rsid w:val="0038752F"/>
    <w:rsid w:val="003875AF"/>
    <w:rsid w:val="00387658"/>
    <w:rsid w:val="0038765E"/>
    <w:rsid w:val="003876B6"/>
    <w:rsid w:val="00387785"/>
    <w:rsid w:val="003877CA"/>
    <w:rsid w:val="00387831"/>
    <w:rsid w:val="0038785C"/>
    <w:rsid w:val="003878B8"/>
    <w:rsid w:val="003878F3"/>
    <w:rsid w:val="0038791A"/>
    <w:rsid w:val="0038792C"/>
    <w:rsid w:val="0038793F"/>
    <w:rsid w:val="003879AC"/>
    <w:rsid w:val="00387A41"/>
    <w:rsid w:val="00387AA6"/>
    <w:rsid w:val="00387AEF"/>
    <w:rsid w:val="00387B06"/>
    <w:rsid w:val="00387C4C"/>
    <w:rsid w:val="00387CCA"/>
    <w:rsid w:val="00387D47"/>
    <w:rsid w:val="00387E38"/>
    <w:rsid w:val="00387E73"/>
    <w:rsid w:val="00387EB5"/>
    <w:rsid w:val="00387F1E"/>
    <w:rsid w:val="00387F3B"/>
    <w:rsid w:val="00387F49"/>
    <w:rsid w:val="00387F61"/>
    <w:rsid w:val="00387F6E"/>
    <w:rsid w:val="0038CD21"/>
    <w:rsid w:val="00390094"/>
    <w:rsid w:val="003900BF"/>
    <w:rsid w:val="0039013B"/>
    <w:rsid w:val="0039015C"/>
    <w:rsid w:val="003901F7"/>
    <w:rsid w:val="00390309"/>
    <w:rsid w:val="00390352"/>
    <w:rsid w:val="003903C8"/>
    <w:rsid w:val="003903FB"/>
    <w:rsid w:val="0039047C"/>
    <w:rsid w:val="0039047E"/>
    <w:rsid w:val="003904E0"/>
    <w:rsid w:val="0039059E"/>
    <w:rsid w:val="003905CD"/>
    <w:rsid w:val="003905E4"/>
    <w:rsid w:val="003906CA"/>
    <w:rsid w:val="0039079B"/>
    <w:rsid w:val="003907C0"/>
    <w:rsid w:val="003908BB"/>
    <w:rsid w:val="00390979"/>
    <w:rsid w:val="003909B5"/>
    <w:rsid w:val="00390A6F"/>
    <w:rsid w:val="00390ACC"/>
    <w:rsid w:val="00390AE1"/>
    <w:rsid w:val="00390B1D"/>
    <w:rsid w:val="00390BFE"/>
    <w:rsid w:val="00390CF2"/>
    <w:rsid w:val="00390D09"/>
    <w:rsid w:val="00390D82"/>
    <w:rsid w:val="00390E02"/>
    <w:rsid w:val="00390E4B"/>
    <w:rsid w:val="00390ED6"/>
    <w:rsid w:val="00390FA5"/>
    <w:rsid w:val="00390FE5"/>
    <w:rsid w:val="0039105C"/>
    <w:rsid w:val="0039106A"/>
    <w:rsid w:val="00391155"/>
    <w:rsid w:val="0039115D"/>
    <w:rsid w:val="003911CD"/>
    <w:rsid w:val="00391258"/>
    <w:rsid w:val="003912E7"/>
    <w:rsid w:val="00391347"/>
    <w:rsid w:val="0039135E"/>
    <w:rsid w:val="003913D4"/>
    <w:rsid w:val="003913D5"/>
    <w:rsid w:val="003914C3"/>
    <w:rsid w:val="0039152E"/>
    <w:rsid w:val="0039168F"/>
    <w:rsid w:val="003916C4"/>
    <w:rsid w:val="003916F5"/>
    <w:rsid w:val="00391746"/>
    <w:rsid w:val="00391787"/>
    <w:rsid w:val="003917BF"/>
    <w:rsid w:val="00391829"/>
    <w:rsid w:val="00391873"/>
    <w:rsid w:val="003918CA"/>
    <w:rsid w:val="003918D9"/>
    <w:rsid w:val="0039198F"/>
    <w:rsid w:val="00391A92"/>
    <w:rsid w:val="00391AC4"/>
    <w:rsid w:val="00391B34"/>
    <w:rsid w:val="00391B5F"/>
    <w:rsid w:val="00391BF1"/>
    <w:rsid w:val="00391BF4"/>
    <w:rsid w:val="00391C62"/>
    <w:rsid w:val="00391C6F"/>
    <w:rsid w:val="00391C72"/>
    <w:rsid w:val="00391C9E"/>
    <w:rsid w:val="00391CA2"/>
    <w:rsid w:val="00391D69"/>
    <w:rsid w:val="00391D80"/>
    <w:rsid w:val="00391EDD"/>
    <w:rsid w:val="00391FB8"/>
    <w:rsid w:val="00392080"/>
    <w:rsid w:val="00392084"/>
    <w:rsid w:val="003920BC"/>
    <w:rsid w:val="003920FA"/>
    <w:rsid w:val="00392270"/>
    <w:rsid w:val="00392286"/>
    <w:rsid w:val="00392295"/>
    <w:rsid w:val="003922EB"/>
    <w:rsid w:val="003922EE"/>
    <w:rsid w:val="00392329"/>
    <w:rsid w:val="00392358"/>
    <w:rsid w:val="00392372"/>
    <w:rsid w:val="0039239A"/>
    <w:rsid w:val="003923BE"/>
    <w:rsid w:val="00392498"/>
    <w:rsid w:val="003924B3"/>
    <w:rsid w:val="00392582"/>
    <w:rsid w:val="00392639"/>
    <w:rsid w:val="0039282B"/>
    <w:rsid w:val="00392865"/>
    <w:rsid w:val="003928D0"/>
    <w:rsid w:val="00392923"/>
    <w:rsid w:val="00392983"/>
    <w:rsid w:val="003929F3"/>
    <w:rsid w:val="00392AC0"/>
    <w:rsid w:val="00392B20"/>
    <w:rsid w:val="00392B78"/>
    <w:rsid w:val="00392BBE"/>
    <w:rsid w:val="00392C15"/>
    <w:rsid w:val="00392C73"/>
    <w:rsid w:val="00392C81"/>
    <w:rsid w:val="00392D07"/>
    <w:rsid w:val="00392D45"/>
    <w:rsid w:val="00392D8C"/>
    <w:rsid w:val="00392F00"/>
    <w:rsid w:val="00392F9A"/>
    <w:rsid w:val="00392FDF"/>
    <w:rsid w:val="003930B1"/>
    <w:rsid w:val="00393118"/>
    <w:rsid w:val="00393130"/>
    <w:rsid w:val="0039319E"/>
    <w:rsid w:val="003931EF"/>
    <w:rsid w:val="0039325D"/>
    <w:rsid w:val="0039335B"/>
    <w:rsid w:val="00393392"/>
    <w:rsid w:val="0039339D"/>
    <w:rsid w:val="00393447"/>
    <w:rsid w:val="0039347C"/>
    <w:rsid w:val="0039350C"/>
    <w:rsid w:val="00393526"/>
    <w:rsid w:val="003935F1"/>
    <w:rsid w:val="00393625"/>
    <w:rsid w:val="00393679"/>
    <w:rsid w:val="00393750"/>
    <w:rsid w:val="00393815"/>
    <w:rsid w:val="0039383D"/>
    <w:rsid w:val="0039385D"/>
    <w:rsid w:val="003938DD"/>
    <w:rsid w:val="003938E2"/>
    <w:rsid w:val="00393963"/>
    <w:rsid w:val="0039397B"/>
    <w:rsid w:val="00393A3A"/>
    <w:rsid w:val="00393AE0"/>
    <w:rsid w:val="00393B02"/>
    <w:rsid w:val="00393B43"/>
    <w:rsid w:val="00393B9E"/>
    <w:rsid w:val="00393E0A"/>
    <w:rsid w:val="00393E5E"/>
    <w:rsid w:val="00393E74"/>
    <w:rsid w:val="00393E90"/>
    <w:rsid w:val="00393F4C"/>
    <w:rsid w:val="00393F54"/>
    <w:rsid w:val="00393F6D"/>
    <w:rsid w:val="00393F7A"/>
    <w:rsid w:val="00394009"/>
    <w:rsid w:val="00394076"/>
    <w:rsid w:val="0039409D"/>
    <w:rsid w:val="003940A8"/>
    <w:rsid w:val="003940CD"/>
    <w:rsid w:val="003940D2"/>
    <w:rsid w:val="0039411C"/>
    <w:rsid w:val="00394178"/>
    <w:rsid w:val="003941F2"/>
    <w:rsid w:val="00394265"/>
    <w:rsid w:val="0039444D"/>
    <w:rsid w:val="003944CB"/>
    <w:rsid w:val="00394539"/>
    <w:rsid w:val="003945D5"/>
    <w:rsid w:val="003945DA"/>
    <w:rsid w:val="00394669"/>
    <w:rsid w:val="00394685"/>
    <w:rsid w:val="003946E4"/>
    <w:rsid w:val="003946E9"/>
    <w:rsid w:val="003946EA"/>
    <w:rsid w:val="003946EB"/>
    <w:rsid w:val="00394725"/>
    <w:rsid w:val="00394792"/>
    <w:rsid w:val="003947B4"/>
    <w:rsid w:val="003948D7"/>
    <w:rsid w:val="0039491F"/>
    <w:rsid w:val="003949AD"/>
    <w:rsid w:val="00394A11"/>
    <w:rsid w:val="00394A38"/>
    <w:rsid w:val="00394A4F"/>
    <w:rsid w:val="00394AB4"/>
    <w:rsid w:val="00394B20"/>
    <w:rsid w:val="00394B24"/>
    <w:rsid w:val="00394C0E"/>
    <w:rsid w:val="00394CBC"/>
    <w:rsid w:val="00394D0C"/>
    <w:rsid w:val="00394DFC"/>
    <w:rsid w:val="00394E7C"/>
    <w:rsid w:val="00394E86"/>
    <w:rsid w:val="00394E95"/>
    <w:rsid w:val="00394F99"/>
    <w:rsid w:val="00394FA2"/>
    <w:rsid w:val="00395076"/>
    <w:rsid w:val="003951FB"/>
    <w:rsid w:val="00395262"/>
    <w:rsid w:val="0039527F"/>
    <w:rsid w:val="00395388"/>
    <w:rsid w:val="003953F0"/>
    <w:rsid w:val="0039549D"/>
    <w:rsid w:val="0039551B"/>
    <w:rsid w:val="00395665"/>
    <w:rsid w:val="003956A1"/>
    <w:rsid w:val="003956B5"/>
    <w:rsid w:val="003956D5"/>
    <w:rsid w:val="00395762"/>
    <w:rsid w:val="003957BC"/>
    <w:rsid w:val="00395840"/>
    <w:rsid w:val="003958A5"/>
    <w:rsid w:val="003958B8"/>
    <w:rsid w:val="003958E4"/>
    <w:rsid w:val="00395934"/>
    <w:rsid w:val="0039595B"/>
    <w:rsid w:val="00395982"/>
    <w:rsid w:val="00395A24"/>
    <w:rsid w:val="00395B53"/>
    <w:rsid w:val="00395C26"/>
    <w:rsid w:val="00395C68"/>
    <w:rsid w:val="00395CA6"/>
    <w:rsid w:val="00395D7F"/>
    <w:rsid w:val="00395E55"/>
    <w:rsid w:val="00395E7D"/>
    <w:rsid w:val="00395F77"/>
    <w:rsid w:val="0039606F"/>
    <w:rsid w:val="00396077"/>
    <w:rsid w:val="003960C6"/>
    <w:rsid w:val="00396174"/>
    <w:rsid w:val="00396218"/>
    <w:rsid w:val="00396241"/>
    <w:rsid w:val="003962AD"/>
    <w:rsid w:val="003962BC"/>
    <w:rsid w:val="003963FD"/>
    <w:rsid w:val="003963FF"/>
    <w:rsid w:val="0039647D"/>
    <w:rsid w:val="0039655F"/>
    <w:rsid w:val="003965FE"/>
    <w:rsid w:val="00396603"/>
    <w:rsid w:val="0039666D"/>
    <w:rsid w:val="00396698"/>
    <w:rsid w:val="003966D2"/>
    <w:rsid w:val="003966E2"/>
    <w:rsid w:val="00396747"/>
    <w:rsid w:val="003967C6"/>
    <w:rsid w:val="00396876"/>
    <w:rsid w:val="0039696D"/>
    <w:rsid w:val="00396AB5"/>
    <w:rsid w:val="00396B0D"/>
    <w:rsid w:val="00396B24"/>
    <w:rsid w:val="00396B6A"/>
    <w:rsid w:val="00396C89"/>
    <w:rsid w:val="00396C9E"/>
    <w:rsid w:val="00396D3B"/>
    <w:rsid w:val="00396D87"/>
    <w:rsid w:val="00396D99"/>
    <w:rsid w:val="00396DBF"/>
    <w:rsid w:val="00396E12"/>
    <w:rsid w:val="00396F6A"/>
    <w:rsid w:val="00396FEA"/>
    <w:rsid w:val="00396FFD"/>
    <w:rsid w:val="00397036"/>
    <w:rsid w:val="00397072"/>
    <w:rsid w:val="00397112"/>
    <w:rsid w:val="00397194"/>
    <w:rsid w:val="003971F2"/>
    <w:rsid w:val="00397232"/>
    <w:rsid w:val="00397274"/>
    <w:rsid w:val="003972AD"/>
    <w:rsid w:val="003972C9"/>
    <w:rsid w:val="00397310"/>
    <w:rsid w:val="00397315"/>
    <w:rsid w:val="00397399"/>
    <w:rsid w:val="00397437"/>
    <w:rsid w:val="003974A3"/>
    <w:rsid w:val="003975CA"/>
    <w:rsid w:val="003975FA"/>
    <w:rsid w:val="00397626"/>
    <w:rsid w:val="003977F5"/>
    <w:rsid w:val="00397815"/>
    <w:rsid w:val="00397860"/>
    <w:rsid w:val="00397873"/>
    <w:rsid w:val="003978D4"/>
    <w:rsid w:val="0039798C"/>
    <w:rsid w:val="003979B0"/>
    <w:rsid w:val="00397A77"/>
    <w:rsid w:val="00397AC9"/>
    <w:rsid w:val="00397AE0"/>
    <w:rsid w:val="00397C00"/>
    <w:rsid w:val="00397C1F"/>
    <w:rsid w:val="00397D9D"/>
    <w:rsid w:val="00397E75"/>
    <w:rsid w:val="00397F0D"/>
    <w:rsid w:val="00397F3B"/>
    <w:rsid w:val="00397F3D"/>
    <w:rsid w:val="00397F4A"/>
    <w:rsid w:val="00397F92"/>
    <w:rsid w:val="003A0038"/>
    <w:rsid w:val="003A005F"/>
    <w:rsid w:val="003A0065"/>
    <w:rsid w:val="003A007B"/>
    <w:rsid w:val="003A00CB"/>
    <w:rsid w:val="003A00D5"/>
    <w:rsid w:val="003A00ED"/>
    <w:rsid w:val="003A011F"/>
    <w:rsid w:val="003A019A"/>
    <w:rsid w:val="003A024C"/>
    <w:rsid w:val="003A024D"/>
    <w:rsid w:val="003A0266"/>
    <w:rsid w:val="003A0287"/>
    <w:rsid w:val="003A02AC"/>
    <w:rsid w:val="003A02F1"/>
    <w:rsid w:val="003A0464"/>
    <w:rsid w:val="003A0504"/>
    <w:rsid w:val="003A0589"/>
    <w:rsid w:val="003A0604"/>
    <w:rsid w:val="003A06C5"/>
    <w:rsid w:val="003A07B8"/>
    <w:rsid w:val="003A080D"/>
    <w:rsid w:val="003A0876"/>
    <w:rsid w:val="003A0920"/>
    <w:rsid w:val="003A096D"/>
    <w:rsid w:val="003A09BB"/>
    <w:rsid w:val="003A0B21"/>
    <w:rsid w:val="003A0C18"/>
    <w:rsid w:val="003A0C90"/>
    <w:rsid w:val="003A0CC1"/>
    <w:rsid w:val="003A0DCB"/>
    <w:rsid w:val="003A0DF2"/>
    <w:rsid w:val="003A0E1F"/>
    <w:rsid w:val="003A0EDC"/>
    <w:rsid w:val="003A0FD4"/>
    <w:rsid w:val="003A1049"/>
    <w:rsid w:val="003A107B"/>
    <w:rsid w:val="003A10A8"/>
    <w:rsid w:val="003A1173"/>
    <w:rsid w:val="003A11FC"/>
    <w:rsid w:val="003A122A"/>
    <w:rsid w:val="003A12B3"/>
    <w:rsid w:val="003A130B"/>
    <w:rsid w:val="003A132D"/>
    <w:rsid w:val="003A1430"/>
    <w:rsid w:val="003A143C"/>
    <w:rsid w:val="003A148C"/>
    <w:rsid w:val="003A14D4"/>
    <w:rsid w:val="003A1550"/>
    <w:rsid w:val="003A1623"/>
    <w:rsid w:val="003A1632"/>
    <w:rsid w:val="003A1678"/>
    <w:rsid w:val="003A16A4"/>
    <w:rsid w:val="003A16B6"/>
    <w:rsid w:val="003A17AE"/>
    <w:rsid w:val="003A17B2"/>
    <w:rsid w:val="003A17C0"/>
    <w:rsid w:val="003A18E6"/>
    <w:rsid w:val="003A18F8"/>
    <w:rsid w:val="003A18FC"/>
    <w:rsid w:val="003A1907"/>
    <w:rsid w:val="003A194F"/>
    <w:rsid w:val="003A196F"/>
    <w:rsid w:val="003A19BE"/>
    <w:rsid w:val="003A1A46"/>
    <w:rsid w:val="003A1A6C"/>
    <w:rsid w:val="003A1A8C"/>
    <w:rsid w:val="003A1BFC"/>
    <w:rsid w:val="003A1C85"/>
    <w:rsid w:val="003A1CBF"/>
    <w:rsid w:val="003A1D68"/>
    <w:rsid w:val="003A1D9D"/>
    <w:rsid w:val="003A1E5D"/>
    <w:rsid w:val="003A1E67"/>
    <w:rsid w:val="003A1EE4"/>
    <w:rsid w:val="003A1EF7"/>
    <w:rsid w:val="003A1F02"/>
    <w:rsid w:val="003A1F34"/>
    <w:rsid w:val="003A2036"/>
    <w:rsid w:val="003A2071"/>
    <w:rsid w:val="003A20C0"/>
    <w:rsid w:val="003A219C"/>
    <w:rsid w:val="003A21C8"/>
    <w:rsid w:val="003A21E0"/>
    <w:rsid w:val="003A22D6"/>
    <w:rsid w:val="003A2345"/>
    <w:rsid w:val="003A2387"/>
    <w:rsid w:val="003A23E7"/>
    <w:rsid w:val="003A244D"/>
    <w:rsid w:val="003A2457"/>
    <w:rsid w:val="003A24B1"/>
    <w:rsid w:val="003A24F3"/>
    <w:rsid w:val="003A2521"/>
    <w:rsid w:val="003A25E3"/>
    <w:rsid w:val="003A2635"/>
    <w:rsid w:val="003A268F"/>
    <w:rsid w:val="003A26FE"/>
    <w:rsid w:val="003A2878"/>
    <w:rsid w:val="003A287D"/>
    <w:rsid w:val="003A28B1"/>
    <w:rsid w:val="003A28C5"/>
    <w:rsid w:val="003A28EE"/>
    <w:rsid w:val="003A291D"/>
    <w:rsid w:val="003A299D"/>
    <w:rsid w:val="003A2A46"/>
    <w:rsid w:val="003A2A6F"/>
    <w:rsid w:val="003A2AD2"/>
    <w:rsid w:val="003A2AE8"/>
    <w:rsid w:val="003A2B7A"/>
    <w:rsid w:val="003A2C53"/>
    <w:rsid w:val="003A2C7A"/>
    <w:rsid w:val="003A2C86"/>
    <w:rsid w:val="003A2C9C"/>
    <w:rsid w:val="003A2D3B"/>
    <w:rsid w:val="003A2DA8"/>
    <w:rsid w:val="003A2DB1"/>
    <w:rsid w:val="003A2DFC"/>
    <w:rsid w:val="003A2DFD"/>
    <w:rsid w:val="003A2E1E"/>
    <w:rsid w:val="003A2E67"/>
    <w:rsid w:val="003A2E75"/>
    <w:rsid w:val="003A2EA7"/>
    <w:rsid w:val="003A2F1A"/>
    <w:rsid w:val="003A308D"/>
    <w:rsid w:val="003A30A7"/>
    <w:rsid w:val="003A30E3"/>
    <w:rsid w:val="003A3168"/>
    <w:rsid w:val="003A316E"/>
    <w:rsid w:val="003A319D"/>
    <w:rsid w:val="003A31B9"/>
    <w:rsid w:val="003A32AD"/>
    <w:rsid w:val="003A32EB"/>
    <w:rsid w:val="003A32ED"/>
    <w:rsid w:val="003A3300"/>
    <w:rsid w:val="003A3319"/>
    <w:rsid w:val="003A3459"/>
    <w:rsid w:val="003A347A"/>
    <w:rsid w:val="003A34C6"/>
    <w:rsid w:val="003A351B"/>
    <w:rsid w:val="003A354B"/>
    <w:rsid w:val="003A3637"/>
    <w:rsid w:val="003A3669"/>
    <w:rsid w:val="003A368F"/>
    <w:rsid w:val="003A3767"/>
    <w:rsid w:val="003A3786"/>
    <w:rsid w:val="003A3789"/>
    <w:rsid w:val="003A3795"/>
    <w:rsid w:val="003A37B0"/>
    <w:rsid w:val="003A37DA"/>
    <w:rsid w:val="003A381A"/>
    <w:rsid w:val="003A381B"/>
    <w:rsid w:val="003A3955"/>
    <w:rsid w:val="003A3976"/>
    <w:rsid w:val="003A39A6"/>
    <w:rsid w:val="003A39C6"/>
    <w:rsid w:val="003A3A35"/>
    <w:rsid w:val="003A3ADE"/>
    <w:rsid w:val="003A3AE6"/>
    <w:rsid w:val="003A3B6E"/>
    <w:rsid w:val="003A3CC6"/>
    <w:rsid w:val="003A3D05"/>
    <w:rsid w:val="003A3F0D"/>
    <w:rsid w:val="003A3FB7"/>
    <w:rsid w:val="003A4110"/>
    <w:rsid w:val="003A4182"/>
    <w:rsid w:val="003A41E8"/>
    <w:rsid w:val="003A420F"/>
    <w:rsid w:val="003A4401"/>
    <w:rsid w:val="003A4467"/>
    <w:rsid w:val="003A4496"/>
    <w:rsid w:val="003A44DA"/>
    <w:rsid w:val="003A4503"/>
    <w:rsid w:val="003A4538"/>
    <w:rsid w:val="003A4604"/>
    <w:rsid w:val="003A4605"/>
    <w:rsid w:val="003A466A"/>
    <w:rsid w:val="003A4764"/>
    <w:rsid w:val="003A476E"/>
    <w:rsid w:val="003A4817"/>
    <w:rsid w:val="003A492C"/>
    <w:rsid w:val="003A4B0A"/>
    <w:rsid w:val="003A4BAC"/>
    <w:rsid w:val="003A4C8A"/>
    <w:rsid w:val="003A4CA5"/>
    <w:rsid w:val="003A4D38"/>
    <w:rsid w:val="003A4DCC"/>
    <w:rsid w:val="003A4DE7"/>
    <w:rsid w:val="003A4E47"/>
    <w:rsid w:val="003A4E94"/>
    <w:rsid w:val="003A4E9F"/>
    <w:rsid w:val="003A4EFC"/>
    <w:rsid w:val="003A4F17"/>
    <w:rsid w:val="003A4F89"/>
    <w:rsid w:val="003A5062"/>
    <w:rsid w:val="003A5193"/>
    <w:rsid w:val="003A51A3"/>
    <w:rsid w:val="003A51A8"/>
    <w:rsid w:val="003A51E8"/>
    <w:rsid w:val="003A521D"/>
    <w:rsid w:val="003A5243"/>
    <w:rsid w:val="003A528E"/>
    <w:rsid w:val="003A5373"/>
    <w:rsid w:val="003A53A2"/>
    <w:rsid w:val="003A5417"/>
    <w:rsid w:val="003A5431"/>
    <w:rsid w:val="003A5459"/>
    <w:rsid w:val="003A548F"/>
    <w:rsid w:val="003A54C2"/>
    <w:rsid w:val="003A54D8"/>
    <w:rsid w:val="003A54D9"/>
    <w:rsid w:val="003A5512"/>
    <w:rsid w:val="003A552E"/>
    <w:rsid w:val="003A55B9"/>
    <w:rsid w:val="003A56C2"/>
    <w:rsid w:val="003A5738"/>
    <w:rsid w:val="003A575B"/>
    <w:rsid w:val="003A57AC"/>
    <w:rsid w:val="003A57F7"/>
    <w:rsid w:val="003A5840"/>
    <w:rsid w:val="003A5844"/>
    <w:rsid w:val="003A5A5B"/>
    <w:rsid w:val="003A5AB4"/>
    <w:rsid w:val="003A5AE7"/>
    <w:rsid w:val="003A5C0C"/>
    <w:rsid w:val="003A5C36"/>
    <w:rsid w:val="003A5C6C"/>
    <w:rsid w:val="003A5CD9"/>
    <w:rsid w:val="003A5D25"/>
    <w:rsid w:val="003A5D39"/>
    <w:rsid w:val="003A5D7D"/>
    <w:rsid w:val="003A5E24"/>
    <w:rsid w:val="003A5E3F"/>
    <w:rsid w:val="003A5EDA"/>
    <w:rsid w:val="003A5F40"/>
    <w:rsid w:val="003A5F92"/>
    <w:rsid w:val="003A5FCA"/>
    <w:rsid w:val="003A6016"/>
    <w:rsid w:val="003A6053"/>
    <w:rsid w:val="003A60BC"/>
    <w:rsid w:val="003A611D"/>
    <w:rsid w:val="003A6160"/>
    <w:rsid w:val="003A618A"/>
    <w:rsid w:val="003A61B1"/>
    <w:rsid w:val="003A61D3"/>
    <w:rsid w:val="003A61F1"/>
    <w:rsid w:val="003A6226"/>
    <w:rsid w:val="003A6229"/>
    <w:rsid w:val="003A622C"/>
    <w:rsid w:val="003A62D7"/>
    <w:rsid w:val="003A63D1"/>
    <w:rsid w:val="003A6467"/>
    <w:rsid w:val="003A646D"/>
    <w:rsid w:val="003A6481"/>
    <w:rsid w:val="003A64F4"/>
    <w:rsid w:val="003A653D"/>
    <w:rsid w:val="003A65AF"/>
    <w:rsid w:val="003A65C7"/>
    <w:rsid w:val="003A6653"/>
    <w:rsid w:val="003A6681"/>
    <w:rsid w:val="003A669F"/>
    <w:rsid w:val="003A6759"/>
    <w:rsid w:val="003A6784"/>
    <w:rsid w:val="003A68E1"/>
    <w:rsid w:val="003A68F1"/>
    <w:rsid w:val="003A68FF"/>
    <w:rsid w:val="003A69C4"/>
    <w:rsid w:val="003A6A20"/>
    <w:rsid w:val="003A6A21"/>
    <w:rsid w:val="003A6A4F"/>
    <w:rsid w:val="003A6B49"/>
    <w:rsid w:val="003A6BC0"/>
    <w:rsid w:val="003A6BC3"/>
    <w:rsid w:val="003A6BCC"/>
    <w:rsid w:val="003A6C11"/>
    <w:rsid w:val="003A6D19"/>
    <w:rsid w:val="003A6E2B"/>
    <w:rsid w:val="003A6E4D"/>
    <w:rsid w:val="003A6E9C"/>
    <w:rsid w:val="003A6FCE"/>
    <w:rsid w:val="003A6FD6"/>
    <w:rsid w:val="003A708E"/>
    <w:rsid w:val="003A709C"/>
    <w:rsid w:val="003A70D4"/>
    <w:rsid w:val="003A7138"/>
    <w:rsid w:val="003A7170"/>
    <w:rsid w:val="003A71F7"/>
    <w:rsid w:val="003A7244"/>
    <w:rsid w:val="003A729F"/>
    <w:rsid w:val="003A72C2"/>
    <w:rsid w:val="003A7347"/>
    <w:rsid w:val="003A734D"/>
    <w:rsid w:val="003A7389"/>
    <w:rsid w:val="003A7408"/>
    <w:rsid w:val="003A741A"/>
    <w:rsid w:val="003A7463"/>
    <w:rsid w:val="003A74BD"/>
    <w:rsid w:val="003A74CE"/>
    <w:rsid w:val="003A7636"/>
    <w:rsid w:val="003A7638"/>
    <w:rsid w:val="003A7645"/>
    <w:rsid w:val="003A7690"/>
    <w:rsid w:val="003A769F"/>
    <w:rsid w:val="003A7710"/>
    <w:rsid w:val="003A7755"/>
    <w:rsid w:val="003A7798"/>
    <w:rsid w:val="003A780A"/>
    <w:rsid w:val="003A799C"/>
    <w:rsid w:val="003A79C1"/>
    <w:rsid w:val="003A7A1F"/>
    <w:rsid w:val="003A7B20"/>
    <w:rsid w:val="003A7B86"/>
    <w:rsid w:val="003A7C04"/>
    <w:rsid w:val="003A7C29"/>
    <w:rsid w:val="003A7C2B"/>
    <w:rsid w:val="003A7D46"/>
    <w:rsid w:val="003A7D47"/>
    <w:rsid w:val="003A7DE5"/>
    <w:rsid w:val="003A7E16"/>
    <w:rsid w:val="003A7E9A"/>
    <w:rsid w:val="003A7EDC"/>
    <w:rsid w:val="003A7F15"/>
    <w:rsid w:val="003A7F76"/>
    <w:rsid w:val="003A7F97"/>
    <w:rsid w:val="003B00CE"/>
    <w:rsid w:val="003B018B"/>
    <w:rsid w:val="003B0205"/>
    <w:rsid w:val="003B021B"/>
    <w:rsid w:val="003B023E"/>
    <w:rsid w:val="003B0271"/>
    <w:rsid w:val="003B02B8"/>
    <w:rsid w:val="003B0370"/>
    <w:rsid w:val="003B0440"/>
    <w:rsid w:val="003B04F3"/>
    <w:rsid w:val="003B0532"/>
    <w:rsid w:val="003B0569"/>
    <w:rsid w:val="003B05EF"/>
    <w:rsid w:val="003B063A"/>
    <w:rsid w:val="003B06FF"/>
    <w:rsid w:val="003B0718"/>
    <w:rsid w:val="003B0752"/>
    <w:rsid w:val="003B0859"/>
    <w:rsid w:val="003B085F"/>
    <w:rsid w:val="003B089D"/>
    <w:rsid w:val="003B08C1"/>
    <w:rsid w:val="003B0982"/>
    <w:rsid w:val="003B09F2"/>
    <w:rsid w:val="003B0A17"/>
    <w:rsid w:val="003B0ACA"/>
    <w:rsid w:val="003B0AD3"/>
    <w:rsid w:val="003B0AFC"/>
    <w:rsid w:val="003B0B42"/>
    <w:rsid w:val="003B0B6A"/>
    <w:rsid w:val="003B0B80"/>
    <w:rsid w:val="003B0B94"/>
    <w:rsid w:val="003B0BA9"/>
    <w:rsid w:val="003B0BAF"/>
    <w:rsid w:val="003B0BCF"/>
    <w:rsid w:val="003B0C2E"/>
    <w:rsid w:val="003B0C47"/>
    <w:rsid w:val="003B0C9A"/>
    <w:rsid w:val="003B0CAC"/>
    <w:rsid w:val="003B0CBE"/>
    <w:rsid w:val="003B0D02"/>
    <w:rsid w:val="003B0D15"/>
    <w:rsid w:val="003B0D47"/>
    <w:rsid w:val="003B0D68"/>
    <w:rsid w:val="003B0DA6"/>
    <w:rsid w:val="003B0DB8"/>
    <w:rsid w:val="003B0DC1"/>
    <w:rsid w:val="003B0DEA"/>
    <w:rsid w:val="003B0E6A"/>
    <w:rsid w:val="003B0EA1"/>
    <w:rsid w:val="003B0FFC"/>
    <w:rsid w:val="003B1059"/>
    <w:rsid w:val="003B108F"/>
    <w:rsid w:val="003B10A3"/>
    <w:rsid w:val="003B10DB"/>
    <w:rsid w:val="003B1144"/>
    <w:rsid w:val="003B11BB"/>
    <w:rsid w:val="003B11ED"/>
    <w:rsid w:val="003B122C"/>
    <w:rsid w:val="003B1254"/>
    <w:rsid w:val="003B126A"/>
    <w:rsid w:val="003B1272"/>
    <w:rsid w:val="003B12D4"/>
    <w:rsid w:val="003B12E8"/>
    <w:rsid w:val="003B1368"/>
    <w:rsid w:val="003B13B0"/>
    <w:rsid w:val="003B13C3"/>
    <w:rsid w:val="003B1402"/>
    <w:rsid w:val="003B158A"/>
    <w:rsid w:val="003B1727"/>
    <w:rsid w:val="003B178A"/>
    <w:rsid w:val="003B179B"/>
    <w:rsid w:val="003B17DF"/>
    <w:rsid w:val="003B1851"/>
    <w:rsid w:val="003B18C6"/>
    <w:rsid w:val="003B1996"/>
    <w:rsid w:val="003B19E6"/>
    <w:rsid w:val="003B1A03"/>
    <w:rsid w:val="003B1A9F"/>
    <w:rsid w:val="003B1B0F"/>
    <w:rsid w:val="003B1B6D"/>
    <w:rsid w:val="003B1C53"/>
    <w:rsid w:val="003B1CBF"/>
    <w:rsid w:val="003B1D6A"/>
    <w:rsid w:val="003B1E0C"/>
    <w:rsid w:val="003B1E71"/>
    <w:rsid w:val="003B1F0D"/>
    <w:rsid w:val="003B1F4C"/>
    <w:rsid w:val="003B1F55"/>
    <w:rsid w:val="003B1FAD"/>
    <w:rsid w:val="003B204C"/>
    <w:rsid w:val="003B2051"/>
    <w:rsid w:val="003B2058"/>
    <w:rsid w:val="003B2095"/>
    <w:rsid w:val="003B214E"/>
    <w:rsid w:val="003B219F"/>
    <w:rsid w:val="003B21E9"/>
    <w:rsid w:val="003B21F1"/>
    <w:rsid w:val="003B21F8"/>
    <w:rsid w:val="003B2211"/>
    <w:rsid w:val="003B2275"/>
    <w:rsid w:val="003B22E4"/>
    <w:rsid w:val="003B230E"/>
    <w:rsid w:val="003B2329"/>
    <w:rsid w:val="003B234F"/>
    <w:rsid w:val="003B23C9"/>
    <w:rsid w:val="003B23CD"/>
    <w:rsid w:val="003B23FA"/>
    <w:rsid w:val="003B241A"/>
    <w:rsid w:val="003B24C4"/>
    <w:rsid w:val="003B24D2"/>
    <w:rsid w:val="003B258B"/>
    <w:rsid w:val="003B25AB"/>
    <w:rsid w:val="003B25D8"/>
    <w:rsid w:val="003B260D"/>
    <w:rsid w:val="003B2651"/>
    <w:rsid w:val="003B278A"/>
    <w:rsid w:val="003B2863"/>
    <w:rsid w:val="003B296E"/>
    <w:rsid w:val="003B298F"/>
    <w:rsid w:val="003B29BA"/>
    <w:rsid w:val="003B2A28"/>
    <w:rsid w:val="003B2A43"/>
    <w:rsid w:val="003B2AF3"/>
    <w:rsid w:val="003B2C0A"/>
    <w:rsid w:val="003B2D98"/>
    <w:rsid w:val="003B2E6C"/>
    <w:rsid w:val="003B302C"/>
    <w:rsid w:val="003B3043"/>
    <w:rsid w:val="003B3064"/>
    <w:rsid w:val="003B308C"/>
    <w:rsid w:val="003B3112"/>
    <w:rsid w:val="003B315B"/>
    <w:rsid w:val="003B31BF"/>
    <w:rsid w:val="003B3225"/>
    <w:rsid w:val="003B326F"/>
    <w:rsid w:val="003B338A"/>
    <w:rsid w:val="003B3391"/>
    <w:rsid w:val="003B33D9"/>
    <w:rsid w:val="003B351C"/>
    <w:rsid w:val="003B3580"/>
    <w:rsid w:val="003B35CF"/>
    <w:rsid w:val="003B35DC"/>
    <w:rsid w:val="003B3686"/>
    <w:rsid w:val="003B36F6"/>
    <w:rsid w:val="003B36FD"/>
    <w:rsid w:val="003B38B5"/>
    <w:rsid w:val="003B3A6D"/>
    <w:rsid w:val="003B3A93"/>
    <w:rsid w:val="003B3A99"/>
    <w:rsid w:val="003B3AAD"/>
    <w:rsid w:val="003B3ABE"/>
    <w:rsid w:val="003B3BB7"/>
    <w:rsid w:val="003B3C09"/>
    <w:rsid w:val="003B3CE7"/>
    <w:rsid w:val="003B3D86"/>
    <w:rsid w:val="003B3D9E"/>
    <w:rsid w:val="003B3DA5"/>
    <w:rsid w:val="003B3E04"/>
    <w:rsid w:val="003B3E2B"/>
    <w:rsid w:val="003B3EFB"/>
    <w:rsid w:val="003B3FF6"/>
    <w:rsid w:val="003B4036"/>
    <w:rsid w:val="003B4049"/>
    <w:rsid w:val="003B4093"/>
    <w:rsid w:val="003B40B5"/>
    <w:rsid w:val="003B40E9"/>
    <w:rsid w:val="003B413A"/>
    <w:rsid w:val="003B427A"/>
    <w:rsid w:val="003B42C9"/>
    <w:rsid w:val="003B42DD"/>
    <w:rsid w:val="003B433E"/>
    <w:rsid w:val="003B436B"/>
    <w:rsid w:val="003B446B"/>
    <w:rsid w:val="003B4493"/>
    <w:rsid w:val="003B44A8"/>
    <w:rsid w:val="003B44FE"/>
    <w:rsid w:val="003B4521"/>
    <w:rsid w:val="003B4574"/>
    <w:rsid w:val="003B45D3"/>
    <w:rsid w:val="003B4641"/>
    <w:rsid w:val="003B475A"/>
    <w:rsid w:val="003B475C"/>
    <w:rsid w:val="003B4782"/>
    <w:rsid w:val="003B496B"/>
    <w:rsid w:val="003B497B"/>
    <w:rsid w:val="003B49A4"/>
    <w:rsid w:val="003B4A06"/>
    <w:rsid w:val="003B4A9A"/>
    <w:rsid w:val="003B4B25"/>
    <w:rsid w:val="003B4B52"/>
    <w:rsid w:val="003B4B8A"/>
    <w:rsid w:val="003B4C2A"/>
    <w:rsid w:val="003B4C76"/>
    <w:rsid w:val="003B4D3E"/>
    <w:rsid w:val="003B4D62"/>
    <w:rsid w:val="003B4DF9"/>
    <w:rsid w:val="003B4E32"/>
    <w:rsid w:val="003B4ED2"/>
    <w:rsid w:val="003B4EE3"/>
    <w:rsid w:val="003B4EE6"/>
    <w:rsid w:val="003B4FCC"/>
    <w:rsid w:val="003B5004"/>
    <w:rsid w:val="003B514F"/>
    <w:rsid w:val="003B51C3"/>
    <w:rsid w:val="003B52AF"/>
    <w:rsid w:val="003B533E"/>
    <w:rsid w:val="003B53F3"/>
    <w:rsid w:val="003B54D1"/>
    <w:rsid w:val="003B54D7"/>
    <w:rsid w:val="003B5500"/>
    <w:rsid w:val="003B55EF"/>
    <w:rsid w:val="003B5606"/>
    <w:rsid w:val="003B5645"/>
    <w:rsid w:val="003B5650"/>
    <w:rsid w:val="003B5676"/>
    <w:rsid w:val="003B569C"/>
    <w:rsid w:val="003B5723"/>
    <w:rsid w:val="003B5739"/>
    <w:rsid w:val="003B5760"/>
    <w:rsid w:val="003B57F1"/>
    <w:rsid w:val="003B57FF"/>
    <w:rsid w:val="003B581E"/>
    <w:rsid w:val="003B5873"/>
    <w:rsid w:val="003B58D7"/>
    <w:rsid w:val="003B5915"/>
    <w:rsid w:val="003B596A"/>
    <w:rsid w:val="003B59CA"/>
    <w:rsid w:val="003B59DF"/>
    <w:rsid w:val="003B5A04"/>
    <w:rsid w:val="003B5A33"/>
    <w:rsid w:val="003B5A37"/>
    <w:rsid w:val="003B5A64"/>
    <w:rsid w:val="003B5A85"/>
    <w:rsid w:val="003B5B73"/>
    <w:rsid w:val="003B5B9F"/>
    <w:rsid w:val="003B5C1A"/>
    <w:rsid w:val="003B5D10"/>
    <w:rsid w:val="003B5D3D"/>
    <w:rsid w:val="003B5DA6"/>
    <w:rsid w:val="003B5E46"/>
    <w:rsid w:val="003B5E69"/>
    <w:rsid w:val="003B5E96"/>
    <w:rsid w:val="003B5EB5"/>
    <w:rsid w:val="003B5EDA"/>
    <w:rsid w:val="003B5EF2"/>
    <w:rsid w:val="003B5F6B"/>
    <w:rsid w:val="003B5FB9"/>
    <w:rsid w:val="003B60EF"/>
    <w:rsid w:val="003B60F4"/>
    <w:rsid w:val="003B619F"/>
    <w:rsid w:val="003B61BD"/>
    <w:rsid w:val="003B61EF"/>
    <w:rsid w:val="003B6217"/>
    <w:rsid w:val="003B6249"/>
    <w:rsid w:val="003B6266"/>
    <w:rsid w:val="003B62C5"/>
    <w:rsid w:val="003B631E"/>
    <w:rsid w:val="003B641E"/>
    <w:rsid w:val="003B6451"/>
    <w:rsid w:val="003B6454"/>
    <w:rsid w:val="003B64CF"/>
    <w:rsid w:val="003B64D3"/>
    <w:rsid w:val="003B6737"/>
    <w:rsid w:val="003B6795"/>
    <w:rsid w:val="003B6854"/>
    <w:rsid w:val="003B6880"/>
    <w:rsid w:val="003B6883"/>
    <w:rsid w:val="003B68B8"/>
    <w:rsid w:val="003B68FF"/>
    <w:rsid w:val="003B69BF"/>
    <w:rsid w:val="003B69FA"/>
    <w:rsid w:val="003B6A40"/>
    <w:rsid w:val="003B6C8B"/>
    <w:rsid w:val="003B6D36"/>
    <w:rsid w:val="003B6D6E"/>
    <w:rsid w:val="003B6D81"/>
    <w:rsid w:val="003B6DDE"/>
    <w:rsid w:val="003B6DEC"/>
    <w:rsid w:val="003B6F01"/>
    <w:rsid w:val="003B7085"/>
    <w:rsid w:val="003B710C"/>
    <w:rsid w:val="003B713D"/>
    <w:rsid w:val="003B714B"/>
    <w:rsid w:val="003B714F"/>
    <w:rsid w:val="003B71B1"/>
    <w:rsid w:val="003B71C0"/>
    <w:rsid w:val="003B71D5"/>
    <w:rsid w:val="003B71EF"/>
    <w:rsid w:val="003B727F"/>
    <w:rsid w:val="003B72FC"/>
    <w:rsid w:val="003B7341"/>
    <w:rsid w:val="003B738E"/>
    <w:rsid w:val="003B73FE"/>
    <w:rsid w:val="003B749C"/>
    <w:rsid w:val="003B74C1"/>
    <w:rsid w:val="003B7512"/>
    <w:rsid w:val="003B7541"/>
    <w:rsid w:val="003B7605"/>
    <w:rsid w:val="003B7628"/>
    <w:rsid w:val="003B769B"/>
    <w:rsid w:val="003B76A9"/>
    <w:rsid w:val="003B76AF"/>
    <w:rsid w:val="003B76DE"/>
    <w:rsid w:val="003B7875"/>
    <w:rsid w:val="003B7893"/>
    <w:rsid w:val="003B78AC"/>
    <w:rsid w:val="003B7910"/>
    <w:rsid w:val="003B799B"/>
    <w:rsid w:val="003B799D"/>
    <w:rsid w:val="003B7A3A"/>
    <w:rsid w:val="003B7A4E"/>
    <w:rsid w:val="003B7AC7"/>
    <w:rsid w:val="003B7AF6"/>
    <w:rsid w:val="003B7B90"/>
    <w:rsid w:val="003B7D54"/>
    <w:rsid w:val="003B7DAA"/>
    <w:rsid w:val="003B7DBA"/>
    <w:rsid w:val="003B7DCC"/>
    <w:rsid w:val="003B7DE7"/>
    <w:rsid w:val="003B7EDA"/>
    <w:rsid w:val="003B7F24"/>
    <w:rsid w:val="003B7F79"/>
    <w:rsid w:val="003B7FAF"/>
    <w:rsid w:val="003B7FB5"/>
    <w:rsid w:val="003C0077"/>
    <w:rsid w:val="003C00A7"/>
    <w:rsid w:val="003C0105"/>
    <w:rsid w:val="003C0138"/>
    <w:rsid w:val="003C02C6"/>
    <w:rsid w:val="003C02D6"/>
    <w:rsid w:val="003C03D2"/>
    <w:rsid w:val="003C0493"/>
    <w:rsid w:val="003C0555"/>
    <w:rsid w:val="003C0671"/>
    <w:rsid w:val="003C06F5"/>
    <w:rsid w:val="003C0797"/>
    <w:rsid w:val="003C07A4"/>
    <w:rsid w:val="003C07E7"/>
    <w:rsid w:val="003C0861"/>
    <w:rsid w:val="003C088B"/>
    <w:rsid w:val="003C08A3"/>
    <w:rsid w:val="003C08DB"/>
    <w:rsid w:val="003C08E2"/>
    <w:rsid w:val="003C0915"/>
    <w:rsid w:val="003C097D"/>
    <w:rsid w:val="003C0A3B"/>
    <w:rsid w:val="003C0A71"/>
    <w:rsid w:val="003C0B31"/>
    <w:rsid w:val="003C0B5D"/>
    <w:rsid w:val="003C0B9E"/>
    <w:rsid w:val="003C0C2D"/>
    <w:rsid w:val="003C0D26"/>
    <w:rsid w:val="003C0D88"/>
    <w:rsid w:val="003C0DFA"/>
    <w:rsid w:val="003C0E10"/>
    <w:rsid w:val="003C0E34"/>
    <w:rsid w:val="003C0F82"/>
    <w:rsid w:val="003C0F83"/>
    <w:rsid w:val="003C0FBB"/>
    <w:rsid w:val="003C10C1"/>
    <w:rsid w:val="003C10C7"/>
    <w:rsid w:val="003C118C"/>
    <w:rsid w:val="003C11C7"/>
    <w:rsid w:val="003C11EB"/>
    <w:rsid w:val="003C12B0"/>
    <w:rsid w:val="003C12F9"/>
    <w:rsid w:val="003C1308"/>
    <w:rsid w:val="003C138D"/>
    <w:rsid w:val="003C139C"/>
    <w:rsid w:val="003C1405"/>
    <w:rsid w:val="003C1495"/>
    <w:rsid w:val="003C14FD"/>
    <w:rsid w:val="003C14FF"/>
    <w:rsid w:val="003C1509"/>
    <w:rsid w:val="003C153B"/>
    <w:rsid w:val="003C15F8"/>
    <w:rsid w:val="003C167F"/>
    <w:rsid w:val="003C1708"/>
    <w:rsid w:val="003C1716"/>
    <w:rsid w:val="003C1719"/>
    <w:rsid w:val="003C175C"/>
    <w:rsid w:val="003C177E"/>
    <w:rsid w:val="003C1803"/>
    <w:rsid w:val="003C183D"/>
    <w:rsid w:val="003C18D0"/>
    <w:rsid w:val="003C18FC"/>
    <w:rsid w:val="003C1A19"/>
    <w:rsid w:val="003C1A42"/>
    <w:rsid w:val="003C1A59"/>
    <w:rsid w:val="003C1A5D"/>
    <w:rsid w:val="003C1A7E"/>
    <w:rsid w:val="003C1B09"/>
    <w:rsid w:val="003C1B16"/>
    <w:rsid w:val="003C1B4B"/>
    <w:rsid w:val="003C1B6D"/>
    <w:rsid w:val="003C1B81"/>
    <w:rsid w:val="003C1B9D"/>
    <w:rsid w:val="003C1BEB"/>
    <w:rsid w:val="003C1C3C"/>
    <w:rsid w:val="003C1C45"/>
    <w:rsid w:val="003C1D13"/>
    <w:rsid w:val="003C1D1D"/>
    <w:rsid w:val="003C1D90"/>
    <w:rsid w:val="003C1E69"/>
    <w:rsid w:val="003C1E83"/>
    <w:rsid w:val="003C1FBC"/>
    <w:rsid w:val="003C207A"/>
    <w:rsid w:val="003C2097"/>
    <w:rsid w:val="003C209E"/>
    <w:rsid w:val="003C21A9"/>
    <w:rsid w:val="003C2207"/>
    <w:rsid w:val="003C22AD"/>
    <w:rsid w:val="003C22DF"/>
    <w:rsid w:val="003C2305"/>
    <w:rsid w:val="003C230D"/>
    <w:rsid w:val="003C233A"/>
    <w:rsid w:val="003C233C"/>
    <w:rsid w:val="003C237C"/>
    <w:rsid w:val="003C23CD"/>
    <w:rsid w:val="003C23E9"/>
    <w:rsid w:val="003C2424"/>
    <w:rsid w:val="003C2430"/>
    <w:rsid w:val="003C243D"/>
    <w:rsid w:val="003C24D4"/>
    <w:rsid w:val="003C251C"/>
    <w:rsid w:val="003C25FC"/>
    <w:rsid w:val="003C260C"/>
    <w:rsid w:val="003C2669"/>
    <w:rsid w:val="003C268B"/>
    <w:rsid w:val="003C26D6"/>
    <w:rsid w:val="003C26EE"/>
    <w:rsid w:val="003C270B"/>
    <w:rsid w:val="003C2747"/>
    <w:rsid w:val="003C2766"/>
    <w:rsid w:val="003C27F1"/>
    <w:rsid w:val="003C280B"/>
    <w:rsid w:val="003C282D"/>
    <w:rsid w:val="003C284F"/>
    <w:rsid w:val="003C2889"/>
    <w:rsid w:val="003C28C2"/>
    <w:rsid w:val="003C28D4"/>
    <w:rsid w:val="003C291C"/>
    <w:rsid w:val="003C2A11"/>
    <w:rsid w:val="003C2B0F"/>
    <w:rsid w:val="003C2BD5"/>
    <w:rsid w:val="003C2BF1"/>
    <w:rsid w:val="003C2CAB"/>
    <w:rsid w:val="003C2D35"/>
    <w:rsid w:val="003C2D5F"/>
    <w:rsid w:val="003C2DA9"/>
    <w:rsid w:val="003C2DD6"/>
    <w:rsid w:val="003C2E1B"/>
    <w:rsid w:val="003C2E83"/>
    <w:rsid w:val="003C2ED1"/>
    <w:rsid w:val="003C2F3C"/>
    <w:rsid w:val="003C2FF2"/>
    <w:rsid w:val="003C30C1"/>
    <w:rsid w:val="003C311C"/>
    <w:rsid w:val="003C319E"/>
    <w:rsid w:val="003C31B9"/>
    <w:rsid w:val="003C3224"/>
    <w:rsid w:val="003C326B"/>
    <w:rsid w:val="003C3290"/>
    <w:rsid w:val="003C342A"/>
    <w:rsid w:val="003C34AD"/>
    <w:rsid w:val="003C34BC"/>
    <w:rsid w:val="003C3563"/>
    <w:rsid w:val="003C36F8"/>
    <w:rsid w:val="003C3714"/>
    <w:rsid w:val="003C3782"/>
    <w:rsid w:val="003C3833"/>
    <w:rsid w:val="003C38B1"/>
    <w:rsid w:val="003C38BE"/>
    <w:rsid w:val="003C3B73"/>
    <w:rsid w:val="003C3B8C"/>
    <w:rsid w:val="003C3B8E"/>
    <w:rsid w:val="003C3BB4"/>
    <w:rsid w:val="003C3C6F"/>
    <w:rsid w:val="003C3C7A"/>
    <w:rsid w:val="003C3D6E"/>
    <w:rsid w:val="003C3D9C"/>
    <w:rsid w:val="003C3E4A"/>
    <w:rsid w:val="003C3E63"/>
    <w:rsid w:val="003C3EA0"/>
    <w:rsid w:val="003C3F29"/>
    <w:rsid w:val="003C3F91"/>
    <w:rsid w:val="003C3FCE"/>
    <w:rsid w:val="003C3FE3"/>
    <w:rsid w:val="003C40BF"/>
    <w:rsid w:val="003C4125"/>
    <w:rsid w:val="003C413A"/>
    <w:rsid w:val="003C4261"/>
    <w:rsid w:val="003C430A"/>
    <w:rsid w:val="003C435C"/>
    <w:rsid w:val="003C43AD"/>
    <w:rsid w:val="003C43F7"/>
    <w:rsid w:val="003C4495"/>
    <w:rsid w:val="003C44A1"/>
    <w:rsid w:val="003C450C"/>
    <w:rsid w:val="003C4557"/>
    <w:rsid w:val="003C4585"/>
    <w:rsid w:val="003C4634"/>
    <w:rsid w:val="003C46C1"/>
    <w:rsid w:val="003C4732"/>
    <w:rsid w:val="003C4860"/>
    <w:rsid w:val="003C48DF"/>
    <w:rsid w:val="003C4A26"/>
    <w:rsid w:val="003C4AD6"/>
    <w:rsid w:val="003C4AEA"/>
    <w:rsid w:val="003C4B7E"/>
    <w:rsid w:val="003C4B97"/>
    <w:rsid w:val="003C4BAD"/>
    <w:rsid w:val="003C4C5D"/>
    <w:rsid w:val="003C4C8E"/>
    <w:rsid w:val="003C4CDC"/>
    <w:rsid w:val="003C4CF4"/>
    <w:rsid w:val="003C4DD6"/>
    <w:rsid w:val="003C4EF9"/>
    <w:rsid w:val="003C4F00"/>
    <w:rsid w:val="003C4F66"/>
    <w:rsid w:val="003C4FCE"/>
    <w:rsid w:val="003C4FEE"/>
    <w:rsid w:val="003C5011"/>
    <w:rsid w:val="003C5066"/>
    <w:rsid w:val="003C50EF"/>
    <w:rsid w:val="003C519A"/>
    <w:rsid w:val="003C523E"/>
    <w:rsid w:val="003C5253"/>
    <w:rsid w:val="003C52CD"/>
    <w:rsid w:val="003C5341"/>
    <w:rsid w:val="003C53A9"/>
    <w:rsid w:val="003C53FE"/>
    <w:rsid w:val="003C5490"/>
    <w:rsid w:val="003C5563"/>
    <w:rsid w:val="003C56B0"/>
    <w:rsid w:val="003C56FE"/>
    <w:rsid w:val="003C5732"/>
    <w:rsid w:val="003C5783"/>
    <w:rsid w:val="003C5786"/>
    <w:rsid w:val="003C57D4"/>
    <w:rsid w:val="003C5803"/>
    <w:rsid w:val="003C580D"/>
    <w:rsid w:val="003C5813"/>
    <w:rsid w:val="003C5893"/>
    <w:rsid w:val="003C58A4"/>
    <w:rsid w:val="003C5910"/>
    <w:rsid w:val="003C5962"/>
    <w:rsid w:val="003C5BE4"/>
    <w:rsid w:val="003C5C05"/>
    <w:rsid w:val="003C5C28"/>
    <w:rsid w:val="003C5C4C"/>
    <w:rsid w:val="003C5CC2"/>
    <w:rsid w:val="003C5D2E"/>
    <w:rsid w:val="003C5DBA"/>
    <w:rsid w:val="003C5E09"/>
    <w:rsid w:val="003C5E41"/>
    <w:rsid w:val="003C5F04"/>
    <w:rsid w:val="003C5FD9"/>
    <w:rsid w:val="003C6042"/>
    <w:rsid w:val="003C621B"/>
    <w:rsid w:val="003C624C"/>
    <w:rsid w:val="003C626A"/>
    <w:rsid w:val="003C62B4"/>
    <w:rsid w:val="003C62DC"/>
    <w:rsid w:val="003C6406"/>
    <w:rsid w:val="003C6435"/>
    <w:rsid w:val="003C6441"/>
    <w:rsid w:val="003C6488"/>
    <w:rsid w:val="003C648C"/>
    <w:rsid w:val="003C6496"/>
    <w:rsid w:val="003C64C3"/>
    <w:rsid w:val="003C64CB"/>
    <w:rsid w:val="003C651D"/>
    <w:rsid w:val="003C65F7"/>
    <w:rsid w:val="003C65F8"/>
    <w:rsid w:val="003C6633"/>
    <w:rsid w:val="003C6673"/>
    <w:rsid w:val="003C66C6"/>
    <w:rsid w:val="003C6806"/>
    <w:rsid w:val="003C686A"/>
    <w:rsid w:val="003C6878"/>
    <w:rsid w:val="003C687B"/>
    <w:rsid w:val="003C688B"/>
    <w:rsid w:val="003C68BF"/>
    <w:rsid w:val="003C6927"/>
    <w:rsid w:val="003C6928"/>
    <w:rsid w:val="003C692E"/>
    <w:rsid w:val="003C693F"/>
    <w:rsid w:val="003C69F5"/>
    <w:rsid w:val="003C6B20"/>
    <w:rsid w:val="003C6C87"/>
    <w:rsid w:val="003C6CA2"/>
    <w:rsid w:val="003C6CB7"/>
    <w:rsid w:val="003C6D75"/>
    <w:rsid w:val="003C6EA7"/>
    <w:rsid w:val="003C6EB3"/>
    <w:rsid w:val="003C6ECD"/>
    <w:rsid w:val="003C6EDE"/>
    <w:rsid w:val="003C6F44"/>
    <w:rsid w:val="003C70AB"/>
    <w:rsid w:val="003C71C1"/>
    <w:rsid w:val="003C71D4"/>
    <w:rsid w:val="003C71DC"/>
    <w:rsid w:val="003C7256"/>
    <w:rsid w:val="003C72A4"/>
    <w:rsid w:val="003C72B5"/>
    <w:rsid w:val="003C7321"/>
    <w:rsid w:val="003C73D0"/>
    <w:rsid w:val="003C7439"/>
    <w:rsid w:val="003C744C"/>
    <w:rsid w:val="003C751A"/>
    <w:rsid w:val="003C765D"/>
    <w:rsid w:val="003C7692"/>
    <w:rsid w:val="003C76AF"/>
    <w:rsid w:val="003C76D3"/>
    <w:rsid w:val="003C773A"/>
    <w:rsid w:val="003C773D"/>
    <w:rsid w:val="003C778C"/>
    <w:rsid w:val="003C79E0"/>
    <w:rsid w:val="003C7A2B"/>
    <w:rsid w:val="003C7A2C"/>
    <w:rsid w:val="003C7A9F"/>
    <w:rsid w:val="003C7B51"/>
    <w:rsid w:val="003C7C3C"/>
    <w:rsid w:val="003C7D62"/>
    <w:rsid w:val="003C7D71"/>
    <w:rsid w:val="003C7DDC"/>
    <w:rsid w:val="003C7E31"/>
    <w:rsid w:val="003C7F16"/>
    <w:rsid w:val="003C7FC7"/>
    <w:rsid w:val="003D011D"/>
    <w:rsid w:val="003D0139"/>
    <w:rsid w:val="003D0172"/>
    <w:rsid w:val="003D019D"/>
    <w:rsid w:val="003D028C"/>
    <w:rsid w:val="003D0366"/>
    <w:rsid w:val="003D03B1"/>
    <w:rsid w:val="003D03C0"/>
    <w:rsid w:val="003D03D8"/>
    <w:rsid w:val="003D03E1"/>
    <w:rsid w:val="003D0550"/>
    <w:rsid w:val="003D0570"/>
    <w:rsid w:val="003D058C"/>
    <w:rsid w:val="003D05CE"/>
    <w:rsid w:val="003D05DD"/>
    <w:rsid w:val="003D0607"/>
    <w:rsid w:val="003D0615"/>
    <w:rsid w:val="003D0616"/>
    <w:rsid w:val="003D06B3"/>
    <w:rsid w:val="003D0747"/>
    <w:rsid w:val="003D07E1"/>
    <w:rsid w:val="003D088C"/>
    <w:rsid w:val="003D099C"/>
    <w:rsid w:val="003D0A49"/>
    <w:rsid w:val="003D0A5D"/>
    <w:rsid w:val="003D0AD2"/>
    <w:rsid w:val="003D0B59"/>
    <w:rsid w:val="003D0BB9"/>
    <w:rsid w:val="003D0BF3"/>
    <w:rsid w:val="003D0C5A"/>
    <w:rsid w:val="003D0C66"/>
    <w:rsid w:val="003D0D75"/>
    <w:rsid w:val="003D0F0B"/>
    <w:rsid w:val="003D0F10"/>
    <w:rsid w:val="003D0F18"/>
    <w:rsid w:val="003D0FF0"/>
    <w:rsid w:val="003D1027"/>
    <w:rsid w:val="003D109B"/>
    <w:rsid w:val="003D10AD"/>
    <w:rsid w:val="003D1125"/>
    <w:rsid w:val="003D1149"/>
    <w:rsid w:val="003D1341"/>
    <w:rsid w:val="003D140E"/>
    <w:rsid w:val="003D143D"/>
    <w:rsid w:val="003D1458"/>
    <w:rsid w:val="003D14CC"/>
    <w:rsid w:val="003D1531"/>
    <w:rsid w:val="003D1556"/>
    <w:rsid w:val="003D1589"/>
    <w:rsid w:val="003D160D"/>
    <w:rsid w:val="003D1652"/>
    <w:rsid w:val="003D1658"/>
    <w:rsid w:val="003D16B0"/>
    <w:rsid w:val="003D1710"/>
    <w:rsid w:val="003D1764"/>
    <w:rsid w:val="003D178C"/>
    <w:rsid w:val="003D17BE"/>
    <w:rsid w:val="003D184F"/>
    <w:rsid w:val="003D1892"/>
    <w:rsid w:val="003D18DD"/>
    <w:rsid w:val="003D1907"/>
    <w:rsid w:val="003D195B"/>
    <w:rsid w:val="003D1967"/>
    <w:rsid w:val="003D1989"/>
    <w:rsid w:val="003D19C8"/>
    <w:rsid w:val="003D1AD2"/>
    <w:rsid w:val="003D1B87"/>
    <w:rsid w:val="003D1BB6"/>
    <w:rsid w:val="003D1C27"/>
    <w:rsid w:val="003D1C71"/>
    <w:rsid w:val="003D1CA6"/>
    <w:rsid w:val="003D1D57"/>
    <w:rsid w:val="003D1D71"/>
    <w:rsid w:val="003D1D73"/>
    <w:rsid w:val="003D1DE1"/>
    <w:rsid w:val="003D1DEA"/>
    <w:rsid w:val="003D1E9B"/>
    <w:rsid w:val="003D1EC3"/>
    <w:rsid w:val="003D1EF6"/>
    <w:rsid w:val="003D1F07"/>
    <w:rsid w:val="003D1FC9"/>
    <w:rsid w:val="003D1FF8"/>
    <w:rsid w:val="003D206F"/>
    <w:rsid w:val="003D20D2"/>
    <w:rsid w:val="003D2130"/>
    <w:rsid w:val="003D2142"/>
    <w:rsid w:val="003D2173"/>
    <w:rsid w:val="003D2182"/>
    <w:rsid w:val="003D2198"/>
    <w:rsid w:val="003D21A1"/>
    <w:rsid w:val="003D21FA"/>
    <w:rsid w:val="003D225B"/>
    <w:rsid w:val="003D2280"/>
    <w:rsid w:val="003D2300"/>
    <w:rsid w:val="003D2337"/>
    <w:rsid w:val="003D2355"/>
    <w:rsid w:val="003D240B"/>
    <w:rsid w:val="003D2443"/>
    <w:rsid w:val="003D2484"/>
    <w:rsid w:val="003D24DB"/>
    <w:rsid w:val="003D2523"/>
    <w:rsid w:val="003D2567"/>
    <w:rsid w:val="003D257B"/>
    <w:rsid w:val="003D25BF"/>
    <w:rsid w:val="003D25E0"/>
    <w:rsid w:val="003D2674"/>
    <w:rsid w:val="003D267D"/>
    <w:rsid w:val="003D2686"/>
    <w:rsid w:val="003D27BA"/>
    <w:rsid w:val="003D2800"/>
    <w:rsid w:val="003D286E"/>
    <w:rsid w:val="003D287B"/>
    <w:rsid w:val="003D289F"/>
    <w:rsid w:val="003D28B7"/>
    <w:rsid w:val="003D28E4"/>
    <w:rsid w:val="003D290E"/>
    <w:rsid w:val="003D2924"/>
    <w:rsid w:val="003D29C2"/>
    <w:rsid w:val="003D29D4"/>
    <w:rsid w:val="003D29F7"/>
    <w:rsid w:val="003D2A47"/>
    <w:rsid w:val="003D2A70"/>
    <w:rsid w:val="003D2B2C"/>
    <w:rsid w:val="003D2B47"/>
    <w:rsid w:val="003D2C53"/>
    <w:rsid w:val="003D2CCB"/>
    <w:rsid w:val="003D2D46"/>
    <w:rsid w:val="003D2DEB"/>
    <w:rsid w:val="003D2E33"/>
    <w:rsid w:val="003D2E50"/>
    <w:rsid w:val="003D2E63"/>
    <w:rsid w:val="003D2EE8"/>
    <w:rsid w:val="003D2EFA"/>
    <w:rsid w:val="003D2EFE"/>
    <w:rsid w:val="003D30A7"/>
    <w:rsid w:val="003D30E5"/>
    <w:rsid w:val="003D321F"/>
    <w:rsid w:val="003D3351"/>
    <w:rsid w:val="003D3359"/>
    <w:rsid w:val="003D33A9"/>
    <w:rsid w:val="003D33D5"/>
    <w:rsid w:val="003D34A3"/>
    <w:rsid w:val="003D3504"/>
    <w:rsid w:val="003D3537"/>
    <w:rsid w:val="003D35A8"/>
    <w:rsid w:val="003D363D"/>
    <w:rsid w:val="003D36C2"/>
    <w:rsid w:val="003D3700"/>
    <w:rsid w:val="003D3744"/>
    <w:rsid w:val="003D379F"/>
    <w:rsid w:val="003D3808"/>
    <w:rsid w:val="003D3869"/>
    <w:rsid w:val="003D38AE"/>
    <w:rsid w:val="003D391F"/>
    <w:rsid w:val="003D399A"/>
    <w:rsid w:val="003D39FA"/>
    <w:rsid w:val="003D3A08"/>
    <w:rsid w:val="003D3A20"/>
    <w:rsid w:val="003D3A37"/>
    <w:rsid w:val="003D3AB8"/>
    <w:rsid w:val="003D3AF3"/>
    <w:rsid w:val="003D3B0A"/>
    <w:rsid w:val="003D3B51"/>
    <w:rsid w:val="003D3B5B"/>
    <w:rsid w:val="003D3C31"/>
    <w:rsid w:val="003D3F52"/>
    <w:rsid w:val="003D3F9C"/>
    <w:rsid w:val="003D3FF1"/>
    <w:rsid w:val="003D401E"/>
    <w:rsid w:val="003D4026"/>
    <w:rsid w:val="003D4077"/>
    <w:rsid w:val="003D40CB"/>
    <w:rsid w:val="003D40FF"/>
    <w:rsid w:val="003D415A"/>
    <w:rsid w:val="003D417F"/>
    <w:rsid w:val="003D4293"/>
    <w:rsid w:val="003D4294"/>
    <w:rsid w:val="003D42BA"/>
    <w:rsid w:val="003D4341"/>
    <w:rsid w:val="003D43B3"/>
    <w:rsid w:val="003D44EC"/>
    <w:rsid w:val="003D45B3"/>
    <w:rsid w:val="003D482E"/>
    <w:rsid w:val="003D488D"/>
    <w:rsid w:val="003D48CF"/>
    <w:rsid w:val="003D48ED"/>
    <w:rsid w:val="003D4946"/>
    <w:rsid w:val="003D495E"/>
    <w:rsid w:val="003D49A6"/>
    <w:rsid w:val="003D49FC"/>
    <w:rsid w:val="003D4A15"/>
    <w:rsid w:val="003D4A33"/>
    <w:rsid w:val="003D4A48"/>
    <w:rsid w:val="003D4BA0"/>
    <w:rsid w:val="003D4C6E"/>
    <w:rsid w:val="003D4D6D"/>
    <w:rsid w:val="003D4DAF"/>
    <w:rsid w:val="003D4DD9"/>
    <w:rsid w:val="003D4DDA"/>
    <w:rsid w:val="003D4DF8"/>
    <w:rsid w:val="003D4E25"/>
    <w:rsid w:val="003D4EAD"/>
    <w:rsid w:val="003D4EFB"/>
    <w:rsid w:val="003D4F2A"/>
    <w:rsid w:val="003D4FCE"/>
    <w:rsid w:val="003D4FD8"/>
    <w:rsid w:val="003D50B7"/>
    <w:rsid w:val="003D533C"/>
    <w:rsid w:val="003D5554"/>
    <w:rsid w:val="003D5563"/>
    <w:rsid w:val="003D55A0"/>
    <w:rsid w:val="003D55D5"/>
    <w:rsid w:val="003D5603"/>
    <w:rsid w:val="003D56B5"/>
    <w:rsid w:val="003D5714"/>
    <w:rsid w:val="003D57B3"/>
    <w:rsid w:val="003D585E"/>
    <w:rsid w:val="003D58DE"/>
    <w:rsid w:val="003D58DF"/>
    <w:rsid w:val="003D5A3B"/>
    <w:rsid w:val="003D5A6E"/>
    <w:rsid w:val="003D5AE3"/>
    <w:rsid w:val="003D5B05"/>
    <w:rsid w:val="003D5B06"/>
    <w:rsid w:val="003D5BFB"/>
    <w:rsid w:val="003D5C0B"/>
    <w:rsid w:val="003D5C1E"/>
    <w:rsid w:val="003D5C98"/>
    <w:rsid w:val="003D5D48"/>
    <w:rsid w:val="003D5D61"/>
    <w:rsid w:val="003D5D72"/>
    <w:rsid w:val="003D5DE9"/>
    <w:rsid w:val="003D5EC1"/>
    <w:rsid w:val="003D5F26"/>
    <w:rsid w:val="003D6078"/>
    <w:rsid w:val="003D60F8"/>
    <w:rsid w:val="003D62AC"/>
    <w:rsid w:val="003D62BF"/>
    <w:rsid w:val="003D63C9"/>
    <w:rsid w:val="003D63F7"/>
    <w:rsid w:val="003D6437"/>
    <w:rsid w:val="003D6449"/>
    <w:rsid w:val="003D6485"/>
    <w:rsid w:val="003D6569"/>
    <w:rsid w:val="003D6576"/>
    <w:rsid w:val="003D658B"/>
    <w:rsid w:val="003D65F7"/>
    <w:rsid w:val="003D65FD"/>
    <w:rsid w:val="003D66E2"/>
    <w:rsid w:val="003D6760"/>
    <w:rsid w:val="003D687A"/>
    <w:rsid w:val="003D68BB"/>
    <w:rsid w:val="003D68F0"/>
    <w:rsid w:val="003D69CB"/>
    <w:rsid w:val="003D6A14"/>
    <w:rsid w:val="003D6A7A"/>
    <w:rsid w:val="003D6B0D"/>
    <w:rsid w:val="003D6BCF"/>
    <w:rsid w:val="003D6C36"/>
    <w:rsid w:val="003D6C6E"/>
    <w:rsid w:val="003D6C70"/>
    <w:rsid w:val="003D6D76"/>
    <w:rsid w:val="003D6D79"/>
    <w:rsid w:val="003D6D87"/>
    <w:rsid w:val="003D6DFA"/>
    <w:rsid w:val="003D6E06"/>
    <w:rsid w:val="003D6ECB"/>
    <w:rsid w:val="003D6F1D"/>
    <w:rsid w:val="003D6FB8"/>
    <w:rsid w:val="003D6FFC"/>
    <w:rsid w:val="003D7007"/>
    <w:rsid w:val="003D70D5"/>
    <w:rsid w:val="003D710F"/>
    <w:rsid w:val="003D7137"/>
    <w:rsid w:val="003D740C"/>
    <w:rsid w:val="003D7428"/>
    <w:rsid w:val="003D74F5"/>
    <w:rsid w:val="003D7517"/>
    <w:rsid w:val="003D7532"/>
    <w:rsid w:val="003D7552"/>
    <w:rsid w:val="003D7630"/>
    <w:rsid w:val="003D771D"/>
    <w:rsid w:val="003D785A"/>
    <w:rsid w:val="003D79A4"/>
    <w:rsid w:val="003D7A00"/>
    <w:rsid w:val="003D7A13"/>
    <w:rsid w:val="003D7A4E"/>
    <w:rsid w:val="003D7C82"/>
    <w:rsid w:val="003D7C97"/>
    <w:rsid w:val="003D7CC1"/>
    <w:rsid w:val="003D7E41"/>
    <w:rsid w:val="003D7E79"/>
    <w:rsid w:val="003D7EB1"/>
    <w:rsid w:val="003D7EDC"/>
    <w:rsid w:val="003E0051"/>
    <w:rsid w:val="003E0078"/>
    <w:rsid w:val="003E0109"/>
    <w:rsid w:val="003E014A"/>
    <w:rsid w:val="003E0167"/>
    <w:rsid w:val="003E019E"/>
    <w:rsid w:val="003E026B"/>
    <w:rsid w:val="003E026F"/>
    <w:rsid w:val="003E0312"/>
    <w:rsid w:val="003E0330"/>
    <w:rsid w:val="003E0396"/>
    <w:rsid w:val="003E0399"/>
    <w:rsid w:val="003E03B4"/>
    <w:rsid w:val="003E03C0"/>
    <w:rsid w:val="003E0541"/>
    <w:rsid w:val="003E0617"/>
    <w:rsid w:val="003E0656"/>
    <w:rsid w:val="003E070D"/>
    <w:rsid w:val="003E079E"/>
    <w:rsid w:val="003E07A4"/>
    <w:rsid w:val="003E07A7"/>
    <w:rsid w:val="003E07EC"/>
    <w:rsid w:val="003E0847"/>
    <w:rsid w:val="003E0951"/>
    <w:rsid w:val="003E0A70"/>
    <w:rsid w:val="003E0AD1"/>
    <w:rsid w:val="003E0ADB"/>
    <w:rsid w:val="003E0B23"/>
    <w:rsid w:val="003E0B38"/>
    <w:rsid w:val="003E0B6B"/>
    <w:rsid w:val="003E0B9A"/>
    <w:rsid w:val="003E0CEF"/>
    <w:rsid w:val="003E0D6E"/>
    <w:rsid w:val="003E0D80"/>
    <w:rsid w:val="003E0DB9"/>
    <w:rsid w:val="003E0E33"/>
    <w:rsid w:val="003E0E82"/>
    <w:rsid w:val="003E0FD9"/>
    <w:rsid w:val="003E1083"/>
    <w:rsid w:val="003E10EF"/>
    <w:rsid w:val="003E1112"/>
    <w:rsid w:val="003E12E3"/>
    <w:rsid w:val="003E132C"/>
    <w:rsid w:val="003E14BC"/>
    <w:rsid w:val="003E1587"/>
    <w:rsid w:val="003E1788"/>
    <w:rsid w:val="003E1839"/>
    <w:rsid w:val="003E1932"/>
    <w:rsid w:val="003E195F"/>
    <w:rsid w:val="003E19C8"/>
    <w:rsid w:val="003E19DC"/>
    <w:rsid w:val="003E19F7"/>
    <w:rsid w:val="003E1AB1"/>
    <w:rsid w:val="003E1AE5"/>
    <w:rsid w:val="003E1B02"/>
    <w:rsid w:val="003E1BFD"/>
    <w:rsid w:val="003E1C6E"/>
    <w:rsid w:val="003E1C8C"/>
    <w:rsid w:val="003E1D28"/>
    <w:rsid w:val="003E1E37"/>
    <w:rsid w:val="003E1E40"/>
    <w:rsid w:val="003E1EA3"/>
    <w:rsid w:val="003E1F00"/>
    <w:rsid w:val="003E1F91"/>
    <w:rsid w:val="003E1FB6"/>
    <w:rsid w:val="003E2006"/>
    <w:rsid w:val="003E2016"/>
    <w:rsid w:val="003E2032"/>
    <w:rsid w:val="003E206C"/>
    <w:rsid w:val="003E20A4"/>
    <w:rsid w:val="003E20D1"/>
    <w:rsid w:val="003E20D2"/>
    <w:rsid w:val="003E20F8"/>
    <w:rsid w:val="003E219E"/>
    <w:rsid w:val="003E21E1"/>
    <w:rsid w:val="003E21F4"/>
    <w:rsid w:val="003E22B0"/>
    <w:rsid w:val="003E22BA"/>
    <w:rsid w:val="003E230F"/>
    <w:rsid w:val="003E2314"/>
    <w:rsid w:val="003E2392"/>
    <w:rsid w:val="003E2405"/>
    <w:rsid w:val="003E2437"/>
    <w:rsid w:val="003E24AB"/>
    <w:rsid w:val="003E2502"/>
    <w:rsid w:val="003E254A"/>
    <w:rsid w:val="003E25D4"/>
    <w:rsid w:val="003E26F8"/>
    <w:rsid w:val="003E274D"/>
    <w:rsid w:val="003E2763"/>
    <w:rsid w:val="003E2795"/>
    <w:rsid w:val="003E2890"/>
    <w:rsid w:val="003E2962"/>
    <w:rsid w:val="003E29A8"/>
    <w:rsid w:val="003E2A3C"/>
    <w:rsid w:val="003E2A6A"/>
    <w:rsid w:val="003E2AB1"/>
    <w:rsid w:val="003E2B5B"/>
    <w:rsid w:val="003E2B6F"/>
    <w:rsid w:val="003E2BBB"/>
    <w:rsid w:val="003E2BEB"/>
    <w:rsid w:val="003E2BED"/>
    <w:rsid w:val="003E2C28"/>
    <w:rsid w:val="003E2CCF"/>
    <w:rsid w:val="003E2CE6"/>
    <w:rsid w:val="003E2D7B"/>
    <w:rsid w:val="003E2D97"/>
    <w:rsid w:val="003E2E02"/>
    <w:rsid w:val="003E2E1A"/>
    <w:rsid w:val="003E2E47"/>
    <w:rsid w:val="003E2F78"/>
    <w:rsid w:val="003E2F7F"/>
    <w:rsid w:val="003E2FDE"/>
    <w:rsid w:val="003E2FE9"/>
    <w:rsid w:val="003E3083"/>
    <w:rsid w:val="003E30D2"/>
    <w:rsid w:val="003E3166"/>
    <w:rsid w:val="003E31CF"/>
    <w:rsid w:val="003E327C"/>
    <w:rsid w:val="003E3312"/>
    <w:rsid w:val="003E33CE"/>
    <w:rsid w:val="003E342F"/>
    <w:rsid w:val="003E3464"/>
    <w:rsid w:val="003E34EE"/>
    <w:rsid w:val="003E351A"/>
    <w:rsid w:val="003E3532"/>
    <w:rsid w:val="003E3546"/>
    <w:rsid w:val="003E355C"/>
    <w:rsid w:val="003E3560"/>
    <w:rsid w:val="003E3619"/>
    <w:rsid w:val="003E3669"/>
    <w:rsid w:val="003E377C"/>
    <w:rsid w:val="003E3781"/>
    <w:rsid w:val="003E37A4"/>
    <w:rsid w:val="003E37B5"/>
    <w:rsid w:val="003E383C"/>
    <w:rsid w:val="003E3850"/>
    <w:rsid w:val="003E3987"/>
    <w:rsid w:val="003E39A3"/>
    <w:rsid w:val="003E3A50"/>
    <w:rsid w:val="003E3A62"/>
    <w:rsid w:val="003E3A90"/>
    <w:rsid w:val="003E3B13"/>
    <w:rsid w:val="003E3B18"/>
    <w:rsid w:val="003E3B7C"/>
    <w:rsid w:val="003E3C05"/>
    <w:rsid w:val="003E3C48"/>
    <w:rsid w:val="003E3CB6"/>
    <w:rsid w:val="003E3CF0"/>
    <w:rsid w:val="003E3DB7"/>
    <w:rsid w:val="003E3E6C"/>
    <w:rsid w:val="003E3EA4"/>
    <w:rsid w:val="003E3ECF"/>
    <w:rsid w:val="003E3F52"/>
    <w:rsid w:val="003E3F76"/>
    <w:rsid w:val="003E3F90"/>
    <w:rsid w:val="003E3FBC"/>
    <w:rsid w:val="003E3FF8"/>
    <w:rsid w:val="003E3FFF"/>
    <w:rsid w:val="003E402D"/>
    <w:rsid w:val="003E4050"/>
    <w:rsid w:val="003E40C4"/>
    <w:rsid w:val="003E4115"/>
    <w:rsid w:val="003E41EF"/>
    <w:rsid w:val="003E41F7"/>
    <w:rsid w:val="003E4227"/>
    <w:rsid w:val="003E423A"/>
    <w:rsid w:val="003E4296"/>
    <w:rsid w:val="003E4343"/>
    <w:rsid w:val="003E4361"/>
    <w:rsid w:val="003E43A5"/>
    <w:rsid w:val="003E441B"/>
    <w:rsid w:val="003E44E3"/>
    <w:rsid w:val="003E451F"/>
    <w:rsid w:val="003E4596"/>
    <w:rsid w:val="003E4610"/>
    <w:rsid w:val="003E4629"/>
    <w:rsid w:val="003E4652"/>
    <w:rsid w:val="003E4656"/>
    <w:rsid w:val="003E4689"/>
    <w:rsid w:val="003E46FE"/>
    <w:rsid w:val="003E4720"/>
    <w:rsid w:val="003E477D"/>
    <w:rsid w:val="003E478E"/>
    <w:rsid w:val="003E48A0"/>
    <w:rsid w:val="003E48E2"/>
    <w:rsid w:val="003E492D"/>
    <w:rsid w:val="003E49E4"/>
    <w:rsid w:val="003E4A5A"/>
    <w:rsid w:val="003E4B8D"/>
    <w:rsid w:val="003E4BE4"/>
    <w:rsid w:val="003E4C2D"/>
    <w:rsid w:val="003E4C9E"/>
    <w:rsid w:val="003E4DE4"/>
    <w:rsid w:val="003E4E6D"/>
    <w:rsid w:val="003E4E71"/>
    <w:rsid w:val="003E4EBC"/>
    <w:rsid w:val="003E4F4D"/>
    <w:rsid w:val="003E4F9A"/>
    <w:rsid w:val="003E5055"/>
    <w:rsid w:val="003E509A"/>
    <w:rsid w:val="003E510F"/>
    <w:rsid w:val="003E5129"/>
    <w:rsid w:val="003E51F2"/>
    <w:rsid w:val="003E5202"/>
    <w:rsid w:val="003E5226"/>
    <w:rsid w:val="003E5258"/>
    <w:rsid w:val="003E5343"/>
    <w:rsid w:val="003E5348"/>
    <w:rsid w:val="003E53B2"/>
    <w:rsid w:val="003E5482"/>
    <w:rsid w:val="003E549F"/>
    <w:rsid w:val="003E5659"/>
    <w:rsid w:val="003E56F5"/>
    <w:rsid w:val="003E5799"/>
    <w:rsid w:val="003E57C5"/>
    <w:rsid w:val="003E58AC"/>
    <w:rsid w:val="003E5978"/>
    <w:rsid w:val="003E59B0"/>
    <w:rsid w:val="003E59CF"/>
    <w:rsid w:val="003E5A02"/>
    <w:rsid w:val="003E5A21"/>
    <w:rsid w:val="003E5A5A"/>
    <w:rsid w:val="003E5A6D"/>
    <w:rsid w:val="003E5AB9"/>
    <w:rsid w:val="003E5ACE"/>
    <w:rsid w:val="003E5BD5"/>
    <w:rsid w:val="003E5C03"/>
    <w:rsid w:val="003E5C2A"/>
    <w:rsid w:val="003E5C68"/>
    <w:rsid w:val="003E5C71"/>
    <w:rsid w:val="003E5CD0"/>
    <w:rsid w:val="003E5CFE"/>
    <w:rsid w:val="003E5D05"/>
    <w:rsid w:val="003E5DA1"/>
    <w:rsid w:val="003E5DE5"/>
    <w:rsid w:val="003E5E3C"/>
    <w:rsid w:val="003E5E60"/>
    <w:rsid w:val="003E5EC8"/>
    <w:rsid w:val="003E5EFA"/>
    <w:rsid w:val="003E5EFC"/>
    <w:rsid w:val="003E5F98"/>
    <w:rsid w:val="003E6099"/>
    <w:rsid w:val="003E60FD"/>
    <w:rsid w:val="003E60FE"/>
    <w:rsid w:val="003E6130"/>
    <w:rsid w:val="003E61D6"/>
    <w:rsid w:val="003E6244"/>
    <w:rsid w:val="003E625E"/>
    <w:rsid w:val="003E626E"/>
    <w:rsid w:val="003E62D4"/>
    <w:rsid w:val="003E62FD"/>
    <w:rsid w:val="003E63E7"/>
    <w:rsid w:val="003E63F3"/>
    <w:rsid w:val="003E642B"/>
    <w:rsid w:val="003E647A"/>
    <w:rsid w:val="003E64AB"/>
    <w:rsid w:val="003E65C0"/>
    <w:rsid w:val="003E65FF"/>
    <w:rsid w:val="003E666E"/>
    <w:rsid w:val="003E674F"/>
    <w:rsid w:val="003E677A"/>
    <w:rsid w:val="003E67ED"/>
    <w:rsid w:val="003E693A"/>
    <w:rsid w:val="003E6944"/>
    <w:rsid w:val="003E6969"/>
    <w:rsid w:val="003E69A5"/>
    <w:rsid w:val="003E6A96"/>
    <w:rsid w:val="003E6C1E"/>
    <w:rsid w:val="003E6C6B"/>
    <w:rsid w:val="003E6C74"/>
    <w:rsid w:val="003E6CFA"/>
    <w:rsid w:val="003E6D1C"/>
    <w:rsid w:val="003E6D2B"/>
    <w:rsid w:val="003E6DDA"/>
    <w:rsid w:val="003E6E7A"/>
    <w:rsid w:val="003E6F38"/>
    <w:rsid w:val="003E6F4E"/>
    <w:rsid w:val="003E6F9B"/>
    <w:rsid w:val="003E704E"/>
    <w:rsid w:val="003E70A1"/>
    <w:rsid w:val="003E70B4"/>
    <w:rsid w:val="003E712B"/>
    <w:rsid w:val="003E716B"/>
    <w:rsid w:val="003E72BA"/>
    <w:rsid w:val="003E72E3"/>
    <w:rsid w:val="003E7324"/>
    <w:rsid w:val="003E734C"/>
    <w:rsid w:val="003E73CD"/>
    <w:rsid w:val="003E7402"/>
    <w:rsid w:val="003E748C"/>
    <w:rsid w:val="003E74C5"/>
    <w:rsid w:val="003E74D7"/>
    <w:rsid w:val="003E752E"/>
    <w:rsid w:val="003E765B"/>
    <w:rsid w:val="003E76D6"/>
    <w:rsid w:val="003E7737"/>
    <w:rsid w:val="003E77D3"/>
    <w:rsid w:val="003E7852"/>
    <w:rsid w:val="003E78F5"/>
    <w:rsid w:val="003E7985"/>
    <w:rsid w:val="003E79A4"/>
    <w:rsid w:val="003E7A0E"/>
    <w:rsid w:val="003E7A2F"/>
    <w:rsid w:val="003E7A3B"/>
    <w:rsid w:val="003E7B9E"/>
    <w:rsid w:val="003E7BF2"/>
    <w:rsid w:val="003E7C1C"/>
    <w:rsid w:val="003E7CB9"/>
    <w:rsid w:val="003E7CD8"/>
    <w:rsid w:val="003E7CFE"/>
    <w:rsid w:val="003E7D51"/>
    <w:rsid w:val="003E7D7B"/>
    <w:rsid w:val="003E7DAA"/>
    <w:rsid w:val="003E7E1C"/>
    <w:rsid w:val="003E7E23"/>
    <w:rsid w:val="003E7E77"/>
    <w:rsid w:val="003E7EF7"/>
    <w:rsid w:val="003E7FB9"/>
    <w:rsid w:val="003F0084"/>
    <w:rsid w:val="003F0087"/>
    <w:rsid w:val="003F00FF"/>
    <w:rsid w:val="003F0101"/>
    <w:rsid w:val="003F010E"/>
    <w:rsid w:val="003F016E"/>
    <w:rsid w:val="003F01B5"/>
    <w:rsid w:val="003F0300"/>
    <w:rsid w:val="003F0336"/>
    <w:rsid w:val="003F038A"/>
    <w:rsid w:val="003F041E"/>
    <w:rsid w:val="003F0451"/>
    <w:rsid w:val="003F04EF"/>
    <w:rsid w:val="003F0506"/>
    <w:rsid w:val="003F05C8"/>
    <w:rsid w:val="003F05F6"/>
    <w:rsid w:val="003F0684"/>
    <w:rsid w:val="003F06EF"/>
    <w:rsid w:val="003F077D"/>
    <w:rsid w:val="003F086D"/>
    <w:rsid w:val="003F092C"/>
    <w:rsid w:val="003F0987"/>
    <w:rsid w:val="003F099A"/>
    <w:rsid w:val="003F0A43"/>
    <w:rsid w:val="003F0A49"/>
    <w:rsid w:val="003F0A99"/>
    <w:rsid w:val="003F0AD2"/>
    <w:rsid w:val="003F0AED"/>
    <w:rsid w:val="003F0B6C"/>
    <w:rsid w:val="003F0B73"/>
    <w:rsid w:val="003F0BA1"/>
    <w:rsid w:val="003F0BEA"/>
    <w:rsid w:val="003F0C03"/>
    <w:rsid w:val="003F0C04"/>
    <w:rsid w:val="003F0C92"/>
    <w:rsid w:val="003F0E5D"/>
    <w:rsid w:val="003F0F15"/>
    <w:rsid w:val="003F0F1E"/>
    <w:rsid w:val="003F0F2D"/>
    <w:rsid w:val="003F0F67"/>
    <w:rsid w:val="003F0F87"/>
    <w:rsid w:val="003F0FC7"/>
    <w:rsid w:val="003F1004"/>
    <w:rsid w:val="003F1067"/>
    <w:rsid w:val="003F1092"/>
    <w:rsid w:val="003F10C8"/>
    <w:rsid w:val="003F1131"/>
    <w:rsid w:val="003F11F6"/>
    <w:rsid w:val="003F1257"/>
    <w:rsid w:val="003F1267"/>
    <w:rsid w:val="003F12DC"/>
    <w:rsid w:val="003F133C"/>
    <w:rsid w:val="003F1395"/>
    <w:rsid w:val="003F13D4"/>
    <w:rsid w:val="003F15B0"/>
    <w:rsid w:val="003F1647"/>
    <w:rsid w:val="003F16C2"/>
    <w:rsid w:val="003F16E3"/>
    <w:rsid w:val="003F1829"/>
    <w:rsid w:val="003F1856"/>
    <w:rsid w:val="003F1882"/>
    <w:rsid w:val="003F18A3"/>
    <w:rsid w:val="003F18AB"/>
    <w:rsid w:val="003F18B2"/>
    <w:rsid w:val="003F18E4"/>
    <w:rsid w:val="003F19D0"/>
    <w:rsid w:val="003F19F6"/>
    <w:rsid w:val="003F1A92"/>
    <w:rsid w:val="003F1AE0"/>
    <w:rsid w:val="003F1B1D"/>
    <w:rsid w:val="003F1B20"/>
    <w:rsid w:val="003F1C99"/>
    <w:rsid w:val="003F1DE4"/>
    <w:rsid w:val="003F1DEA"/>
    <w:rsid w:val="003F1DF5"/>
    <w:rsid w:val="003F1ED2"/>
    <w:rsid w:val="003F1F34"/>
    <w:rsid w:val="003F1FC3"/>
    <w:rsid w:val="003F2007"/>
    <w:rsid w:val="003F2038"/>
    <w:rsid w:val="003F207B"/>
    <w:rsid w:val="003F217C"/>
    <w:rsid w:val="003F21A0"/>
    <w:rsid w:val="003F21A9"/>
    <w:rsid w:val="003F21E4"/>
    <w:rsid w:val="003F2210"/>
    <w:rsid w:val="003F2211"/>
    <w:rsid w:val="003F2219"/>
    <w:rsid w:val="003F22BD"/>
    <w:rsid w:val="003F22C2"/>
    <w:rsid w:val="003F22D9"/>
    <w:rsid w:val="003F233C"/>
    <w:rsid w:val="003F234F"/>
    <w:rsid w:val="003F2381"/>
    <w:rsid w:val="003F244F"/>
    <w:rsid w:val="003F25E2"/>
    <w:rsid w:val="003F25EE"/>
    <w:rsid w:val="003F26A8"/>
    <w:rsid w:val="003F2719"/>
    <w:rsid w:val="003F27B0"/>
    <w:rsid w:val="003F27D4"/>
    <w:rsid w:val="003F281B"/>
    <w:rsid w:val="003F2A69"/>
    <w:rsid w:val="003F2C3E"/>
    <w:rsid w:val="003F2C5B"/>
    <w:rsid w:val="003F2D3A"/>
    <w:rsid w:val="003F2D8B"/>
    <w:rsid w:val="003F2DCA"/>
    <w:rsid w:val="003F2E03"/>
    <w:rsid w:val="003F2E57"/>
    <w:rsid w:val="003F2E98"/>
    <w:rsid w:val="003F2EA6"/>
    <w:rsid w:val="003F2F02"/>
    <w:rsid w:val="003F2F55"/>
    <w:rsid w:val="003F2F58"/>
    <w:rsid w:val="003F2FF5"/>
    <w:rsid w:val="003F30AE"/>
    <w:rsid w:val="003F315A"/>
    <w:rsid w:val="003F319C"/>
    <w:rsid w:val="003F31C6"/>
    <w:rsid w:val="003F31F3"/>
    <w:rsid w:val="003F324F"/>
    <w:rsid w:val="003F3282"/>
    <w:rsid w:val="003F3337"/>
    <w:rsid w:val="003F34AA"/>
    <w:rsid w:val="003F34D3"/>
    <w:rsid w:val="003F3550"/>
    <w:rsid w:val="003F3580"/>
    <w:rsid w:val="003F3585"/>
    <w:rsid w:val="003F370B"/>
    <w:rsid w:val="003F3753"/>
    <w:rsid w:val="003F382F"/>
    <w:rsid w:val="003F383F"/>
    <w:rsid w:val="003F3861"/>
    <w:rsid w:val="003F3900"/>
    <w:rsid w:val="003F39D3"/>
    <w:rsid w:val="003F3A80"/>
    <w:rsid w:val="003F3AA4"/>
    <w:rsid w:val="003F3C35"/>
    <w:rsid w:val="003F3CDD"/>
    <w:rsid w:val="003F3D94"/>
    <w:rsid w:val="003F3DC5"/>
    <w:rsid w:val="003F3E92"/>
    <w:rsid w:val="003F3EB1"/>
    <w:rsid w:val="003F3F11"/>
    <w:rsid w:val="003F3FE7"/>
    <w:rsid w:val="003F3FFA"/>
    <w:rsid w:val="003F4057"/>
    <w:rsid w:val="003F40FD"/>
    <w:rsid w:val="003F4113"/>
    <w:rsid w:val="003F412E"/>
    <w:rsid w:val="003F4149"/>
    <w:rsid w:val="003F416A"/>
    <w:rsid w:val="003F418D"/>
    <w:rsid w:val="003F4190"/>
    <w:rsid w:val="003F41C9"/>
    <w:rsid w:val="003F42B0"/>
    <w:rsid w:val="003F4310"/>
    <w:rsid w:val="003F432F"/>
    <w:rsid w:val="003F4332"/>
    <w:rsid w:val="003F438E"/>
    <w:rsid w:val="003F43B4"/>
    <w:rsid w:val="003F4460"/>
    <w:rsid w:val="003F44CC"/>
    <w:rsid w:val="003F4542"/>
    <w:rsid w:val="003F45A3"/>
    <w:rsid w:val="003F4604"/>
    <w:rsid w:val="003F469E"/>
    <w:rsid w:val="003F46F1"/>
    <w:rsid w:val="003F46FC"/>
    <w:rsid w:val="003F4714"/>
    <w:rsid w:val="003F47CD"/>
    <w:rsid w:val="003F4920"/>
    <w:rsid w:val="003F49D1"/>
    <w:rsid w:val="003F4A49"/>
    <w:rsid w:val="003F4AE8"/>
    <w:rsid w:val="003F4B35"/>
    <w:rsid w:val="003F4C08"/>
    <w:rsid w:val="003F4CF7"/>
    <w:rsid w:val="003F4DD3"/>
    <w:rsid w:val="003F4EA6"/>
    <w:rsid w:val="003F4EDA"/>
    <w:rsid w:val="003F5017"/>
    <w:rsid w:val="003F50A1"/>
    <w:rsid w:val="003F5117"/>
    <w:rsid w:val="003F530A"/>
    <w:rsid w:val="003F532E"/>
    <w:rsid w:val="003F5449"/>
    <w:rsid w:val="003F547E"/>
    <w:rsid w:val="003F5489"/>
    <w:rsid w:val="003F5492"/>
    <w:rsid w:val="003F556C"/>
    <w:rsid w:val="003F558A"/>
    <w:rsid w:val="003F558D"/>
    <w:rsid w:val="003F559D"/>
    <w:rsid w:val="003F5630"/>
    <w:rsid w:val="003F5680"/>
    <w:rsid w:val="003F56F1"/>
    <w:rsid w:val="003F5711"/>
    <w:rsid w:val="003F57C6"/>
    <w:rsid w:val="003F5938"/>
    <w:rsid w:val="003F59B1"/>
    <w:rsid w:val="003F5A27"/>
    <w:rsid w:val="003F5A85"/>
    <w:rsid w:val="003F5AEA"/>
    <w:rsid w:val="003F5BE5"/>
    <w:rsid w:val="003F5BF5"/>
    <w:rsid w:val="003F5BFD"/>
    <w:rsid w:val="003F5C2E"/>
    <w:rsid w:val="003F5CCD"/>
    <w:rsid w:val="003F5D00"/>
    <w:rsid w:val="003F5D34"/>
    <w:rsid w:val="003F5D7B"/>
    <w:rsid w:val="003F5DC2"/>
    <w:rsid w:val="003F5E61"/>
    <w:rsid w:val="003F5EBF"/>
    <w:rsid w:val="003F602E"/>
    <w:rsid w:val="003F6059"/>
    <w:rsid w:val="003F60F4"/>
    <w:rsid w:val="003F6112"/>
    <w:rsid w:val="003F616F"/>
    <w:rsid w:val="003F618A"/>
    <w:rsid w:val="003F6192"/>
    <w:rsid w:val="003F6231"/>
    <w:rsid w:val="003F630A"/>
    <w:rsid w:val="003F6332"/>
    <w:rsid w:val="003F63B7"/>
    <w:rsid w:val="003F63B8"/>
    <w:rsid w:val="003F63BE"/>
    <w:rsid w:val="003F645B"/>
    <w:rsid w:val="003F647B"/>
    <w:rsid w:val="003F64BD"/>
    <w:rsid w:val="003F6521"/>
    <w:rsid w:val="003F654D"/>
    <w:rsid w:val="003F6554"/>
    <w:rsid w:val="003F67B9"/>
    <w:rsid w:val="003F67CC"/>
    <w:rsid w:val="003F6811"/>
    <w:rsid w:val="003F6867"/>
    <w:rsid w:val="003F68CD"/>
    <w:rsid w:val="003F68E0"/>
    <w:rsid w:val="003F6A09"/>
    <w:rsid w:val="003F6A7F"/>
    <w:rsid w:val="003F6AB3"/>
    <w:rsid w:val="003F6B5B"/>
    <w:rsid w:val="003F6B64"/>
    <w:rsid w:val="003F6BD7"/>
    <w:rsid w:val="003F6BEB"/>
    <w:rsid w:val="003F6D9E"/>
    <w:rsid w:val="003F6E20"/>
    <w:rsid w:val="003F6E8B"/>
    <w:rsid w:val="003F6EAE"/>
    <w:rsid w:val="003F6ED3"/>
    <w:rsid w:val="003F6EF5"/>
    <w:rsid w:val="003F6F73"/>
    <w:rsid w:val="003F6FDA"/>
    <w:rsid w:val="003F7075"/>
    <w:rsid w:val="003F725F"/>
    <w:rsid w:val="003F7297"/>
    <w:rsid w:val="003F72CE"/>
    <w:rsid w:val="003F73D4"/>
    <w:rsid w:val="003F73D8"/>
    <w:rsid w:val="003F73FA"/>
    <w:rsid w:val="003F7408"/>
    <w:rsid w:val="003F7453"/>
    <w:rsid w:val="003F7461"/>
    <w:rsid w:val="003F7477"/>
    <w:rsid w:val="003F74BB"/>
    <w:rsid w:val="003F74EB"/>
    <w:rsid w:val="003F7551"/>
    <w:rsid w:val="003F758A"/>
    <w:rsid w:val="003F76A5"/>
    <w:rsid w:val="003F77CA"/>
    <w:rsid w:val="003F77D4"/>
    <w:rsid w:val="003F780E"/>
    <w:rsid w:val="003F7834"/>
    <w:rsid w:val="003F7870"/>
    <w:rsid w:val="003F7878"/>
    <w:rsid w:val="003F78DB"/>
    <w:rsid w:val="003F78F6"/>
    <w:rsid w:val="003F792B"/>
    <w:rsid w:val="003F7935"/>
    <w:rsid w:val="003F79D2"/>
    <w:rsid w:val="003F7A0B"/>
    <w:rsid w:val="003F7A0C"/>
    <w:rsid w:val="003F7A6F"/>
    <w:rsid w:val="003F7AA8"/>
    <w:rsid w:val="003F7AD1"/>
    <w:rsid w:val="003F7B2E"/>
    <w:rsid w:val="003F7B36"/>
    <w:rsid w:val="003F7BF6"/>
    <w:rsid w:val="003F7C01"/>
    <w:rsid w:val="003F7C88"/>
    <w:rsid w:val="003F7CA6"/>
    <w:rsid w:val="003F7D48"/>
    <w:rsid w:val="003F7DB0"/>
    <w:rsid w:val="003F7E5D"/>
    <w:rsid w:val="003F7E92"/>
    <w:rsid w:val="003F7EB0"/>
    <w:rsid w:val="003F7F55"/>
    <w:rsid w:val="003F7FE3"/>
    <w:rsid w:val="00400037"/>
    <w:rsid w:val="0040010F"/>
    <w:rsid w:val="00400122"/>
    <w:rsid w:val="00400446"/>
    <w:rsid w:val="004004F0"/>
    <w:rsid w:val="0040058E"/>
    <w:rsid w:val="00400665"/>
    <w:rsid w:val="00400708"/>
    <w:rsid w:val="0040073C"/>
    <w:rsid w:val="004007EE"/>
    <w:rsid w:val="004007FB"/>
    <w:rsid w:val="00400844"/>
    <w:rsid w:val="00400875"/>
    <w:rsid w:val="004008A8"/>
    <w:rsid w:val="004009CA"/>
    <w:rsid w:val="004009D0"/>
    <w:rsid w:val="004009ED"/>
    <w:rsid w:val="004009F8"/>
    <w:rsid w:val="00400A6F"/>
    <w:rsid w:val="00400B03"/>
    <w:rsid w:val="00400B8F"/>
    <w:rsid w:val="00400BA4"/>
    <w:rsid w:val="00400C0D"/>
    <w:rsid w:val="00400C3A"/>
    <w:rsid w:val="00400C83"/>
    <w:rsid w:val="00400D25"/>
    <w:rsid w:val="00400D3F"/>
    <w:rsid w:val="00400D67"/>
    <w:rsid w:val="00400E58"/>
    <w:rsid w:val="00400E83"/>
    <w:rsid w:val="00400E8F"/>
    <w:rsid w:val="00400F1F"/>
    <w:rsid w:val="00400FA2"/>
    <w:rsid w:val="0040100F"/>
    <w:rsid w:val="0040101F"/>
    <w:rsid w:val="0040104B"/>
    <w:rsid w:val="0040107C"/>
    <w:rsid w:val="00401113"/>
    <w:rsid w:val="00401159"/>
    <w:rsid w:val="0040119D"/>
    <w:rsid w:val="004011A2"/>
    <w:rsid w:val="004011E8"/>
    <w:rsid w:val="004012C6"/>
    <w:rsid w:val="0040133A"/>
    <w:rsid w:val="00401367"/>
    <w:rsid w:val="004013B8"/>
    <w:rsid w:val="004014CC"/>
    <w:rsid w:val="004014F9"/>
    <w:rsid w:val="00401523"/>
    <w:rsid w:val="00401671"/>
    <w:rsid w:val="004016B8"/>
    <w:rsid w:val="004016D2"/>
    <w:rsid w:val="00401700"/>
    <w:rsid w:val="00401784"/>
    <w:rsid w:val="004017E4"/>
    <w:rsid w:val="004018DE"/>
    <w:rsid w:val="00401910"/>
    <w:rsid w:val="00401948"/>
    <w:rsid w:val="00401966"/>
    <w:rsid w:val="00401A0A"/>
    <w:rsid w:val="00401A33"/>
    <w:rsid w:val="00401AE3"/>
    <w:rsid w:val="00401AE8"/>
    <w:rsid w:val="00401B1E"/>
    <w:rsid w:val="00401B73"/>
    <w:rsid w:val="00401B7F"/>
    <w:rsid w:val="00401BD5"/>
    <w:rsid w:val="00401BE3"/>
    <w:rsid w:val="00401C44"/>
    <w:rsid w:val="00401C6F"/>
    <w:rsid w:val="00401C73"/>
    <w:rsid w:val="00401CE1"/>
    <w:rsid w:val="00401D0F"/>
    <w:rsid w:val="00401E46"/>
    <w:rsid w:val="00401E76"/>
    <w:rsid w:val="00401F14"/>
    <w:rsid w:val="00401F71"/>
    <w:rsid w:val="0040207D"/>
    <w:rsid w:val="00402112"/>
    <w:rsid w:val="00402274"/>
    <w:rsid w:val="004022A4"/>
    <w:rsid w:val="00402321"/>
    <w:rsid w:val="00402356"/>
    <w:rsid w:val="004023B3"/>
    <w:rsid w:val="004023FB"/>
    <w:rsid w:val="00402401"/>
    <w:rsid w:val="00402498"/>
    <w:rsid w:val="004024A9"/>
    <w:rsid w:val="004024FC"/>
    <w:rsid w:val="00402526"/>
    <w:rsid w:val="0040253E"/>
    <w:rsid w:val="004025A6"/>
    <w:rsid w:val="004025CD"/>
    <w:rsid w:val="004026EA"/>
    <w:rsid w:val="0040272B"/>
    <w:rsid w:val="00402786"/>
    <w:rsid w:val="004027A0"/>
    <w:rsid w:val="004027E0"/>
    <w:rsid w:val="00402814"/>
    <w:rsid w:val="0040282F"/>
    <w:rsid w:val="0040283B"/>
    <w:rsid w:val="004028EA"/>
    <w:rsid w:val="004028F6"/>
    <w:rsid w:val="00402A0F"/>
    <w:rsid w:val="00402B59"/>
    <w:rsid w:val="00402BA2"/>
    <w:rsid w:val="00402BEE"/>
    <w:rsid w:val="00402C30"/>
    <w:rsid w:val="00402C39"/>
    <w:rsid w:val="00402D0C"/>
    <w:rsid w:val="00402DF0"/>
    <w:rsid w:val="00402E69"/>
    <w:rsid w:val="00402FA2"/>
    <w:rsid w:val="004030A9"/>
    <w:rsid w:val="004030D8"/>
    <w:rsid w:val="004030FF"/>
    <w:rsid w:val="00403197"/>
    <w:rsid w:val="004031C8"/>
    <w:rsid w:val="00403201"/>
    <w:rsid w:val="00403205"/>
    <w:rsid w:val="00403214"/>
    <w:rsid w:val="00403216"/>
    <w:rsid w:val="00403228"/>
    <w:rsid w:val="00403296"/>
    <w:rsid w:val="00403308"/>
    <w:rsid w:val="00403356"/>
    <w:rsid w:val="00403373"/>
    <w:rsid w:val="0040344B"/>
    <w:rsid w:val="0040344C"/>
    <w:rsid w:val="0040348C"/>
    <w:rsid w:val="004034F4"/>
    <w:rsid w:val="00403507"/>
    <w:rsid w:val="0040350F"/>
    <w:rsid w:val="004035A4"/>
    <w:rsid w:val="004035AC"/>
    <w:rsid w:val="004035AE"/>
    <w:rsid w:val="004035CC"/>
    <w:rsid w:val="004035FF"/>
    <w:rsid w:val="00403699"/>
    <w:rsid w:val="00403749"/>
    <w:rsid w:val="0040376B"/>
    <w:rsid w:val="0040377C"/>
    <w:rsid w:val="0040379A"/>
    <w:rsid w:val="004037DF"/>
    <w:rsid w:val="004038E4"/>
    <w:rsid w:val="00403ABE"/>
    <w:rsid w:val="00403B5A"/>
    <w:rsid w:val="00403BE9"/>
    <w:rsid w:val="00403C11"/>
    <w:rsid w:val="00403C5D"/>
    <w:rsid w:val="00403C60"/>
    <w:rsid w:val="00403C79"/>
    <w:rsid w:val="00403C88"/>
    <w:rsid w:val="00403C9D"/>
    <w:rsid w:val="00403D41"/>
    <w:rsid w:val="00403D59"/>
    <w:rsid w:val="00403DA4"/>
    <w:rsid w:val="00403DFC"/>
    <w:rsid w:val="00403EBD"/>
    <w:rsid w:val="00403F4C"/>
    <w:rsid w:val="00403FC5"/>
    <w:rsid w:val="00403FD5"/>
    <w:rsid w:val="00403FD9"/>
    <w:rsid w:val="0040400F"/>
    <w:rsid w:val="00404065"/>
    <w:rsid w:val="0040406B"/>
    <w:rsid w:val="004040F7"/>
    <w:rsid w:val="004041A5"/>
    <w:rsid w:val="004041D6"/>
    <w:rsid w:val="0040427C"/>
    <w:rsid w:val="004042CC"/>
    <w:rsid w:val="004042FC"/>
    <w:rsid w:val="0040437E"/>
    <w:rsid w:val="0040443D"/>
    <w:rsid w:val="004044DE"/>
    <w:rsid w:val="004045FB"/>
    <w:rsid w:val="0040460F"/>
    <w:rsid w:val="0040467A"/>
    <w:rsid w:val="004046E0"/>
    <w:rsid w:val="004047F8"/>
    <w:rsid w:val="004047FC"/>
    <w:rsid w:val="0040485A"/>
    <w:rsid w:val="0040488C"/>
    <w:rsid w:val="004048F4"/>
    <w:rsid w:val="0040491A"/>
    <w:rsid w:val="004049F0"/>
    <w:rsid w:val="00404AE5"/>
    <w:rsid w:val="00404AF5"/>
    <w:rsid w:val="00404B15"/>
    <w:rsid w:val="00404B66"/>
    <w:rsid w:val="00404B9D"/>
    <w:rsid w:val="00404C44"/>
    <w:rsid w:val="00404C84"/>
    <w:rsid w:val="00404CF5"/>
    <w:rsid w:val="00404D91"/>
    <w:rsid w:val="00404E76"/>
    <w:rsid w:val="00404E89"/>
    <w:rsid w:val="00404F30"/>
    <w:rsid w:val="00404FC1"/>
    <w:rsid w:val="00404FC9"/>
    <w:rsid w:val="00404FE4"/>
    <w:rsid w:val="004050BE"/>
    <w:rsid w:val="004050D4"/>
    <w:rsid w:val="004050DD"/>
    <w:rsid w:val="004050EA"/>
    <w:rsid w:val="00405107"/>
    <w:rsid w:val="0040515B"/>
    <w:rsid w:val="00405187"/>
    <w:rsid w:val="00405260"/>
    <w:rsid w:val="004052D0"/>
    <w:rsid w:val="004052FA"/>
    <w:rsid w:val="004053B1"/>
    <w:rsid w:val="004053C6"/>
    <w:rsid w:val="004053CD"/>
    <w:rsid w:val="00405400"/>
    <w:rsid w:val="0040541B"/>
    <w:rsid w:val="00405428"/>
    <w:rsid w:val="00405467"/>
    <w:rsid w:val="004054A8"/>
    <w:rsid w:val="004054D5"/>
    <w:rsid w:val="004055F2"/>
    <w:rsid w:val="0040560F"/>
    <w:rsid w:val="0040569A"/>
    <w:rsid w:val="00405766"/>
    <w:rsid w:val="004057B6"/>
    <w:rsid w:val="00405895"/>
    <w:rsid w:val="004058F3"/>
    <w:rsid w:val="0040591C"/>
    <w:rsid w:val="00405944"/>
    <w:rsid w:val="004059E7"/>
    <w:rsid w:val="00405A08"/>
    <w:rsid w:val="00405A3F"/>
    <w:rsid w:val="00405A7B"/>
    <w:rsid w:val="00405B51"/>
    <w:rsid w:val="00405C83"/>
    <w:rsid w:val="00405CA0"/>
    <w:rsid w:val="00405E9B"/>
    <w:rsid w:val="00405EA4"/>
    <w:rsid w:val="00406018"/>
    <w:rsid w:val="004060AA"/>
    <w:rsid w:val="004060D1"/>
    <w:rsid w:val="0040610D"/>
    <w:rsid w:val="0040611B"/>
    <w:rsid w:val="00406159"/>
    <w:rsid w:val="00406183"/>
    <w:rsid w:val="004061F7"/>
    <w:rsid w:val="00406223"/>
    <w:rsid w:val="00406271"/>
    <w:rsid w:val="004062FA"/>
    <w:rsid w:val="0040639A"/>
    <w:rsid w:val="0040640F"/>
    <w:rsid w:val="00406418"/>
    <w:rsid w:val="0040641A"/>
    <w:rsid w:val="0040645B"/>
    <w:rsid w:val="0040647F"/>
    <w:rsid w:val="00406487"/>
    <w:rsid w:val="004064E9"/>
    <w:rsid w:val="004064F6"/>
    <w:rsid w:val="00406512"/>
    <w:rsid w:val="00406521"/>
    <w:rsid w:val="004065DF"/>
    <w:rsid w:val="00406701"/>
    <w:rsid w:val="00406703"/>
    <w:rsid w:val="00406750"/>
    <w:rsid w:val="004067CE"/>
    <w:rsid w:val="00406898"/>
    <w:rsid w:val="0040691E"/>
    <w:rsid w:val="00406A96"/>
    <w:rsid w:val="00406AF3"/>
    <w:rsid w:val="00406B6D"/>
    <w:rsid w:val="00406BB9"/>
    <w:rsid w:val="00406C62"/>
    <w:rsid w:val="00406C9B"/>
    <w:rsid w:val="00406D1D"/>
    <w:rsid w:val="00406D62"/>
    <w:rsid w:val="00406E44"/>
    <w:rsid w:val="00406F05"/>
    <w:rsid w:val="0040701E"/>
    <w:rsid w:val="00407035"/>
    <w:rsid w:val="00407048"/>
    <w:rsid w:val="004070FF"/>
    <w:rsid w:val="0040710E"/>
    <w:rsid w:val="0040710F"/>
    <w:rsid w:val="00407111"/>
    <w:rsid w:val="0040717E"/>
    <w:rsid w:val="004071C1"/>
    <w:rsid w:val="00407226"/>
    <w:rsid w:val="0040732F"/>
    <w:rsid w:val="0040736C"/>
    <w:rsid w:val="00407390"/>
    <w:rsid w:val="004074D4"/>
    <w:rsid w:val="004075AD"/>
    <w:rsid w:val="0040764D"/>
    <w:rsid w:val="004076B1"/>
    <w:rsid w:val="004076CC"/>
    <w:rsid w:val="004076DF"/>
    <w:rsid w:val="004076E5"/>
    <w:rsid w:val="00407713"/>
    <w:rsid w:val="00407721"/>
    <w:rsid w:val="00407726"/>
    <w:rsid w:val="00407833"/>
    <w:rsid w:val="00407889"/>
    <w:rsid w:val="004078B5"/>
    <w:rsid w:val="004078D1"/>
    <w:rsid w:val="00407913"/>
    <w:rsid w:val="00407937"/>
    <w:rsid w:val="00407993"/>
    <w:rsid w:val="00407A73"/>
    <w:rsid w:val="00407B28"/>
    <w:rsid w:val="00407B9D"/>
    <w:rsid w:val="00407BFE"/>
    <w:rsid w:val="00407C4E"/>
    <w:rsid w:val="00407C9E"/>
    <w:rsid w:val="00407D55"/>
    <w:rsid w:val="00407D9F"/>
    <w:rsid w:val="00407E3D"/>
    <w:rsid w:val="00407E5D"/>
    <w:rsid w:val="00407EA0"/>
    <w:rsid w:val="00407EF5"/>
    <w:rsid w:val="00407F03"/>
    <w:rsid w:val="00407F1C"/>
    <w:rsid w:val="00407FDD"/>
    <w:rsid w:val="004101F4"/>
    <w:rsid w:val="00410343"/>
    <w:rsid w:val="00410368"/>
    <w:rsid w:val="004103BC"/>
    <w:rsid w:val="00410459"/>
    <w:rsid w:val="004104A6"/>
    <w:rsid w:val="00410504"/>
    <w:rsid w:val="0041052C"/>
    <w:rsid w:val="004105F2"/>
    <w:rsid w:val="004105F9"/>
    <w:rsid w:val="0041061F"/>
    <w:rsid w:val="004106F1"/>
    <w:rsid w:val="0041092E"/>
    <w:rsid w:val="004109D2"/>
    <w:rsid w:val="00410A3B"/>
    <w:rsid w:val="00410AEF"/>
    <w:rsid w:val="00410B0C"/>
    <w:rsid w:val="00410BBD"/>
    <w:rsid w:val="00410C7A"/>
    <w:rsid w:val="00410CB8"/>
    <w:rsid w:val="00410CDD"/>
    <w:rsid w:val="00410DC9"/>
    <w:rsid w:val="00410F59"/>
    <w:rsid w:val="00410F5D"/>
    <w:rsid w:val="00410F5E"/>
    <w:rsid w:val="00410FB4"/>
    <w:rsid w:val="00411003"/>
    <w:rsid w:val="00411033"/>
    <w:rsid w:val="004110BB"/>
    <w:rsid w:val="004110E2"/>
    <w:rsid w:val="004110FA"/>
    <w:rsid w:val="00411156"/>
    <w:rsid w:val="00411193"/>
    <w:rsid w:val="0041119C"/>
    <w:rsid w:val="004111B8"/>
    <w:rsid w:val="004111E6"/>
    <w:rsid w:val="00411260"/>
    <w:rsid w:val="0041127D"/>
    <w:rsid w:val="004112AE"/>
    <w:rsid w:val="004112D9"/>
    <w:rsid w:val="00411305"/>
    <w:rsid w:val="004113A6"/>
    <w:rsid w:val="00411415"/>
    <w:rsid w:val="00411436"/>
    <w:rsid w:val="0041148D"/>
    <w:rsid w:val="004114DA"/>
    <w:rsid w:val="00411574"/>
    <w:rsid w:val="004115A3"/>
    <w:rsid w:val="0041167E"/>
    <w:rsid w:val="004116B4"/>
    <w:rsid w:val="004116ED"/>
    <w:rsid w:val="00411798"/>
    <w:rsid w:val="0041179C"/>
    <w:rsid w:val="0041188B"/>
    <w:rsid w:val="004118A2"/>
    <w:rsid w:val="00411A2C"/>
    <w:rsid w:val="00411A34"/>
    <w:rsid w:val="00411AAF"/>
    <w:rsid w:val="00411B00"/>
    <w:rsid w:val="00411B68"/>
    <w:rsid w:val="00411B6E"/>
    <w:rsid w:val="00411B72"/>
    <w:rsid w:val="00411C0B"/>
    <w:rsid w:val="00411C2A"/>
    <w:rsid w:val="00411C4A"/>
    <w:rsid w:val="00411D75"/>
    <w:rsid w:val="00411E1F"/>
    <w:rsid w:val="00411EE8"/>
    <w:rsid w:val="00411FBE"/>
    <w:rsid w:val="00412015"/>
    <w:rsid w:val="00412120"/>
    <w:rsid w:val="00412360"/>
    <w:rsid w:val="00412418"/>
    <w:rsid w:val="0041246E"/>
    <w:rsid w:val="004125BD"/>
    <w:rsid w:val="004125D4"/>
    <w:rsid w:val="00412600"/>
    <w:rsid w:val="004127AB"/>
    <w:rsid w:val="004127C7"/>
    <w:rsid w:val="004127E0"/>
    <w:rsid w:val="0041280B"/>
    <w:rsid w:val="00412842"/>
    <w:rsid w:val="00412878"/>
    <w:rsid w:val="00412933"/>
    <w:rsid w:val="00412950"/>
    <w:rsid w:val="004129E4"/>
    <w:rsid w:val="00412A27"/>
    <w:rsid w:val="00412A4E"/>
    <w:rsid w:val="00412B17"/>
    <w:rsid w:val="00412BB9"/>
    <w:rsid w:val="00412C7E"/>
    <w:rsid w:val="00412CC5"/>
    <w:rsid w:val="00412CF1"/>
    <w:rsid w:val="00412D39"/>
    <w:rsid w:val="00412E26"/>
    <w:rsid w:val="00412EF3"/>
    <w:rsid w:val="00412EFC"/>
    <w:rsid w:val="00412FEE"/>
    <w:rsid w:val="0041301A"/>
    <w:rsid w:val="004130A9"/>
    <w:rsid w:val="004130FB"/>
    <w:rsid w:val="00413106"/>
    <w:rsid w:val="00413131"/>
    <w:rsid w:val="00413196"/>
    <w:rsid w:val="004131C0"/>
    <w:rsid w:val="0041320B"/>
    <w:rsid w:val="00413267"/>
    <w:rsid w:val="00413294"/>
    <w:rsid w:val="004132FA"/>
    <w:rsid w:val="00413333"/>
    <w:rsid w:val="00413356"/>
    <w:rsid w:val="0041336C"/>
    <w:rsid w:val="004133B6"/>
    <w:rsid w:val="0041348D"/>
    <w:rsid w:val="004135A1"/>
    <w:rsid w:val="00413602"/>
    <w:rsid w:val="00413627"/>
    <w:rsid w:val="00413634"/>
    <w:rsid w:val="00413793"/>
    <w:rsid w:val="004137AE"/>
    <w:rsid w:val="00413874"/>
    <w:rsid w:val="00413961"/>
    <w:rsid w:val="00413A34"/>
    <w:rsid w:val="00413A82"/>
    <w:rsid w:val="00413AB7"/>
    <w:rsid w:val="00413B41"/>
    <w:rsid w:val="00413B4D"/>
    <w:rsid w:val="00413BAF"/>
    <w:rsid w:val="00413BBF"/>
    <w:rsid w:val="00413BE0"/>
    <w:rsid w:val="00413C58"/>
    <w:rsid w:val="00413C6A"/>
    <w:rsid w:val="00413CA9"/>
    <w:rsid w:val="00413CC4"/>
    <w:rsid w:val="00413CE0"/>
    <w:rsid w:val="00413D43"/>
    <w:rsid w:val="00413E5E"/>
    <w:rsid w:val="00413EB0"/>
    <w:rsid w:val="00413EBC"/>
    <w:rsid w:val="00413ECE"/>
    <w:rsid w:val="00413EE0"/>
    <w:rsid w:val="00413EF3"/>
    <w:rsid w:val="00414044"/>
    <w:rsid w:val="004140BE"/>
    <w:rsid w:val="0041414D"/>
    <w:rsid w:val="004141D3"/>
    <w:rsid w:val="00414328"/>
    <w:rsid w:val="004143C3"/>
    <w:rsid w:val="0041449E"/>
    <w:rsid w:val="004144AD"/>
    <w:rsid w:val="004144C7"/>
    <w:rsid w:val="00414527"/>
    <w:rsid w:val="0041453B"/>
    <w:rsid w:val="0041463B"/>
    <w:rsid w:val="0041464F"/>
    <w:rsid w:val="00414667"/>
    <w:rsid w:val="00414680"/>
    <w:rsid w:val="00414686"/>
    <w:rsid w:val="00414687"/>
    <w:rsid w:val="0041471F"/>
    <w:rsid w:val="004147A5"/>
    <w:rsid w:val="004147D4"/>
    <w:rsid w:val="004147F5"/>
    <w:rsid w:val="004149A8"/>
    <w:rsid w:val="004149DE"/>
    <w:rsid w:val="00414A19"/>
    <w:rsid w:val="00414A91"/>
    <w:rsid w:val="00414B41"/>
    <w:rsid w:val="00414BFC"/>
    <w:rsid w:val="00414CA0"/>
    <w:rsid w:val="00414CC2"/>
    <w:rsid w:val="00414E7C"/>
    <w:rsid w:val="00414E9E"/>
    <w:rsid w:val="00414EF0"/>
    <w:rsid w:val="00414FF3"/>
    <w:rsid w:val="004151E8"/>
    <w:rsid w:val="0041529C"/>
    <w:rsid w:val="004152DB"/>
    <w:rsid w:val="004152EA"/>
    <w:rsid w:val="0041535E"/>
    <w:rsid w:val="00415422"/>
    <w:rsid w:val="00415478"/>
    <w:rsid w:val="0041547D"/>
    <w:rsid w:val="00415548"/>
    <w:rsid w:val="004155C0"/>
    <w:rsid w:val="004155D9"/>
    <w:rsid w:val="00415618"/>
    <w:rsid w:val="0041583B"/>
    <w:rsid w:val="004158D1"/>
    <w:rsid w:val="0041590C"/>
    <w:rsid w:val="00415924"/>
    <w:rsid w:val="0041598A"/>
    <w:rsid w:val="00415A7D"/>
    <w:rsid w:val="00415AD6"/>
    <w:rsid w:val="00415B01"/>
    <w:rsid w:val="00415B04"/>
    <w:rsid w:val="00415B5A"/>
    <w:rsid w:val="00415C04"/>
    <w:rsid w:val="00415C21"/>
    <w:rsid w:val="00415C87"/>
    <w:rsid w:val="00415CF5"/>
    <w:rsid w:val="00415D87"/>
    <w:rsid w:val="00415ED4"/>
    <w:rsid w:val="00415F4B"/>
    <w:rsid w:val="00415F68"/>
    <w:rsid w:val="00415FC1"/>
    <w:rsid w:val="00415FC3"/>
    <w:rsid w:val="00415FE8"/>
    <w:rsid w:val="0041601F"/>
    <w:rsid w:val="004160B9"/>
    <w:rsid w:val="00416157"/>
    <w:rsid w:val="00416183"/>
    <w:rsid w:val="004161AC"/>
    <w:rsid w:val="004162D2"/>
    <w:rsid w:val="0041642A"/>
    <w:rsid w:val="0041647B"/>
    <w:rsid w:val="004164EC"/>
    <w:rsid w:val="004165F4"/>
    <w:rsid w:val="00416649"/>
    <w:rsid w:val="00416657"/>
    <w:rsid w:val="0041665F"/>
    <w:rsid w:val="0041677F"/>
    <w:rsid w:val="004167B3"/>
    <w:rsid w:val="004167F4"/>
    <w:rsid w:val="004168AC"/>
    <w:rsid w:val="004168E5"/>
    <w:rsid w:val="0041691C"/>
    <w:rsid w:val="0041699A"/>
    <w:rsid w:val="00416AC3"/>
    <w:rsid w:val="00416AD9"/>
    <w:rsid w:val="00416AF1"/>
    <w:rsid w:val="00416B91"/>
    <w:rsid w:val="00416BBA"/>
    <w:rsid w:val="00416BFE"/>
    <w:rsid w:val="00416CBB"/>
    <w:rsid w:val="00416CFA"/>
    <w:rsid w:val="00416D7F"/>
    <w:rsid w:val="00416DDA"/>
    <w:rsid w:val="00416E75"/>
    <w:rsid w:val="00416F04"/>
    <w:rsid w:val="00416FD0"/>
    <w:rsid w:val="00416FDC"/>
    <w:rsid w:val="0041701E"/>
    <w:rsid w:val="00417055"/>
    <w:rsid w:val="004170FB"/>
    <w:rsid w:val="00417118"/>
    <w:rsid w:val="00417175"/>
    <w:rsid w:val="004171F2"/>
    <w:rsid w:val="0041729D"/>
    <w:rsid w:val="004172F2"/>
    <w:rsid w:val="00417327"/>
    <w:rsid w:val="00417464"/>
    <w:rsid w:val="00417481"/>
    <w:rsid w:val="00417508"/>
    <w:rsid w:val="00417574"/>
    <w:rsid w:val="004175A8"/>
    <w:rsid w:val="00417610"/>
    <w:rsid w:val="004176BE"/>
    <w:rsid w:val="00417706"/>
    <w:rsid w:val="00417774"/>
    <w:rsid w:val="00417778"/>
    <w:rsid w:val="004177A3"/>
    <w:rsid w:val="004177AB"/>
    <w:rsid w:val="004178F4"/>
    <w:rsid w:val="004178FA"/>
    <w:rsid w:val="00417927"/>
    <w:rsid w:val="004179D9"/>
    <w:rsid w:val="00417A06"/>
    <w:rsid w:val="00417A0E"/>
    <w:rsid w:val="00417A5D"/>
    <w:rsid w:val="00417A8C"/>
    <w:rsid w:val="00417A9C"/>
    <w:rsid w:val="00417B7E"/>
    <w:rsid w:val="00417B8D"/>
    <w:rsid w:val="00417B96"/>
    <w:rsid w:val="00417D3D"/>
    <w:rsid w:val="00417D86"/>
    <w:rsid w:val="00417E51"/>
    <w:rsid w:val="00417EB1"/>
    <w:rsid w:val="00417F61"/>
    <w:rsid w:val="004200CC"/>
    <w:rsid w:val="004200FA"/>
    <w:rsid w:val="00420163"/>
    <w:rsid w:val="0042016E"/>
    <w:rsid w:val="0042018F"/>
    <w:rsid w:val="00420198"/>
    <w:rsid w:val="004201E2"/>
    <w:rsid w:val="0042023E"/>
    <w:rsid w:val="00420275"/>
    <w:rsid w:val="004202E6"/>
    <w:rsid w:val="004202EF"/>
    <w:rsid w:val="004203A7"/>
    <w:rsid w:val="0042050A"/>
    <w:rsid w:val="004205DC"/>
    <w:rsid w:val="004206B0"/>
    <w:rsid w:val="00420824"/>
    <w:rsid w:val="004208BE"/>
    <w:rsid w:val="0042091F"/>
    <w:rsid w:val="0042094B"/>
    <w:rsid w:val="00420AD2"/>
    <w:rsid w:val="00420BA6"/>
    <w:rsid w:val="00420BB7"/>
    <w:rsid w:val="00420D5B"/>
    <w:rsid w:val="00420DAF"/>
    <w:rsid w:val="00420E06"/>
    <w:rsid w:val="00420E2B"/>
    <w:rsid w:val="00420EF7"/>
    <w:rsid w:val="00420F43"/>
    <w:rsid w:val="00420F88"/>
    <w:rsid w:val="00420F8C"/>
    <w:rsid w:val="00420FA6"/>
    <w:rsid w:val="00420FF7"/>
    <w:rsid w:val="00421000"/>
    <w:rsid w:val="00421166"/>
    <w:rsid w:val="00421228"/>
    <w:rsid w:val="0042123E"/>
    <w:rsid w:val="00421241"/>
    <w:rsid w:val="0042126D"/>
    <w:rsid w:val="004212F0"/>
    <w:rsid w:val="004213A6"/>
    <w:rsid w:val="004213FC"/>
    <w:rsid w:val="0042140C"/>
    <w:rsid w:val="0042149C"/>
    <w:rsid w:val="00421668"/>
    <w:rsid w:val="004216D5"/>
    <w:rsid w:val="00421747"/>
    <w:rsid w:val="0042175C"/>
    <w:rsid w:val="00421799"/>
    <w:rsid w:val="00421820"/>
    <w:rsid w:val="00421A60"/>
    <w:rsid w:val="00421A95"/>
    <w:rsid w:val="00421B0D"/>
    <w:rsid w:val="00421B23"/>
    <w:rsid w:val="00421B4A"/>
    <w:rsid w:val="00421B96"/>
    <w:rsid w:val="00421C47"/>
    <w:rsid w:val="00421CBB"/>
    <w:rsid w:val="00421CCE"/>
    <w:rsid w:val="00421D18"/>
    <w:rsid w:val="00421D4C"/>
    <w:rsid w:val="00421DAF"/>
    <w:rsid w:val="00421DFB"/>
    <w:rsid w:val="00421E09"/>
    <w:rsid w:val="00421E12"/>
    <w:rsid w:val="00421EAB"/>
    <w:rsid w:val="00421EF7"/>
    <w:rsid w:val="00421FDB"/>
    <w:rsid w:val="00422108"/>
    <w:rsid w:val="00422181"/>
    <w:rsid w:val="0042218F"/>
    <w:rsid w:val="004221C1"/>
    <w:rsid w:val="004221D2"/>
    <w:rsid w:val="00422223"/>
    <w:rsid w:val="0042227F"/>
    <w:rsid w:val="00422313"/>
    <w:rsid w:val="00422354"/>
    <w:rsid w:val="0042235A"/>
    <w:rsid w:val="00422381"/>
    <w:rsid w:val="004223B2"/>
    <w:rsid w:val="0042246D"/>
    <w:rsid w:val="00422486"/>
    <w:rsid w:val="004224A2"/>
    <w:rsid w:val="004224BA"/>
    <w:rsid w:val="00422519"/>
    <w:rsid w:val="0042255C"/>
    <w:rsid w:val="0042259E"/>
    <w:rsid w:val="004225F9"/>
    <w:rsid w:val="0042269F"/>
    <w:rsid w:val="004226D4"/>
    <w:rsid w:val="004226EA"/>
    <w:rsid w:val="004226F1"/>
    <w:rsid w:val="00422747"/>
    <w:rsid w:val="00422891"/>
    <w:rsid w:val="004228B6"/>
    <w:rsid w:val="004228F2"/>
    <w:rsid w:val="00422963"/>
    <w:rsid w:val="00422A15"/>
    <w:rsid w:val="00422A9E"/>
    <w:rsid w:val="00422AA4"/>
    <w:rsid w:val="00422AE1"/>
    <w:rsid w:val="00422BEC"/>
    <w:rsid w:val="00422BFA"/>
    <w:rsid w:val="00422C9D"/>
    <w:rsid w:val="00422CA5"/>
    <w:rsid w:val="00422CB7"/>
    <w:rsid w:val="00422CCA"/>
    <w:rsid w:val="00422CE4"/>
    <w:rsid w:val="00422D47"/>
    <w:rsid w:val="00422DB8"/>
    <w:rsid w:val="00422DEA"/>
    <w:rsid w:val="00422E3B"/>
    <w:rsid w:val="00422E8B"/>
    <w:rsid w:val="00422F2E"/>
    <w:rsid w:val="00422F7A"/>
    <w:rsid w:val="00423005"/>
    <w:rsid w:val="0042308C"/>
    <w:rsid w:val="004231C3"/>
    <w:rsid w:val="00423251"/>
    <w:rsid w:val="0042338B"/>
    <w:rsid w:val="0042345F"/>
    <w:rsid w:val="00423505"/>
    <w:rsid w:val="004235C7"/>
    <w:rsid w:val="004235EB"/>
    <w:rsid w:val="004236C1"/>
    <w:rsid w:val="0042372B"/>
    <w:rsid w:val="0042373D"/>
    <w:rsid w:val="0042377E"/>
    <w:rsid w:val="004239A8"/>
    <w:rsid w:val="00423A3B"/>
    <w:rsid w:val="00423A57"/>
    <w:rsid w:val="00423A70"/>
    <w:rsid w:val="00423A88"/>
    <w:rsid w:val="00423BB2"/>
    <w:rsid w:val="00423BD7"/>
    <w:rsid w:val="00423C4F"/>
    <w:rsid w:val="00423D5D"/>
    <w:rsid w:val="00423DED"/>
    <w:rsid w:val="00423DF4"/>
    <w:rsid w:val="00423DFB"/>
    <w:rsid w:val="00423E7C"/>
    <w:rsid w:val="00423FAB"/>
    <w:rsid w:val="00423FE2"/>
    <w:rsid w:val="00423FF6"/>
    <w:rsid w:val="00424014"/>
    <w:rsid w:val="00424135"/>
    <w:rsid w:val="0042418F"/>
    <w:rsid w:val="004241FE"/>
    <w:rsid w:val="00424224"/>
    <w:rsid w:val="00424250"/>
    <w:rsid w:val="00424264"/>
    <w:rsid w:val="004242A0"/>
    <w:rsid w:val="004242C7"/>
    <w:rsid w:val="004242D9"/>
    <w:rsid w:val="004242F3"/>
    <w:rsid w:val="0042439D"/>
    <w:rsid w:val="00424407"/>
    <w:rsid w:val="00424470"/>
    <w:rsid w:val="0042448E"/>
    <w:rsid w:val="004244B1"/>
    <w:rsid w:val="0042453B"/>
    <w:rsid w:val="00424650"/>
    <w:rsid w:val="004246C7"/>
    <w:rsid w:val="004246DF"/>
    <w:rsid w:val="00424777"/>
    <w:rsid w:val="0042482F"/>
    <w:rsid w:val="0042486E"/>
    <w:rsid w:val="00424880"/>
    <w:rsid w:val="004249C1"/>
    <w:rsid w:val="00424A26"/>
    <w:rsid w:val="00424A51"/>
    <w:rsid w:val="00424A58"/>
    <w:rsid w:val="00424A9A"/>
    <w:rsid w:val="00424B58"/>
    <w:rsid w:val="00424B7A"/>
    <w:rsid w:val="00424BBD"/>
    <w:rsid w:val="00424BC7"/>
    <w:rsid w:val="00424BFD"/>
    <w:rsid w:val="00424C06"/>
    <w:rsid w:val="00424C10"/>
    <w:rsid w:val="00424C5F"/>
    <w:rsid w:val="00424C62"/>
    <w:rsid w:val="00424CE6"/>
    <w:rsid w:val="00424D52"/>
    <w:rsid w:val="00424D9A"/>
    <w:rsid w:val="00424D9C"/>
    <w:rsid w:val="00424EFA"/>
    <w:rsid w:val="00424F20"/>
    <w:rsid w:val="00425044"/>
    <w:rsid w:val="0042509B"/>
    <w:rsid w:val="0042516C"/>
    <w:rsid w:val="00425185"/>
    <w:rsid w:val="00425213"/>
    <w:rsid w:val="004252DB"/>
    <w:rsid w:val="0042531E"/>
    <w:rsid w:val="0042539E"/>
    <w:rsid w:val="004253B9"/>
    <w:rsid w:val="00425485"/>
    <w:rsid w:val="004254B0"/>
    <w:rsid w:val="004254FA"/>
    <w:rsid w:val="004254FF"/>
    <w:rsid w:val="0042559F"/>
    <w:rsid w:val="004255FD"/>
    <w:rsid w:val="00425604"/>
    <w:rsid w:val="00425621"/>
    <w:rsid w:val="004256F8"/>
    <w:rsid w:val="0042571C"/>
    <w:rsid w:val="004257A6"/>
    <w:rsid w:val="00425806"/>
    <w:rsid w:val="00425890"/>
    <w:rsid w:val="004259AE"/>
    <w:rsid w:val="004259D8"/>
    <w:rsid w:val="00425A43"/>
    <w:rsid w:val="00425A85"/>
    <w:rsid w:val="00425ACB"/>
    <w:rsid w:val="00425BF6"/>
    <w:rsid w:val="00425C3F"/>
    <w:rsid w:val="00425C95"/>
    <w:rsid w:val="00425E18"/>
    <w:rsid w:val="00425E48"/>
    <w:rsid w:val="00425E65"/>
    <w:rsid w:val="00425EB1"/>
    <w:rsid w:val="00425EBD"/>
    <w:rsid w:val="00425ED0"/>
    <w:rsid w:val="00425F02"/>
    <w:rsid w:val="00425F2F"/>
    <w:rsid w:val="0042602E"/>
    <w:rsid w:val="0042605F"/>
    <w:rsid w:val="004260C6"/>
    <w:rsid w:val="004260CF"/>
    <w:rsid w:val="00426193"/>
    <w:rsid w:val="004261C0"/>
    <w:rsid w:val="0042624B"/>
    <w:rsid w:val="004262D3"/>
    <w:rsid w:val="004262D4"/>
    <w:rsid w:val="004262E0"/>
    <w:rsid w:val="0042633B"/>
    <w:rsid w:val="0042637F"/>
    <w:rsid w:val="004263C5"/>
    <w:rsid w:val="004263E9"/>
    <w:rsid w:val="00426447"/>
    <w:rsid w:val="004266D4"/>
    <w:rsid w:val="0042688B"/>
    <w:rsid w:val="00426942"/>
    <w:rsid w:val="00426953"/>
    <w:rsid w:val="00426A2D"/>
    <w:rsid w:val="00426AB0"/>
    <w:rsid w:val="00426AFA"/>
    <w:rsid w:val="00426B2B"/>
    <w:rsid w:val="00426B5E"/>
    <w:rsid w:val="00426BDC"/>
    <w:rsid w:val="00426CE1"/>
    <w:rsid w:val="00426CEC"/>
    <w:rsid w:val="00426D4A"/>
    <w:rsid w:val="00426D8A"/>
    <w:rsid w:val="00426E05"/>
    <w:rsid w:val="00426E38"/>
    <w:rsid w:val="00426E45"/>
    <w:rsid w:val="00426E52"/>
    <w:rsid w:val="00426E9A"/>
    <w:rsid w:val="00426ECB"/>
    <w:rsid w:val="00427029"/>
    <w:rsid w:val="0042704B"/>
    <w:rsid w:val="0042708C"/>
    <w:rsid w:val="00427099"/>
    <w:rsid w:val="004270E6"/>
    <w:rsid w:val="0042710A"/>
    <w:rsid w:val="0042711A"/>
    <w:rsid w:val="00427197"/>
    <w:rsid w:val="004271D7"/>
    <w:rsid w:val="00427243"/>
    <w:rsid w:val="00427273"/>
    <w:rsid w:val="00427299"/>
    <w:rsid w:val="00427340"/>
    <w:rsid w:val="00427405"/>
    <w:rsid w:val="00427439"/>
    <w:rsid w:val="0042743E"/>
    <w:rsid w:val="0042765B"/>
    <w:rsid w:val="0042766F"/>
    <w:rsid w:val="004276BD"/>
    <w:rsid w:val="004276D2"/>
    <w:rsid w:val="00427714"/>
    <w:rsid w:val="00427775"/>
    <w:rsid w:val="004277C5"/>
    <w:rsid w:val="00427929"/>
    <w:rsid w:val="004279A0"/>
    <w:rsid w:val="00427B07"/>
    <w:rsid w:val="00427B3C"/>
    <w:rsid w:val="00427B6C"/>
    <w:rsid w:val="00427B75"/>
    <w:rsid w:val="00427B8E"/>
    <w:rsid w:val="00427BA8"/>
    <w:rsid w:val="00427BE2"/>
    <w:rsid w:val="00427BFA"/>
    <w:rsid w:val="00427C5C"/>
    <w:rsid w:val="00427C9F"/>
    <w:rsid w:val="00427CD3"/>
    <w:rsid w:val="00427E05"/>
    <w:rsid w:val="00427EA7"/>
    <w:rsid w:val="00427ED9"/>
    <w:rsid w:val="00427EE2"/>
    <w:rsid w:val="00427F42"/>
    <w:rsid w:val="00427F57"/>
    <w:rsid w:val="00427F8C"/>
    <w:rsid w:val="00427F8D"/>
    <w:rsid w:val="00427FF8"/>
    <w:rsid w:val="00430019"/>
    <w:rsid w:val="00430155"/>
    <w:rsid w:val="0043015A"/>
    <w:rsid w:val="00430191"/>
    <w:rsid w:val="004301A4"/>
    <w:rsid w:val="004301B5"/>
    <w:rsid w:val="004301D4"/>
    <w:rsid w:val="004301F8"/>
    <w:rsid w:val="00430236"/>
    <w:rsid w:val="0043025E"/>
    <w:rsid w:val="00430315"/>
    <w:rsid w:val="0043037E"/>
    <w:rsid w:val="0043037F"/>
    <w:rsid w:val="004303E4"/>
    <w:rsid w:val="00430459"/>
    <w:rsid w:val="0043045E"/>
    <w:rsid w:val="004304E8"/>
    <w:rsid w:val="00430514"/>
    <w:rsid w:val="00430542"/>
    <w:rsid w:val="00430549"/>
    <w:rsid w:val="004305AA"/>
    <w:rsid w:val="004305F2"/>
    <w:rsid w:val="00430685"/>
    <w:rsid w:val="00430697"/>
    <w:rsid w:val="004306A2"/>
    <w:rsid w:val="004306F4"/>
    <w:rsid w:val="00430771"/>
    <w:rsid w:val="0043077A"/>
    <w:rsid w:val="004307BB"/>
    <w:rsid w:val="004307E2"/>
    <w:rsid w:val="004307F0"/>
    <w:rsid w:val="0043088E"/>
    <w:rsid w:val="004308F5"/>
    <w:rsid w:val="0043090E"/>
    <w:rsid w:val="00430916"/>
    <w:rsid w:val="0043096E"/>
    <w:rsid w:val="00430989"/>
    <w:rsid w:val="00430B51"/>
    <w:rsid w:val="00430C12"/>
    <w:rsid w:val="00430C63"/>
    <w:rsid w:val="00430C81"/>
    <w:rsid w:val="00430CA1"/>
    <w:rsid w:val="00430CC0"/>
    <w:rsid w:val="00430CC1"/>
    <w:rsid w:val="00430CF7"/>
    <w:rsid w:val="00430D01"/>
    <w:rsid w:val="00430D25"/>
    <w:rsid w:val="00430D3A"/>
    <w:rsid w:val="00430E5F"/>
    <w:rsid w:val="00430F05"/>
    <w:rsid w:val="00430F87"/>
    <w:rsid w:val="00430FA7"/>
    <w:rsid w:val="00431155"/>
    <w:rsid w:val="00431246"/>
    <w:rsid w:val="0043125B"/>
    <w:rsid w:val="00431330"/>
    <w:rsid w:val="0043134F"/>
    <w:rsid w:val="00431394"/>
    <w:rsid w:val="004313E8"/>
    <w:rsid w:val="00431484"/>
    <w:rsid w:val="00431517"/>
    <w:rsid w:val="0043158C"/>
    <w:rsid w:val="004315D6"/>
    <w:rsid w:val="00431657"/>
    <w:rsid w:val="0043167B"/>
    <w:rsid w:val="004316D1"/>
    <w:rsid w:val="004316D8"/>
    <w:rsid w:val="004316E0"/>
    <w:rsid w:val="00431718"/>
    <w:rsid w:val="004317AC"/>
    <w:rsid w:val="00431967"/>
    <w:rsid w:val="004319CC"/>
    <w:rsid w:val="004319DF"/>
    <w:rsid w:val="00431A4C"/>
    <w:rsid w:val="00431A72"/>
    <w:rsid w:val="00431A91"/>
    <w:rsid w:val="00431B1E"/>
    <w:rsid w:val="00431B34"/>
    <w:rsid w:val="00431B4B"/>
    <w:rsid w:val="00431B60"/>
    <w:rsid w:val="00431BCA"/>
    <w:rsid w:val="00431C36"/>
    <w:rsid w:val="00431C5F"/>
    <w:rsid w:val="00431CCB"/>
    <w:rsid w:val="00431D57"/>
    <w:rsid w:val="00431DDC"/>
    <w:rsid w:val="00431E0D"/>
    <w:rsid w:val="00431F5C"/>
    <w:rsid w:val="00431F86"/>
    <w:rsid w:val="00432088"/>
    <w:rsid w:val="004320FF"/>
    <w:rsid w:val="00432108"/>
    <w:rsid w:val="0043212D"/>
    <w:rsid w:val="004322A6"/>
    <w:rsid w:val="004322DF"/>
    <w:rsid w:val="004322EB"/>
    <w:rsid w:val="0043231E"/>
    <w:rsid w:val="0043233A"/>
    <w:rsid w:val="004323B8"/>
    <w:rsid w:val="00432455"/>
    <w:rsid w:val="0043258C"/>
    <w:rsid w:val="00432596"/>
    <w:rsid w:val="004325CC"/>
    <w:rsid w:val="00432849"/>
    <w:rsid w:val="00432854"/>
    <w:rsid w:val="00432871"/>
    <w:rsid w:val="0043288F"/>
    <w:rsid w:val="004329EA"/>
    <w:rsid w:val="00432A1C"/>
    <w:rsid w:val="00432A1D"/>
    <w:rsid w:val="00432ADE"/>
    <w:rsid w:val="00432AEF"/>
    <w:rsid w:val="00432B57"/>
    <w:rsid w:val="00432BD3"/>
    <w:rsid w:val="00432C21"/>
    <w:rsid w:val="00432C8B"/>
    <w:rsid w:val="00432D24"/>
    <w:rsid w:val="00432D89"/>
    <w:rsid w:val="00432E2C"/>
    <w:rsid w:val="00432E5B"/>
    <w:rsid w:val="00432ECC"/>
    <w:rsid w:val="00432EED"/>
    <w:rsid w:val="00432F14"/>
    <w:rsid w:val="00433029"/>
    <w:rsid w:val="00433057"/>
    <w:rsid w:val="0043307B"/>
    <w:rsid w:val="00433207"/>
    <w:rsid w:val="00433239"/>
    <w:rsid w:val="004332A2"/>
    <w:rsid w:val="004332D6"/>
    <w:rsid w:val="00433327"/>
    <w:rsid w:val="004333AF"/>
    <w:rsid w:val="004333B8"/>
    <w:rsid w:val="004334BB"/>
    <w:rsid w:val="0043357D"/>
    <w:rsid w:val="004335A4"/>
    <w:rsid w:val="00433670"/>
    <w:rsid w:val="00433680"/>
    <w:rsid w:val="0043368A"/>
    <w:rsid w:val="00433692"/>
    <w:rsid w:val="004336DC"/>
    <w:rsid w:val="00433724"/>
    <w:rsid w:val="00433751"/>
    <w:rsid w:val="00433759"/>
    <w:rsid w:val="00433761"/>
    <w:rsid w:val="00433788"/>
    <w:rsid w:val="0043387A"/>
    <w:rsid w:val="0043389D"/>
    <w:rsid w:val="0043391F"/>
    <w:rsid w:val="00433985"/>
    <w:rsid w:val="004339E3"/>
    <w:rsid w:val="00433AB6"/>
    <w:rsid w:val="00433B14"/>
    <w:rsid w:val="00433C25"/>
    <w:rsid w:val="00433C61"/>
    <w:rsid w:val="00433CEC"/>
    <w:rsid w:val="00433DCB"/>
    <w:rsid w:val="00433DF5"/>
    <w:rsid w:val="00433F6D"/>
    <w:rsid w:val="00433F90"/>
    <w:rsid w:val="00434002"/>
    <w:rsid w:val="00434062"/>
    <w:rsid w:val="0043409E"/>
    <w:rsid w:val="00434102"/>
    <w:rsid w:val="0043411D"/>
    <w:rsid w:val="0043413F"/>
    <w:rsid w:val="00434156"/>
    <w:rsid w:val="00434169"/>
    <w:rsid w:val="00434199"/>
    <w:rsid w:val="004341D8"/>
    <w:rsid w:val="0043422C"/>
    <w:rsid w:val="004342ED"/>
    <w:rsid w:val="00434382"/>
    <w:rsid w:val="004344B3"/>
    <w:rsid w:val="00434544"/>
    <w:rsid w:val="004345AA"/>
    <w:rsid w:val="004345C3"/>
    <w:rsid w:val="0043466C"/>
    <w:rsid w:val="00434688"/>
    <w:rsid w:val="00434734"/>
    <w:rsid w:val="00434747"/>
    <w:rsid w:val="004347E5"/>
    <w:rsid w:val="00434873"/>
    <w:rsid w:val="004348C0"/>
    <w:rsid w:val="004348FA"/>
    <w:rsid w:val="00434927"/>
    <w:rsid w:val="00434930"/>
    <w:rsid w:val="0043499B"/>
    <w:rsid w:val="004349ED"/>
    <w:rsid w:val="00434A71"/>
    <w:rsid w:val="00434A77"/>
    <w:rsid w:val="00434B8E"/>
    <w:rsid w:val="00434C39"/>
    <w:rsid w:val="00434C4C"/>
    <w:rsid w:val="00434D3F"/>
    <w:rsid w:val="00434D6D"/>
    <w:rsid w:val="00434DB2"/>
    <w:rsid w:val="00434EC9"/>
    <w:rsid w:val="0043500D"/>
    <w:rsid w:val="00435075"/>
    <w:rsid w:val="004351B7"/>
    <w:rsid w:val="004351EB"/>
    <w:rsid w:val="00435287"/>
    <w:rsid w:val="0043529D"/>
    <w:rsid w:val="004352C3"/>
    <w:rsid w:val="0043533B"/>
    <w:rsid w:val="00435346"/>
    <w:rsid w:val="0043537B"/>
    <w:rsid w:val="004353FA"/>
    <w:rsid w:val="004354F6"/>
    <w:rsid w:val="004355FB"/>
    <w:rsid w:val="00435622"/>
    <w:rsid w:val="00435649"/>
    <w:rsid w:val="004357FD"/>
    <w:rsid w:val="00435845"/>
    <w:rsid w:val="00435902"/>
    <w:rsid w:val="00435939"/>
    <w:rsid w:val="004359C5"/>
    <w:rsid w:val="004359F8"/>
    <w:rsid w:val="00435A80"/>
    <w:rsid w:val="00435A86"/>
    <w:rsid w:val="00435A88"/>
    <w:rsid w:val="00435AC6"/>
    <w:rsid w:val="00435ACC"/>
    <w:rsid w:val="00435B1A"/>
    <w:rsid w:val="00435B1B"/>
    <w:rsid w:val="00435BB9"/>
    <w:rsid w:val="00435C06"/>
    <w:rsid w:val="00435C08"/>
    <w:rsid w:val="00435C8C"/>
    <w:rsid w:val="00435CA0"/>
    <w:rsid w:val="00435D05"/>
    <w:rsid w:val="00435D2D"/>
    <w:rsid w:val="00435F6A"/>
    <w:rsid w:val="00435FA7"/>
    <w:rsid w:val="00436000"/>
    <w:rsid w:val="0043614C"/>
    <w:rsid w:val="0043621F"/>
    <w:rsid w:val="00436252"/>
    <w:rsid w:val="004362DC"/>
    <w:rsid w:val="00436394"/>
    <w:rsid w:val="004363E0"/>
    <w:rsid w:val="00436494"/>
    <w:rsid w:val="004366E0"/>
    <w:rsid w:val="004366FC"/>
    <w:rsid w:val="004367E5"/>
    <w:rsid w:val="00436899"/>
    <w:rsid w:val="004368A1"/>
    <w:rsid w:val="00436A35"/>
    <w:rsid w:val="00436A89"/>
    <w:rsid w:val="00436AFF"/>
    <w:rsid w:val="00436B6A"/>
    <w:rsid w:val="00436B88"/>
    <w:rsid w:val="00436BEF"/>
    <w:rsid w:val="00436C47"/>
    <w:rsid w:val="00436CCC"/>
    <w:rsid w:val="00436D15"/>
    <w:rsid w:val="00436D68"/>
    <w:rsid w:val="00436DB8"/>
    <w:rsid w:val="00436DE3"/>
    <w:rsid w:val="00436E16"/>
    <w:rsid w:val="00436E64"/>
    <w:rsid w:val="00436EC2"/>
    <w:rsid w:val="00436F3E"/>
    <w:rsid w:val="00436FB0"/>
    <w:rsid w:val="00436FCC"/>
    <w:rsid w:val="00437002"/>
    <w:rsid w:val="004370C2"/>
    <w:rsid w:val="004370DF"/>
    <w:rsid w:val="00437164"/>
    <w:rsid w:val="0043718B"/>
    <w:rsid w:val="004371D2"/>
    <w:rsid w:val="00437261"/>
    <w:rsid w:val="00437273"/>
    <w:rsid w:val="004372FA"/>
    <w:rsid w:val="0043731E"/>
    <w:rsid w:val="0043733E"/>
    <w:rsid w:val="00437367"/>
    <w:rsid w:val="004373AB"/>
    <w:rsid w:val="004373DA"/>
    <w:rsid w:val="0043741D"/>
    <w:rsid w:val="00437476"/>
    <w:rsid w:val="0043747D"/>
    <w:rsid w:val="00437481"/>
    <w:rsid w:val="004374BB"/>
    <w:rsid w:val="00437528"/>
    <w:rsid w:val="00437564"/>
    <w:rsid w:val="004375D4"/>
    <w:rsid w:val="0043769C"/>
    <w:rsid w:val="004376A4"/>
    <w:rsid w:val="004377BC"/>
    <w:rsid w:val="004377C9"/>
    <w:rsid w:val="00437808"/>
    <w:rsid w:val="004378F8"/>
    <w:rsid w:val="0043796E"/>
    <w:rsid w:val="0043798B"/>
    <w:rsid w:val="00437B18"/>
    <w:rsid w:val="00437BBD"/>
    <w:rsid w:val="00437BE0"/>
    <w:rsid w:val="00437CDA"/>
    <w:rsid w:val="00437D4C"/>
    <w:rsid w:val="00437DBB"/>
    <w:rsid w:val="00437DBF"/>
    <w:rsid w:val="00437E13"/>
    <w:rsid w:val="00437E72"/>
    <w:rsid w:val="00437E8E"/>
    <w:rsid w:val="00437F01"/>
    <w:rsid w:val="004400EE"/>
    <w:rsid w:val="0044015A"/>
    <w:rsid w:val="004402AF"/>
    <w:rsid w:val="00440442"/>
    <w:rsid w:val="0044044D"/>
    <w:rsid w:val="00440574"/>
    <w:rsid w:val="00440588"/>
    <w:rsid w:val="004405AC"/>
    <w:rsid w:val="004405CB"/>
    <w:rsid w:val="004405E8"/>
    <w:rsid w:val="00440672"/>
    <w:rsid w:val="004406CB"/>
    <w:rsid w:val="004406F3"/>
    <w:rsid w:val="00440761"/>
    <w:rsid w:val="00440776"/>
    <w:rsid w:val="004407AE"/>
    <w:rsid w:val="004407C0"/>
    <w:rsid w:val="004407E9"/>
    <w:rsid w:val="00440815"/>
    <w:rsid w:val="004408CC"/>
    <w:rsid w:val="0044091E"/>
    <w:rsid w:val="00440A1E"/>
    <w:rsid w:val="00440A4C"/>
    <w:rsid w:val="00440A56"/>
    <w:rsid w:val="00440A5D"/>
    <w:rsid w:val="00440A89"/>
    <w:rsid w:val="00440AD6"/>
    <w:rsid w:val="00440B54"/>
    <w:rsid w:val="00440BF6"/>
    <w:rsid w:val="00440C1C"/>
    <w:rsid w:val="00440CC5"/>
    <w:rsid w:val="00440D52"/>
    <w:rsid w:val="00440D86"/>
    <w:rsid w:val="00440EBE"/>
    <w:rsid w:val="00440F1B"/>
    <w:rsid w:val="00440FB2"/>
    <w:rsid w:val="00440FBA"/>
    <w:rsid w:val="0044102A"/>
    <w:rsid w:val="0044108D"/>
    <w:rsid w:val="004410C5"/>
    <w:rsid w:val="004410DE"/>
    <w:rsid w:val="004410F0"/>
    <w:rsid w:val="00441118"/>
    <w:rsid w:val="00441157"/>
    <w:rsid w:val="004411D6"/>
    <w:rsid w:val="004411E7"/>
    <w:rsid w:val="00441455"/>
    <w:rsid w:val="004415CA"/>
    <w:rsid w:val="004415FE"/>
    <w:rsid w:val="00441621"/>
    <w:rsid w:val="00441660"/>
    <w:rsid w:val="004416E5"/>
    <w:rsid w:val="00441710"/>
    <w:rsid w:val="00441738"/>
    <w:rsid w:val="00441784"/>
    <w:rsid w:val="00441787"/>
    <w:rsid w:val="004417C6"/>
    <w:rsid w:val="00441890"/>
    <w:rsid w:val="0044189F"/>
    <w:rsid w:val="004418A7"/>
    <w:rsid w:val="004418B0"/>
    <w:rsid w:val="004418BD"/>
    <w:rsid w:val="004418F9"/>
    <w:rsid w:val="004419BC"/>
    <w:rsid w:val="00441A1C"/>
    <w:rsid w:val="00441A74"/>
    <w:rsid w:val="00441B32"/>
    <w:rsid w:val="00441B33"/>
    <w:rsid w:val="00441B58"/>
    <w:rsid w:val="00441B73"/>
    <w:rsid w:val="00441BE7"/>
    <w:rsid w:val="00441C2A"/>
    <w:rsid w:val="00441D01"/>
    <w:rsid w:val="00441D96"/>
    <w:rsid w:val="00441DC0"/>
    <w:rsid w:val="00441DEC"/>
    <w:rsid w:val="00441EA2"/>
    <w:rsid w:val="00441F84"/>
    <w:rsid w:val="00441FFE"/>
    <w:rsid w:val="00442071"/>
    <w:rsid w:val="0044208F"/>
    <w:rsid w:val="00442102"/>
    <w:rsid w:val="004421A0"/>
    <w:rsid w:val="004421B6"/>
    <w:rsid w:val="004421C3"/>
    <w:rsid w:val="0044224A"/>
    <w:rsid w:val="00442268"/>
    <w:rsid w:val="004422B5"/>
    <w:rsid w:val="00442368"/>
    <w:rsid w:val="00442397"/>
    <w:rsid w:val="00442473"/>
    <w:rsid w:val="004424B2"/>
    <w:rsid w:val="00442519"/>
    <w:rsid w:val="00442596"/>
    <w:rsid w:val="004425C9"/>
    <w:rsid w:val="00442690"/>
    <w:rsid w:val="004426EB"/>
    <w:rsid w:val="00442796"/>
    <w:rsid w:val="004427B2"/>
    <w:rsid w:val="004427B6"/>
    <w:rsid w:val="00442800"/>
    <w:rsid w:val="00442840"/>
    <w:rsid w:val="00442886"/>
    <w:rsid w:val="004428A4"/>
    <w:rsid w:val="00442A2E"/>
    <w:rsid w:val="00442B37"/>
    <w:rsid w:val="00442B82"/>
    <w:rsid w:val="00442B87"/>
    <w:rsid w:val="00442B8F"/>
    <w:rsid w:val="00442BBB"/>
    <w:rsid w:val="00442C73"/>
    <w:rsid w:val="00442CA3"/>
    <w:rsid w:val="00442CD0"/>
    <w:rsid w:val="00442CD6"/>
    <w:rsid w:val="00442D0D"/>
    <w:rsid w:val="00442D21"/>
    <w:rsid w:val="00442D42"/>
    <w:rsid w:val="00442D66"/>
    <w:rsid w:val="00442DA7"/>
    <w:rsid w:val="00442E04"/>
    <w:rsid w:val="00442E25"/>
    <w:rsid w:val="00442E2C"/>
    <w:rsid w:val="00442F34"/>
    <w:rsid w:val="00442F56"/>
    <w:rsid w:val="0044307B"/>
    <w:rsid w:val="004430AE"/>
    <w:rsid w:val="004430CB"/>
    <w:rsid w:val="004430F7"/>
    <w:rsid w:val="00443126"/>
    <w:rsid w:val="00443190"/>
    <w:rsid w:val="004431DC"/>
    <w:rsid w:val="00443277"/>
    <w:rsid w:val="00443289"/>
    <w:rsid w:val="004432DA"/>
    <w:rsid w:val="004433A7"/>
    <w:rsid w:val="004435A5"/>
    <w:rsid w:val="004435F8"/>
    <w:rsid w:val="00443633"/>
    <w:rsid w:val="004436E6"/>
    <w:rsid w:val="004436F0"/>
    <w:rsid w:val="004437BE"/>
    <w:rsid w:val="004437F8"/>
    <w:rsid w:val="00443887"/>
    <w:rsid w:val="00443919"/>
    <w:rsid w:val="00443948"/>
    <w:rsid w:val="0044394E"/>
    <w:rsid w:val="00443A05"/>
    <w:rsid w:val="00443A36"/>
    <w:rsid w:val="00443B42"/>
    <w:rsid w:val="00443BB9"/>
    <w:rsid w:val="00443BD2"/>
    <w:rsid w:val="00443C35"/>
    <w:rsid w:val="00443C7D"/>
    <w:rsid w:val="00443C84"/>
    <w:rsid w:val="00443D03"/>
    <w:rsid w:val="00443D17"/>
    <w:rsid w:val="00443D9D"/>
    <w:rsid w:val="00443DF8"/>
    <w:rsid w:val="00443E8A"/>
    <w:rsid w:val="00443F3D"/>
    <w:rsid w:val="00443FAB"/>
    <w:rsid w:val="00444002"/>
    <w:rsid w:val="0044404A"/>
    <w:rsid w:val="0044406D"/>
    <w:rsid w:val="004440DC"/>
    <w:rsid w:val="004441C1"/>
    <w:rsid w:val="004442C9"/>
    <w:rsid w:val="004444CC"/>
    <w:rsid w:val="00444526"/>
    <w:rsid w:val="0044452A"/>
    <w:rsid w:val="0044463F"/>
    <w:rsid w:val="004446AB"/>
    <w:rsid w:val="004446E7"/>
    <w:rsid w:val="0044473C"/>
    <w:rsid w:val="0044473E"/>
    <w:rsid w:val="0044474D"/>
    <w:rsid w:val="00444804"/>
    <w:rsid w:val="0044490E"/>
    <w:rsid w:val="0044492B"/>
    <w:rsid w:val="0044495E"/>
    <w:rsid w:val="004449A9"/>
    <w:rsid w:val="004449BD"/>
    <w:rsid w:val="00444A35"/>
    <w:rsid w:val="00444A5F"/>
    <w:rsid w:val="00444A9C"/>
    <w:rsid w:val="00444AD9"/>
    <w:rsid w:val="00444B73"/>
    <w:rsid w:val="00444B8F"/>
    <w:rsid w:val="00444C21"/>
    <w:rsid w:val="00444C7F"/>
    <w:rsid w:val="00444D6F"/>
    <w:rsid w:val="00444D82"/>
    <w:rsid w:val="00444E26"/>
    <w:rsid w:val="00444E5E"/>
    <w:rsid w:val="00444E6E"/>
    <w:rsid w:val="00444E77"/>
    <w:rsid w:val="00444EBE"/>
    <w:rsid w:val="00444EDF"/>
    <w:rsid w:val="00444F17"/>
    <w:rsid w:val="00444F4F"/>
    <w:rsid w:val="00444F9A"/>
    <w:rsid w:val="00444FD8"/>
    <w:rsid w:val="00445022"/>
    <w:rsid w:val="0044502D"/>
    <w:rsid w:val="0044502E"/>
    <w:rsid w:val="00445096"/>
    <w:rsid w:val="00445188"/>
    <w:rsid w:val="00445199"/>
    <w:rsid w:val="004451DC"/>
    <w:rsid w:val="004451E7"/>
    <w:rsid w:val="00445212"/>
    <w:rsid w:val="00445229"/>
    <w:rsid w:val="00445251"/>
    <w:rsid w:val="0044527D"/>
    <w:rsid w:val="004452B5"/>
    <w:rsid w:val="0044531A"/>
    <w:rsid w:val="00445365"/>
    <w:rsid w:val="00445400"/>
    <w:rsid w:val="00445402"/>
    <w:rsid w:val="00445421"/>
    <w:rsid w:val="004454AB"/>
    <w:rsid w:val="00445571"/>
    <w:rsid w:val="00445575"/>
    <w:rsid w:val="0044566E"/>
    <w:rsid w:val="00445747"/>
    <w:rsid w:val="004458B6"/>
    <w:rsid w:val="00445931"/>
    <w:rsid w:val="00445959"/>
    <w:rsid w:val="00445999"/>
    <w:rsid w:val="00445A2E"/>
    <w:rsid w:val="00445A68"/>
    <w:rsid w:val="00445C25"/>
    <w:rsid w:val="00445C40"/>
    <w:rsid w:val="00445C58"/>
    <w:rsid w:val="00445C66"/>
    <w:rsid w:val="00445C94"/>
    <w:rsid w:val="00445C96"/>
    <w:rsid w:val="00445CBC"/>
    <w:rsid w:val="00445D2D"/>
    <w:rsid w:val="00445DFD"/>
    <w:rsid w:val="00445E6C"/>
    <w:rsid w:val="00445E97"/>
    <w:rsid w:val="00445EAF"/>
    <w:rsid w:val="00445F73"/>
    <w:rsid w:val="00445FF5"/>
    <w:rsid w:val="00446057"/>
    <w:rsid w:val="0044609F"/>
    <w:rsid w:val="004460ED"/>
    <w:rsid w:val="00446166"/>
    <w:rsid w:val="004461E1"/>
    <w:rsid w:val="00446219"/>
    <w:rsid w:val="00446237"/>
    <w:rsid w:val="0044628B"/>
    <w:rsid w:val="00446306"/>
    <w:rsid w:val="004463A4"/>
    <w:rsid w:val="00446455"/>
    <w:rsid w:val="00446571"/>
    <w:rsid w:val="00446589"/>
    <w:rsid w:val="0044661E"/>
    <w:rsid w:val="0044662D"/>
    <w:rsid w:val="0044676E"/>
    <w:rsid w:val="00446812"/>
    <w:rsid w:val="00446827"/>
    <w:rsid w:val="004468D0"/>
    <w:rsid w:val="004468F8"/>
    <w:rsid w:val="004468FC"/>
    <w:rsid w:val="00446955"/>
    <w:rsid w:val="00446987"/>
    <w:rsid w:val="00446A04"/>
    <w:rsid w:val="00446A82"/>
    <w:rsid w:val="00446AE3"/>
    <w:rsid w:val="00446AF2"/>
    <w:rsid w:val="00446BC5"/>
    <w:rsid w:val="00446BDF"/>
    <w:rsid w:val="00446BED"/>
    <w:rsid w:val="00446C33"/>
    <w:rsid w:val="00446CA0"/>
    <w:rsid w:val="00446CF6"/>
    <w:rsid w:val="00446CFE"/>
    <w:rsid w:val="00446D22"/>
    <w:rsid w:val="00446D34"/>
    <w:rsid w:val="00446D83"/>
    <w:rsid w:val="00446D93"/>
    <w:rsid w:val="00446DC6"/>
    <w:rsid w:val="00446DE1"/>
    <w:rsid w:val="00446E2A"/>
    <w:rsid w:val="00446EF9"/>
    <w:rsid w:val="00446F83"/>
    <w:rsid w:val="00446F9E"/>
    <w:rsid w:val="00446FAF"/>
    <w:rsid w:val="0044702D"/>
    <w:rsid w:val="004470FB"/>
    <w:rsid w:val="00447110"/>
    <w:rsid w:val="00447176"/>
    <w:rsid w:val="0044718D"/>
    <w:rsid w:val="004471D2"/>
    <w:rsid w:val="00447346"/>
    <w:rsid w:val="00447351"/>
    <w:rsid w:val="00447357"/>
    <w:rsid w:val="0044737E"/>
    <w:rsid w:val="00447420"/>
    <w:rsid w:val="00447481"/>
    <w:rsid w:val="004474A2"/>
    <w:rsid w:val="00447503"/>
    <w:rsid w:val="0044751D"/>
    <w:rsid w:val="00447539"/>
    <w:rsid w:val="00447549"/>
    <w:rsid w:val="00447657"/>
    <w:rsid w:val="004476C2"/>
    <w:rsid w:val="004476E3"/>
    <w:rsid w:val="004477E2"/>
    <w:rsid w:val="0044789B"/>
    <w:rsid w:val="0044790B"/>
    <w:rsid w:val="00447985"/>
    <w:rsid w:val="00447994"/>
    <w:rsid w:val="00447A03"/>
    <w:rsid w:val="00447A6B"/>
    <w:rsid w:val="00447ABE"/>
    <w:rsid w:val="00447CCC"/>
    <w:rsid w:val="00447DB4"/>
    <w:rsid w:val="00447DB5"/>
    <w:rsid w:val="00447EA6"/>
    <w:rsid w:val="00447F6E"/>
    <w:rsid w:val="00450030"/>
    <w:rsid w:val="0045005A"/>
    <w:rsid w:val="00450084"/>
    <w:rsid w:val="00450085"/>
    <w:rsid w:val="004500C8"/>
    <w:rsid w:val="00450103"/>
    <w:rsid w:val="0045013D"/>
    <w:rsid w:val="0045016D"/>
    <w:rsid w:val="004501AE"/>
    <w:rsid w:val="004501B4"/>
    <w:rsid w:val="004501B5"/>
    <w:rsid w:val="0045022D"/>
    <w:rsid w:val="00450246"/>
    <w:rsid w:val="00450266"/>
    <w:rsid w:val="00450372"/>
    <w:rsid w:val="004503A0"/>
    <w:rsid w:val="004503EC"/>
    <w:rsid w:val="004503FE"/>
    <w:rsid w:val="00450473"/>
    <w:rsid w:val="00450486"/>
    <w:rsid w:val="0045059D"/>
    <w:rsid w:val="00450619"/>
    <w:rsid w:val="0045061B"/>
    <w:rsid w:val="0045071B"/>
    <w:rsid w:val="00450788"/>
    <w:rsid w:val="00450822"/>
    <w:rsid w:val="004508D3"/>
    <w:rsid w:val="004508E7"/>
    <w:rsid w:val="0045093E"/>
    <w:rsid w:val="00450972"/>
    <w:rsid w:val="00450974"/>
    <w:rsid w:val="00450A47"/>
    <w:rsid w:val="00450AEA"/>
    <w:rsid w:val="00450B04"/>
    <w:rsid w:val="00450B6A"/>
    <w:rsid w:val="00450BE2"/>
    <w:rsid w:val="00450C30"/>
    <w:rsid w:val="00450C5F"/>
    <w:rsid w:val="00450D40"/>
    <w:rsid w:val="00450D83"/>
    <w:rsid w:val="00450DD2"/>
    <w:rsid w:val="00450DD8"/>
    <w:rsid w:val="00450DF4"/>
    <w:rsid w:val="00450E53"/>
    <w:rsid w:val="00450E70"/>
    <w:rsid w:val="00451063"/>
    <w:rsid w:val="00451108"/>
    <w:rsid w:val="00451110"/>
    <w:rsid w:val="004511AF"/>
    <w:rsid w:val="0045123E"/>
    <w:rsid w:val="00451241"/>
    <w:rsid w:val="004512F3"/>
    <w:rsid w:val="00451393"/>
    <w:rsid w:val="0045157C"/>
    <w:rsid w:val="0045161A"/>
    <w:rsid w:val="004516BA"/>
    <w:rsid w:val="00451782"/>
    <w:rsid w:val="00451875"/>
    <w:rsid w:val="004518AA"/>
    <w:rsid w:val="00451972"/>
    <w:rsid w:val="004519E5"/>
    <w:rsid w:val="00451A46"/>
    <w:rsid w:val="00451A94"/>
    <w:rsid w:val="00451BB6"/>
    <w:rsid w:val="00451BBA"/>
    <w:rsid w:val="00451C5E"/>
    <w:rsid w:val="00451CA8"/>
    <w:rsid w:val="00451CE2"/>
    <w:rsid w:val="00451EBA"/>
    <w:rsid w:val="00451FDD"/>
    <w:rsid w:val="0045220B"/>
    <w:rsid w:val="00452215"/>
    <w:rsid w:val="0045223B"/>
    <w:rsid w:val="00452268"/>
    <w:rsid w:val="00452297"/>
    <w:rsid w:val="004522B4"/>
    <w:rsid w:val="0045244F"/>
    <w:rsid w:val="0045248E"/>
    <w:rsid w:val="004524BE"/>
    <w:rsid w:val="004524FF"/>
    <w:rsid w:val="00452514"/>
    <w:rsid w:val="00452518"/>
    <w:rsid w:val="00452667"/>
    <w:rsid w:val="0045286E"/>
    <w:rsid w:val="0045289C"/>
    <w:rsid w:val="00452937"/>
    <w:rsid w:val="00452A4A"/>
    <w:rsid w:val="00452A4B"/>
    <w:rsid w:val="00452A90"/>
    <w:rsid w:val="00452AC5"/>
    <w:rsid w:val="00452B2E"/>
    <w:rsid w:val="00452B39"/>
    <w:rsid w:val="00452B7B"/>
    <w:rsid w:val="00452BD1"/>
    <w:rsid w:val="00452C4D"/>
    <w:rsid w:val="00452CE1"/>
    <w:rsid w:val="00452CF1"/>
    <w:rsid w:val="00452D8D"/>
    <w:rsid w:val="00452DEB"/>
    <w:rsid w:val="00452E30"/>
    <w:rsid w:val="00452EDD"/>
    <w:rsid w:val="00452F0F"/>
    <w:rsid w:val="00452F8F"/>
    <w:rsid w:val="00452FDD"/>
    <w:rsid w:val="00452FEB"/>
    <w:rsid w:val="00452FF4"/>
    <w:rsid w:val="00452FF9"/>
    <w:rsid w:val="004530C7"/>
    <w:rsid w:val="004531B3"/>
    <w:rsid w:val="0045321B"/>
    <w:rsid w:val="00453242"/>
    <w:rsid w:val="00453312"/>
    <w:rsid w:val="004534E1"/>
    <w:rsid w:val="004534F0"/>
    <w:rsid w:val="00453527"/>
    <w:rsid w:val="0045359B"/>
    <w:rsid w:val="004535D7"/>
    <w:rsid w:val="004536A8"/>
    <w:rsid w:val="004536C8"/>
    <w:rsid w:val="004536DA"/>
    <w:rsid w:val="00453743"/>
    <w:rsid w:val="004537D3"/>
    <w:rsid w:val="00453809"/>
    <w:rsid w:val="004538AB"/>
    <w:rsid w:val="004538F6"/>
    <w:rsid w:val="00453975"/>
    <w:rsid w:val="004539B9"/>
    <w:rsid w:val="004539C6"/>
    <w:rsid w:val="00453A5A"/>
    <w:rsid w:val="00453A93"/>
    <w:rsid w:val="00453B1E"/>
    <w:rsid w:val="00453B20"/>
    <w:rsid w:val="00453B38"/>
    <w:rsid w:val="00453B59"/>
    <w:rsid w:val="00453BB5"/>
    <w:rsid w:val="00453BD2"/>
    <w:rsid w:val="00453C6D"/>
    <w:rsid w:val="00453D75"/>
    <w:rsid w:val="00453DE4"/>
    <w:rsid w:val="00453FB2"/>
    <w:rsid w:val="00453FE3"/>
    <w:rsid w:val="00454021"/>
    <w:rsid w:val="00454058"/>
    <w:rsid w:val="00454123"/>
    <w:rsid w:val="00454137"/>
    <w:rsid w:val="004541FA"/>
    <w:rsid w:val="0045425D"/>
    <w:rsid w:val="0045433D"/>
    <w:rsid w:val="004543FA"/>
    <w:rsid w:val="00454421"/>
    <w:rsid w:val="0045447A"/>
    <w:rsid w:val="004544D7"/>
    <w:rsid w:val="004544E0"/>
    <w:rsid w:val="00454501"/>
    <w:rsid w:val="00454571"/>
    <w:rsid w:val="004545D1"/>
    <w:rsid w:val="0045460E"/>
    <w:rsid w:val="004548FD"/>
    <w:rsid w:val="00454935"/>
    <w:rsid w:val="0045499C"/>
    <w:rsid w:val="004549C2"/>
    <w:rsid w:val="00454A6A"/>
    <w:rsid w:val="00454AAA"/>
    <w:rsid w:val="00454AE9"/>
    <w:rsid w:val="00454B18"/>
    <w:rsid w:val="00454B98"/>
    <w:rsid w:val="00454BA1"/>
    <w:rsid w:val="00454BD7"/>
    <w:rsid w:val="00454C78"/>
    <w:rsid w:val="00454C9D"/>
    <w:rsid w:val="00454EAB"/>
    <w:rsid w:val="00454EBD"/>
    <w:rsid w:val="00454F5F"/>
    <w:rsid w:val="00454F96"/>
    <w:rsid w:val="00454FA3"/>
    <w:rsid w:val="00455048"/>
    <w:rsid w:val="0045504E"/>
    <w:rsid w:val="004550BE"/>
    <w:rsid w:val="004550C1"/>
    <w:rsid w:val="004550C7"/>
    <w:rsid w:val="004551AB"/>
    <w:rsid w:val="004551C4"/>
    <w:rsid w:val="00455278"/>
    <w:rsid w:val="00455308"/>
    <w:rsid w:val="00455332"/>
    <w:rsid w:val="004554C4"/>
    <w:rsid w:val="004554F1"/>
    <w:rsid w:val="00455571"/>
    <w:rsid w:val="004556EC"/>
    <w:rsid w:val="0045587F"/>
    <w:rsid w:val="004558B0"/>
    <w:rsid w:val="00455938"/>
    <w:rsid w:val="00455969"/>
    <w:rsid w:val="0045596E"/>
    <w:rsid w:val="004559D7"/>
    <w:rsid w:val="004559F8"/>
    <w:rsid w:val="00455A73"/>
    <w:rsid w:val="00455A8F"/>
    <w:rsid w:val="00455ADA"/>
    <w:rsid w:val="00455BB1"/>
    <w:rsid w:val="00455BC4"/>
    <w:rsid w:val="00455D31"/>
    <w:rsid w:val="00455D38"/>
    <w:rsid w:val="00455D7F"/>
    <w:rsid w:val="00455D81"/>
    <w:rsid w:val="00455DCA"/>
    <w:rsid w:val="00455E6E"/>
    <w:rsid w:val="00455E7A"/>
    <w:rsid w:val="00455EAB"/>
    <w:rsid w:val="00455F5D"/>
    <w:rsid w:val="00456019"/>
    <w:rsid w:val="0045606C"/>
    <w:rsid w:val="00456099"/>
    <w:rsid w:val="00456244"/>
    <w:rsid w:val="004562F9"/>
    <w:rsid w:val="004563F0"/>
    <w:rsid w:val="00456486"/>
    <w:rsid w:val="004564F7"/>
    <w:rsid w:val="0045651A"/>
    <w:rsid w:val="0045657F"/>
    <w:rsid w:val="004565DA"/>
    <w:rsid w:val="00456620"/>
    <w:rsid w:val="00456673"/>
    <w:rsid w:val="004566EE"/>
    <w:rsid w:val="0045673D"/>
    <w:rsid w:val="0045678C"/>
    <w:rsid w:val="004567D8"/>
    <w:rsid w:val="00456919"/>
    <w:rsid w:val="00456925"/>
    <w:rsid w:val="004569BB"/>
    <w:rsid w:val="004569C6"/>
    <w:rsid w:val="00456A09"/>
    <w:rsid w:val="00456AB2"/>
    <w:rsid w:val="00456B0B"/>
    <w:rsid w:val="00456B53"/>
    <w:rsid w:val="00456BFE"/>
    <w:rsid w:val="00456CA3"/>
    <w:rsid w:val="00456CDB"/>
    <w:rsid w:val="00456CE1"/>
    <w:rsid w:val="00456DC3"/>
    <w:rsid w:val="00456E40"/>
    <w:rsid w:val="00456F0E"/>
    <w:rsid w:val="00456F84"/>
    <w:rsid w:val="00456F90"/>
    <w:rsid w:val="00457067"/>
    <w:rsid w:val="004570A1"/>
    <w:rsid w:val="004570D1"/>
    <w:rsid w:val="004570F0"/>
    <w:rsid w:val="004572F1"/>
    <w:rsid w:val="0045732E"/>
    <w:rsid w:val="00457490"/>
    <w:rsid w:val="004574FE"/>
    <w:rsid w:val="00457529"/>
    <w:rsid w:val="00457661"/>
    <w:rsid w:val="004576BD"/>
    <w:rsid w:val="00457782"/>
    <w:rsid w:val="0045778D"/>
    <w:rsid w:val="0045791F"/>
    <w:rsid w:val="00457987"/>
    <w:rsid w:val="004579BA"/>
    <w:rsid w:val="00457A1A"/>
    <w:rsid w:val="00457A39"/>
    <w:rsid w:val="00457A40"/>
    <w:rsid w:val="00457AA2"/>
    <w:rsid w:val="00457ACF"/>
    <w:rsid w:val="00457B49"/>
    <w:rsid w:val="00457BD4"/>
    <w:rsid w:val="00457C2B"/>
    <w:rsid w:val="00457C7C"/>
    <w:rsid w:val="00457D25"/>
    <w:rsid w:val="00457DF1"/>
    <w:rsid w:val="00457ED3"/>
    <w:rsid w:val="00457EEB"/>
    <w:rsid w:val="00457F61"/>
    <w:rsid w:val="00457FF9"/>
    <w:rsid w:val="004600A2"/>
    <w:rsid w:val="00460228"/>
    <w:rsid w:val="004602EF"/>
    <w:rsid w:val="004602FE"/>
    <w:rsid w:val="00460312"/>
    <w:rsid w:val="0046033C"/>
    <w:rsid w:val="00460354"/>
    <w:rsid w:val="004603FC"/>
    <w:rsid w:val="0046058F"/>
    <w:rsid w:val="0046063F"/>
    <w:rsid w:val="00460665"/>
    <w:rsid w:val="004606A1"/>
    <w:rsid w:val="0046081E"/>
    <w:rsid w:val="0046089D"/>
    <w:rsid w:val="004608C6"/>
    <w:rsid w:val="0046093A"/>
    <w:rsid w:val="00460956"/>
    <w:rsid w:val="00460962"/>
    <w:rsid w:val="004609AC"/>
    <w:rsid w:val="00460ABD"/>
    <w:rsid w:val="00460AE1"/>
    <w:rsid w:val="00460C85"/>
    <w:rsid w:val="00460D05"/>
    <w:rsid w:val="00460D15"/>
    <w:rsid w:val="00460D35"/>
    <w:rsid w:val="00460E35"/>
    <w:rsid w:val="00460E8E"/>
    <w:rsid w:val="00460F62"/>
    <w:rsid w:val="00460FA1"/>
    <w:rsid w:val="00460FB0"/>
    <w:rsid w:val="0046117B"/>
    <w:rsid w:val="004611BC"/>
    <w:rsid w:val="004611BF"/>
    <w:rsid w:val="004611F1"/>
    <w:rsid w:val="004612E8"/>
    <w:rsid w:val="00461305"/>
    <w:rsid w:val="00461378"/>
    <w:rsid w:val="0046138E"/>
    <w:rsid w:val="0046149B"/>
    <w:rsid w:val="0046149C"/>
    <w:rsid w:val="004614E7"/>
    <w:rsid w:val="004615F7"/>
    <w:rsid w:val="004616D2"/>
    <w:rsid w:val="004617A6"/>
    <w:rsid w:val="00461835"/>
    <w:rsid w:val="0046183C"/>
    <w:rsid w:val="00461850"/>
    <w:rsid w:val="00461856"/>
    <w:rsid w:val="0046187E"/>
    <w:rsid w:val="004618B5"/>
    <w:rsid w:val="00461900"/>
    <w:rsid w:val="0046190C"/>
    <w:rsid w:val="004619E7"/>
    <w:rsid w:val="00461ACB"/>
    <w:rsid w:val="00461B13"/>
    <w:rsid w:val="00461B22"/>
    <w:rsid w:val="00461B7B"/>
    <w:rsid w:val="00461BF0"/>
    <w:rsid w:val="00461C01"/>
    <w:rsid w:val="00461C6A"/>
    <w:rsid w:val="00461C79"/>
    <w:rsid w:val="00461CBD"/>
    <w:rsid w:val="00461CE9"/>
    <w:rsid w:val="00461CED"/>
    <w:rsid w:val="00461D15"/>
    <w:rsid w:val="00461D2B"/>
    <w:rsid w:val="00461D35"/>
    <w:rsid w:val="00461DE9"/>
    <w:rsid w:val="00461E69"/>
    <w:rsid w:val="00461EA4"/>
    <w:rsid w:val="00461F6A"/>
    <w:rsid w:val="00461F74"/>
    <w:rsid w:val="004620C3"/>
    <w:rsid w:val="00462180"/>
    <w:rsid w:val="004621BF"/>
    <w:rsid w:val="004621FC"/>
    <w:rsid w:val="00462241"/>
    <w:rsid w:val="0046224E"/>
    <w:rsid w:val="0046225F"/>
    <w:rsid w:val="004622A5"/>
    <w:rsid w:val="0046230A"/>
    <w:rsid w:val="0046240B"/>
    <w:rsid w:val="004624A0"/>
    <w:rsid w:val="00462520"/>
    <w:rsid w:val="0046253C"/>
    <w:rsid w:val="00462594"/>
    <w:rsid w:val="004625E3"/>
    <w:rsid w:val="0046267B"/>
    <w:rsid w:val="00462686"/>
    <w:rsid w:val="004627A7"/>
    <w:rsid w:val="004627A8"/>
    <w:rsid w:val="004628FD"/>
    <w:rsid w:val="0046291F"/>
    <w:rsid w:val="0046297F"/>
    <w:rsid w:val="0046298E"/>
    <w:rsid w:val="00462A43"/>
    <w:rsid w:val="00462A7B"/>
    <w:rsid w:val="00462BD5"/>
    <w:rsid w:val="00462C36"/>
    <w:rsid w:val="00462C45"/>
    <w:rsid w:val="00462CFF"/>
    <w:rsid w:val="00462D18"/>
    <w:rsid w:val="00462DD0"/>
    <w:rsid w:val="00462E35"/>
    <w:rsid w:val="00462E6B"/>
    <w:rsid w:val="00462E80"/>
    <w:rsid w:val="00462ECA"/>
    <w:rsid w:val="00462ECD"/>
    <w:rsid w:val="00462EE0"/>
    <w:rsid w:val="00462F3B"/>
    <w:rsid w:val="00462F63"/>
    <w:rsid w:val="00462F64"/>
    <w:rsid w:val="00462FAF"/>
    <w:rsid w:val="00463058"/>
    <w:rsid w:val="0046306E"/>
    <w:rsid w:val="00463159"/>
    <w:rsid w:val="004631CD"/>
    <w:rsid w:val="0046335F"/>
    <w:rsid w:val="004633FC"/>
    <w:rsid w:val="004634E2"/>
    <w:rsid w:val="004634EE"/>
    <w:rsid w:val="00463554"/>
    <w:rsid w:val="00463760"/>
    <w:rsid w:val="004637CB"/>
    <w:rsid w:val="004637E0"/>
    <w:rsid w:val="004637F0"/>
    <w:rsid w:val="004638AE"/>
    <w:rsid w:val="004638B0"/>
    <w:rsid w:val="004639D1"/>
    <w:rsid w:val="00463A7F"/>
    <w:rsid w:val="00463ACA"/>
    <w:rsid w:val="00463B17"/>
    <w:rsid w:val="00463B4E"/>
    <w:rsid w:val="00463C4F"/>
    <w:rsid w:val="00463C78"/>
    <w:rsid w:val="00463CBB"/>
    <w:rsid w:val="00463CD0"/>
    <w:rsid w:val="00463D09"/>
    <w:rsid w:val="00463E0A"/>
    <w:rsid w:val="00463E30"/>
    <w:rsid w:val="00463E95"/>
    <w:rsid w:val="00463F0F"/>
    <w:rsid w:val="00463F77"/>
    <w:rsid w:val="00463FBB"/>
    <w:rsid w:val="00464165"/>
    <w:rsid w:val="00464174"/>
    <w:rsid w:val="00464219"/>
    <w:rsid w:val="00464246"/>
    <w:rsid w:val="004642B8"/>
    <w:rsid w:val="00464349"/>
    <w:rsid w:val="00464354"/>
    <w:rsid w:val="004644C4"/>
    <w:rsid w:val="0046456C"/>
    <w:rsid w:val="00464608"/>
    <w:rsid w:val="004646A1"/>
    <w:rsid w:val="00464769"/>
    <w:rsid w:val="004647E4"/>
    <w:rsid w:val="004649CB"/>
    <w:rsid w:val="004649DF"/>
    <w:rsid w:val="00464A5B"/>
    <w:rsid w:val="00464ABD"/>
    <w:rsid w:val="00464B28"/>
    <w:rsid w:val="00464BEC"/>
    <w:rsid w:val="00464D6F"/>
    <w:rsid w:val="00464DEC"/>
    <w:rsid w:val="00464E25"/>
    <w:rsid w:val="00464E5C"/>
    <w:rsid w:val="00464E7C"/>
    <w:rsid w:val="00464E9B"/>
    <w:rsid w:val="00464EFB"/>
    <w:rsid w:val="00464FA3"/>
    <w:rsid w:val="004650A6"/>
    <w:rsid w:val="00465108"/>
    <w:rsid w:val="00465178"/>
    <w:rsid w:val="00465195"/>
    <w:rsid w:val="004651A8"/>
    <w:rsid w:val="0046531E"/>
    <w:rsid w:val="00465342"/>
    <w:rsid w:val="00465374"/>
    <w:rsid w:val="004653E3"/>
    <w:rsid w:val="0046541D"/>
    <w:rsid w:val="00465614"/>
    <w:rsid w:val="0046564F"/>
    <w:rsid w:val="00465704"/>
    <w:rsid w:val="00465713"/>
    <w:rsid w:val="00465736"/>
    <w:rsid w:val="004657CC"/>
    <w:rsid w:val="004657F3"/>
    <w:rsid w:val="00465887"/>
    <w:rsid w:val="00465936"/>
    <w:rsid w:val="004659D0"/>
    <w:rsid w:val="00465B24"/>
    <w:rsid w:val="00465DDF"/>
    <w:rsid w:val="00465EC7"/>
    <w:rsid w:val="00465EEA"/>
    <w:rsid w:val="00465F25"/>
    <w:rsid w:val="00465F2A"/>
    <w:rsid w:val="00465F39"/>
    <w:rsid w:val="00465FC2"/>
    <w:rsid w:val="00465FC7"/>
    <w:rsid w:val="004660C6"/>
    <w:rsid w:val="004660CC"/>
    <w:rsid w:val="00466101"/>
    <w:rsid w:val="00466117"/>
    <w:rsid w:val="00466150"/>
    <w:rsid w:val="004661D2"/>
    <w:rsid w:val="004661E1"/>
    <w:rsid w:val="004661EE"/>
    <w:rsid w:val="004662F3"/>
    <w:rsid w:val="00466509"/>
    <w:rsid w:val="0046657C"/>
    <w:rsid w:val="0046660B"/>
    <w:rsid w:val="0046660F"/>
    <w:rsid w:val="0046685A"/>
    <w:rsid w:val="004669BF"/>
    <w:rsid w:val="00466A0D"/>
    <w:rsid w:val="00466A99"/>
    <w:rsid w:val="00466B79"/>
    <w:rsid w:val="00466B8B"/>
    <w:rsid w:val="00466BDE"/>
    <w:rsid w:val="00466BEF"/>
    <w:rsid w:val="00466C1C"/>
    <w:rsid w:val="00466C54"/>
    <w:rsid w:val="00466CC9"/>
    <w:rsid w:val="00466CF1"/>
    <w:rsid w:val="00466D2D"/>
    <w:rsid w:val="00466D60"/>
    <w:rsid w:val="00466DB8"/>
    <w:rsid w:val="00466DD3"/>
    <w:rsid w:val="00466E5A"/>
    <w:rsid w:val="00466E61"/>
    <w:rsid w:val="00466E75"/>
    <w:rsid w:val="00466EFC"/>
    <w:rsid w:val="00466F6F"/>
    <w:rsid w:val="00467014"/>
    <w:rsid w:val="004670BC"/>
    <w:rsid w:val="00467102"/>
    <w:rsid w:val="004671D8"/>
    <w:rsid w:val="00467329"/>
    <w:rsid w:val="0046733A"/>
    <w:rsid w:val="004673A7"/>
    <w:rsid w:val="00467416"/>
    <w:rsid w:val="0046748F"/>
    <w:rsid w:val="004674D8"/>
    <w:rsid w:val="00467510"/>
    <w:rsid w:val="004675DC"/>
    <w:rsid w:val="00467619"/>
    <w:rsid w:val="004676D8"/>
    <w:rsid w:val="00467730"/>
    <w:rsid w:val="00467778"/>
    <w:rsid w:val="004678F5"/>
    <w:rsid w:val="0046791C"/>
    <w:rsid w:val="00467956"/>
    <w:rsid w:val="004679CE"/>
    <w:rsid w:val="004679F0"/>
    <w:rsid w:val="00467A0C"/>
    <w:rsid w:val="00467B16"/>
    <w:rsid w:val="00467BB5"/>
    <w:rsid w:val="00467C17"/>
    <w:rsid w:val="00467C2B"/>
    <w:rsid w:val="00467DD3"/>
    <w:rsid w:val="00467DE8"/>
    <w:rsid w:val="00467EE0"/>
    <w:rsid w:val="00467FBB"/>
    <w:rsid w:val="00467FC7"/>
    <w:rsid w:val="004700D1"/>
    <w:rsid w:val="00470214"/>
    <w:rsid w:val="004702F2"/>
    <w:rsid w:val="00470436"/>
    <w:rsid w:val="004704C2"/>
    <w:rsid w:val="0047074C"/>
    <w:rsid w:val="00470811"/>
    <w:rsid w:val="0047090D"/>
    <w:rsid w:val="00470917"/>
    <w:rsid w:val="00470919"/>
    <w:rsid w:val="00470929"/>
    <w:rsid w:val="0047094C"/>
    <w:rsid w:val="00470CB0"/>
    <w:rsid w:val="00470D61"/>
    <w:rsid w:val="00470D63"/>
    <w:rsid w:val="00470F24"/>
    <w:rsid w:val="00470F4A"/>
    <w:rsid w:val="00470F80"/>
    <w:rsid w:val="00470F99"/>
    <w:rsid w:val="00470FB5"/>
    <w:rsid w:val="004710B5"/>
    <w:rsid w:val="00471151"/>
    <w:rsid w:val="0047115F"/>
    <w:rsid w:val="0047122A"/>
    <w:rsid w:val="00471262"/>
    <w:rsid w:val="0047131C"/>
    <w:rsid w:val="0047131E"/>
    <w:rsid w:val="00471343"/>
    <w:rsid w:val="00471374"/>
    <w:rsid w:val="00471487"/>
    <w:rsid w:val="0047152B"/>
    <w:rsid w:val="0047155F"/>
    <w:rsid w:val="004715BD"/>
    <w:rsid w:val="0047161C"/>
    <w:rsid w:val="0047163D"/>
    <w:rsid w:val="0047165C"/>
    <w:rsid w:val="00471773"/>
    <w:rsid w:val="0047179E"/>
    <w:rsid w:val="004717B7"/>
    <w:rsid w:val="004717FF"/>
    <w:rsid w:val="00471884"/>
    <w:rsid w:val="0047193A"/>
    <w:rsid w:val="0047196D"/>
    <w:rsid w:val="00471A02"/>
    <w:rsid w:val="00471B68"/>
    <w:rsid w:val="00471CEB"/>
    <w:rsid w:val="00471D6A"/>
    <w:rsid w:val="00471DC3"/>
    <w:rsid w:val="00471F54"/>
    <w:rsid w:val="00471F5A"/>
    <w:rsid w:val="00471FA4"/>
    <w:rsid w:val="00471FEC"/>
    <w:rsid w:val="00472027"/>
    <w:rsid w:val="004720FB"/>
    <w:rsid w:val="00472124"/>
    <w:rsid w:val="00472233"/>
    <w:rsid w:val="00472253"/>
    <w:rsid w:val="00472259"/>
    <w:rsid w:val="00472263"/>
    <w:rsid w:val="00472264"/>
    <w:rsid w:val="00472296"/>
    <w:rsid w:val="0047229B"/>
    <w:rsid w:val="004722BC"/>
    <w:rsid w:val="00472351"/>
    <w:rsid w:val="00472397"/>
    <w:rsid w:val="00472404"/>
    <w:rsid w:val="004724FE"/>
    <w:rsid w:val="00472502"/>
    <w:rsid w:val="0047250B"/>
    <w:rsid w:val="00472537"/>
    <w:rsid w:val="004725CE"/>
    <w:rsid w:val="004725E4"/>
    <w:rsid w:val="0047266D"/>
    <w:rsid w:val="004726B3"/>
    <w:rsid w:val="00472724"/>
    <w:rsid w:val="004727A1"/>
    <w:rsid w:val="00472891"/>
    <w:rsid w:val="004728BD"/>
    <w:rsid w:val="00472916"/>
    <w:rsid w:val="00472969"/>
    <w:rsid w:val="00472994"/>
    <w:rsid w:val="004729E7"/>
    <w:rsid w:val="00472AFD"/>
    <w:rsid w:val="00472B37"/>
    <w:rsid w:val="00472B96"/>
    <w:rsid w:val="00472C1A"/>
    <w:rsid w:val="00472CB5"/>
    <w:rsid w:val="00472CDD"/>
    <w:rsid w:val="00472D80"/>
    <w:rsid w:val="00472D8B"/>
    <w:rsid w:val="00472DBB"/>
    <w:rsid w:val="00472DEC"/>
    <w:rsid w:val="00472EE9"/>
    <w:rsid w:val="00472F36"/>
    <w:rsid w:val="004730A5"/>
    <w:rsid w:val="004730CB"/>
    <w:rsid w:val="0047314E"/>
    <w:rsid w:val="00473182"/>
    <w:rsid w:val="0047319B"/>
    <w:rsid w:val="004731A4"/>
    <w:rsid w:val="004731DF"/>
    <w:rsid w:val="0047323D"/>
    <w:rsid w:val="00473245"/>
    <w:rsid w:val="00473267"/>
    <w:rsid w:val="0047334B"/>
    <w:rsid w:val="00473360"/>
    <w:rsid w:val="004733F8"/>
    <w:rsid w:val="00473444"/>
    <w:rsid w:val="00473469"/>
    <w:rsid w:val="00473555"/>
    <w:rsid w:val="00473571"/>
    <w:rsid w:val="0047366C"/>
    <w:rsid w:val="004736EF"/>
    <w:rsid w:val="00473726"/>
    <w:rsid w:val="00473754"/>
    <w:rsid w:val="00473817"/>
    <w:rsid w:val="00473834"/>
    <w:rsid w:val="0047385C"/>
    <w:rsid w:val="004738A4"/>
    <w:rsid w:val="00473949"/>
    <w:rsid w:val="0047398D"/>
    <w:rsid w:val="00473A4B"/>
    <w:rsid w:val="00473A58"/>
    <w:rsid w:val="00473B03"/>
    <w:rsid w:val="00473B6B"/>
    <w:rsid w:val="00473B92"/>
    <w:rsid w:val="00473BC7"/>
    <w:rsid w:val="00473C52"/>
    <w:rsid w:val="00473C9E"/>
    <w:rsid w:val="00473D2D"/>
    <w:rsid w:val="00473D6D"/>
    <w:rsid w:val="00473D7E"/>
    <w:rsid w:val="00473DC9"/>
    <w:rsid w:val="00473DCE"/>
    <w:rsid w:val="00473F3E"/>
    <w:rsid w:val="00474061"/>
    <w:rsid w:val="00474081"/>
    <w:rsid w:val="004741C1"/>
    <w:rsid w:val="0047423B"/>
    <w:rsid w:val="004742CB"/>
    <w:rsid w:val="004742F6"/>
    <w:rsid w:val="00474386"/>
    <w:rsid w:val="0047439A"/>
    <w:rsid w:val="004743C0"/>
    <w:rsid w:val="00474411"/>
    <w:rsid w:val="00474432"/>
    <w:rsid w:val="00474449"/>
    <w:rsid w:val="004744AE"/>
    <w:rsid w:val="004744BA"/>
    <w:rsid w:val="004744D4"/>
    <w:rsid w:val="004744D8"/>
    <w:rsid w:val="004745A0"/>
    <w:rsid w:val="004745A1"/>
    <w:rsid w:val="004745FE"/>
    <w:rsid w:val="00474641"/>
    <w:rsid w:val="0047465F"/>
    <w:rsid w:val="004746B1"/>
    <w:rsid w:val="004746E8"/>
    <w:rsid w:val="004748C1"/>
    <w:rsid w:val="00474909"/>
    <w:rsid w:val="0047491F"/>
    <w:rsid w:val="00474923"/>
    <w:rsid w:val="00474928"/>
    <w:rsid w:val="004749E0"/>
    <w:rsid w:val="00474A2A"/>
    <w:rsid w:val="00474A87"/>
    <w:rsid w:val="00474AC8"/>
    <w:rsid w:val="00474ACC"/>
    <w:rsid w:val="00474B9F"/>
    <w:rsid w:val="00474BAB"/>
    <w:rsid w:val="00474C8A"/>
    <w:rsid w:val="00474C8C"/>
    <w:rsid w:val="00474D63"/>
    <w:rsid w:val="00474D6C"/>
    <w:rsid w:val="00474D76"/>
    <w:rsid w:val="00474DA4"/>
    <w:rsid w:val="00474DD2"/>
    <w:rsid w:val="00474E08"/>
    <w:rsid w:val="00474E9B"/>
    <w:rsid w:val="00474F8D"/>
    <w:rsid w:val="0047509A"/>
    <w:rsid w:val="004750B7"/>
    <w:rsid w:val="004750BF"/>
    <w:rsid w:val="004750E8"/>
    <w:rsid w:val="00475132"/>
    <w:rsid w:val="00475156"/>
    <w:rsid w:val="0047520A"/>
    <w:rsid w:val="00475217"/>
    <w:rsid w:val="0047526D"/>
    <w:rsid w:val="004752CD"/>
    <w:rsid w:val="00475382"/>
    <w:rsid w:val="004753DB"/>
    <w:rsid w:val="00475599"/>
    <w:rsid w:val="0047562B"/>
    <w:rsid w:val="0047568B"/>
    <w:rsid w:val="004756DC"/>
    <w:rsid w:val="004757D3"/>
    <w:rsid w:val="0047587E"/>
    <w:rsid w:val="004758F8"/>
    <w:rsid w:val="004758FD"/>
    <w:rsid w:val="0047593B"/>
    <w:rsid w:val="0047597B"/>
    <w:rsid w:val="00475A50"/>
    <w:rsid w:val="00475A89"/>
    <w:rsid w:val="00475A8A"/>
    <w:rsid w:val="00475AD0"/>
    <w:rsid w:val="00475AFA"/>
    <w:rsid w:val="00475B66"/>
    <w:rsid w:val="00475BAF"/>
    <w:rsid w:val="00475BDC"/>
    <w:rsid w:val="00475C2A"/>
    <w:rsid w:val="00475C7C"/>
    <w:rsid w:val="00475CB1"/>
    <w:rsid w:val="00475CC7"/>
    <w:rsid w:val="00475D12"/>
    <w:rsid w:val="00475D9F"/>
    <w:rsid w:val="00475DCB"/>
    <w:rsid w:val="00475DED"/>
    <w:rsid w:val="00475EA7"/>
    <w:rsid w:val="00475F0A"/>
    <w:rsid w:val="00476056"/>
    <w:rsid w:val="00476083"/>
    <w:rsid w:val="004760CF"/>
    <w:rsid w:val="004760D1"/>
    <w:rsid w:val="004760D4"/>
    <w:rsid w:val="00476132"/>
    <w:rsid w:val="004761B0"/>
    <w:rsid w:val="004761F6"/>
    <w:rsid w:val="0047620D"/>
    <w:rsid w:val="00476224"/>
    <w:rsid w:val="004762B6"/>
    <w:rsid w:val="004762FF"/>
    <w:rsid w:val="00476327"/>
    <w:rsid w:val="00476352"/>
    <w:rsid w:val="0047651D"/>
    <w:rsid w:val="004765BC"/>
    <w:rsid w:val="004765D3"/>
    <w:rsid w:val="00476662"/>
    <w:rsid w:val="00476690"/>
    <w:rsid w:val="004766C6"/>
    <w:rsid w:val="00476711"/>
    <w:rsid w:val="0047672D"/>
    <w:rsid w:val="0047678F"/>
    <w:rsid w:val="004767B7"/>
    <w:rsid w:val="004768D2"/>
    <w:rsid w:val="004769AE"/>
    <w:rsid w:val="00476A66"/>
    <w:rsid w:val="00476AB3"/>
    <w:rsid w:val="00476AE4"/>
    <w:rsid w:val="00476AEE"/>
    <w:rsid w:val="00476AF7"/>
    <w:rsid w:val="00476B13"/>
    <w:rsid w:val="00476B9A"/>
    <w:rsid w:val="00476C54"/>
    <w:rsid w:val="00476C94"/>
    <w:rsid w:val="00476CAA"/>
    <w:rsid w:val="00476CD4"/>
    <w:rsid w:val="00476E0F"/>
    <w:rsid w:val="00476EA4"/>
    <w:rsid w:val="00476F34"/>
    <w:rsid w:val="00476F36"/>
    <w:rsid w:val="00476FF5"/>
    <w:rsid w:val="0047702C"/>
    <w:rsid w:val="00477037"/>
    <w:rsid w:val="00477042"/>
    <w:rsid w:val="004770AE"/>
    <w:rsid w:val="004771A7"/>
    <w:rsid w:val="0047720A"/>
    <w:rsid w:val="00477229"/>
    <w:rsid w:val="0047731A"/>
    <w:rsid w:val="00477331"/>
    <w:rsid w:val="0047739A"/>
    <w:rsid w:val="004774BD"/>
    <w:rsid w:val="004775DE"/>
    <w:rsid w:val="00477678"/>
    <w:rsid w:val="004776A4"/>
    <w:rsid w:val="00477856"/>
    <w:rsid w:val="0047786B"/>
    <w:rsid w:val="0047796B"/>
    <w:rsid w:val="00477970"/>
    <w:rsid w:val="004779B4"/>
    <w:rsid w:val="004779F8"/>
    <w:rsid w:val="00477A7E"/>
    <w:rsid w:val="00477B34"/>
    <w:rsid w:val="00477B5F"/>
    <w:rsid w:val="00477B6C"/>
    <w:rsid w:val="00477D40"/>
    <w:rsid w:val="00477DFA"/>
    <w:rsid w:val="00477E17"/>
    <w:rsid w:val="00477FCC"/>
    <w:rsid w:val="00477FD6"/>
    <w:rsid w:val="0047FAE1"/>
    <w:rsid w:val="00480028"/>
    <w:rsid w:val="0048006D"/>
    <w:rsid w:val="0048010E"/>
    <w:rsid w:val="0048011C"/>
    <w:rsid w:val="00480142"/>
    <w:rsid w:val="004801D2"/>
    <w:rsid w:val="00480230"/>
    <w:rsid w:val="004802DB"/>
    <w:rsid w:val="0048037C"/>
    <w:rsid w:val="00480385"/>
    <w:rsid w:val="004803F4"/>
    <w:rsid w:val="0048041C"/>
    <w:rsid w:val="004804A5"/>
    <w:rsid w:val="0048055A"/>
    <w:rsid w:val="0048077E"/>
    <w:rsid w:val="0048080B"/>
    <w:rsid w:val="00480929"/>
    <w:rsid w:val="004809D7"/>
    <w:rsid w:val="00480A1D"/>
    <w:rsid w:val="00480AEE"/>
    <w:rsid w:val="00480AEF"/>
    <w:rsid w:val="00480B10"/>
    <w:rsid w:val="00480B31"/>
    <w:rsid w:val="00480B35"/>
    <w:rsid w:val="00480B64"/>
    <w:rsid w:val="00480BC8"/>
    <w:rsid w:val="00480BCB"/>
    <w:rsid w:val="00480BD9"/>
    <w:rsid w:val="00480BF1"/>
    <w:rsid w:val="00480C0C"/>
    <w:rsid w:val="00480C12"/>
    <w:rsid w:val="00480C3B"/>
    <w:rsid w:val="00480CD5"/>
    <w:rsid w:val="00480CF5"/>
    <w:rsid w:val="00480D13"/>
    <w:rsid w:val="00480D8E"/>
    <w:rsid w:val="00480DA2"/>
    <w:rsid w:val="00480DDF"/>
    <w:rsid w:val="00480E50"/>
    <w:rsid w:val="00480F48"/>
    <w:rsid w:val="00480FA1"/>
    <w:rsid w:val="00480FC5"/>
    <w:rsid w:val="0048104C"/>
    <w:rsid w:val="004810D3"/>
    <w:rsid w:val="00481103"/>
    <w:rsid w:val="0048117C"/>
    <w:rsid w:val="004811C5"/>
    <w:rsid w:val="0048125A"/>
    <w:rsid w:val="004812EC"/>
    <w:rsid w:val="00481333"/>
    <w:rsid w:val="00481393"/>
    <w:rsid w:val="0048144E"/>
    <w:rsid w:val="0048145C"/>
    <w:rsid w:val="004814AF"/>
    <w:rsid w:val="004814EA"/>
    <w:rsid w:val="004815AA"/>
    <w:rsid w:val="00481659"/>
    <w:rsid w:val="0048165C"/>
    <w:rsid w:val="00481677"/>
    <w:rsid w:val="0048169A"/>
    <w:rsid w:val="004816DA"/>
    <w:rsid w:val="00481710"/>
    <w:rsid w:val="0048177F"/>
    <w:rsid w:val="00481886"/>
    <w:rsid w:val="004818E6"/>
    <w:rsid w:val="00481959"/>
    <w:rsid w:val="004819BF"/>
    <w:rsid w:val="004819D5"/>
    <w:rsid w:val="004819EA"/>
    <w:rsid w:val="00481A67"/>
    <w:rsid w:val="00481A7F"/>
    <w:rsid w:val="00481AF4"/>
    <w:rsid w:val="00481B1D"/>
    <w:rsid w:val="00481C27"/>
    <w:rsid w:val="00481CDD"/>
    <w:rsid w:val="00481DF4"/>
    <w:rsid w:val="00481DF9"/>
    <w:rsid w:val="0048208B"/>
    <w:rsid w:val="0048215E"/>
    <w:rsid w:val="004821AE"/>
    <w:rsid w:val="004822E2"/>
    <w:rsid w:val="00482322"/>
    <w:rsid w:val="00482395"/>
    <w:rsid w:val="00482480"/>
    <w:rsid w:val="00482511"/>
    <w:rsid w:val="004825AA"/>
    <w:rsid w:val="00482706"/>
    <w:rsid w:val="00482737"/>
    <w:rsid w:val="0048281C"/>
    <w:rsid w:val="00482976"/>
    <w:rsid w:val="004829C7"/>
    <w:rsid w:val="00482A00"/>
    <w:rsid w:val="00482AD5"/>
    <w:rsid w:val="00482AEC"/>
    <w:rsid w:val="00482B53"/>
    <w:rsid w:val="00482B7D"/>
    <w:rsid w:val="00482BB6"/>
    <w:rsid w:val="00482D48"/>
    <w:rsid w:val="00482D6C"/>
    <w:rsid w:val="00482D86"/>
    <w:rsid w:val="00482E2C"/>
    <w:rsid w:val="00482F0C"/>
    <w:rsid w:val="004830E5"/>
    <w:rsid w:val="004831AA"/>
    <w:rsid w:val="00483220"/>
    <w:rsid w:val="004832A3"/>
    <w:rsid w:val="004833A2"/>
    <w:rsid w:val="004833B2"/>
    <w:rsid w:val="004833C9"/>
    <w:rsid w:val="004833F4"/>
    <w:rsid w:val="0048342B"/>
    <w:rsid w:val="00483438"/>
    <w:rsid w:val="00483441"/>
    <w:rsid w:val="004834AE"/>
    <w:rsid w:val="004834F3"/>
    <w:rsid w:val="004835CB"/>
    <w:rsid w:val="0048362F"/>
    <w:rsid w:val="00483663"/>
    <w:rsid w:val="004836FE"/>
    <w:rsid w:val="00483720"/>
    <w:rsid w:val="00483727"/>
    <w:rsid w:val="00483806"/>
    <w:rsid w:val="0048391E"/>
    <w:rsid w:val="004839FB"/>
    <w:rsid w:val="00483A41"/>
    <w:rsid w:val="00483A72"/>
    <w:rsid w:val="00483B0E"/>
    <w:rsid w:val="00483B47"/>
    <w:rsid w:val="00483B69"/>
    <w:rsid w:val="00483B71"/>
    <w:rsid w:val="00483BFE"/>
    <w:rsid w:val="00483CCA"/>
    <w:rsid w:val="00483CCF"/>
    <w:rsid w:val="00483D8F"/>
    <w:rsid w:val="00483DBE"/>
    <w:rsid w:val="00483F41"/>
    <w:rsid w:val="00483FC9"/>
    <w:rsid w:val="00483FF3"/>
    <w:rsid w:val="004840AC"/>
    <w:rsid w:val="00484112"/>
    <w:rsid w:val="004841A5"/>
    <w:rsid w:val="004841B0"/>
    <w:rsid w:val="004841B9"/>
    <w:rsid w:val="004842AB"/>
    <w:rsid w:val="004842B3"/>
    <w:rsid w:val="004842F1"/>
    <w:rsid w:val="00484398"/>
    <w:rsid w:val="004843B4"/>
    <w:rsid w:val="004843B6"/>
    <w:rsid w:val="004843FA"/>
    <w:rsid w:val="00484476"/>
    <w:rsid w:val="00484511"/>
    <w:rsid w:val="0048454A"/>
    <w:rsid w:val="0048455B"/>
    <w:rsid w:val="00484621"/>
    <w:rsid w:val="0048467F"/>
    <w:rsid w:val="004846BD"/>
    <w:rsid w:val="004846CA"/>
    <w:rsid w:val="0048478C"/>
    <w:rsid w:val="004847E1"/>
    <w:rsid w:val="004848BE"/>
    <w:rsid w:val="00484929"/>
    <w:rsid w:val="00484932"/>
    <w:rsid w:val="004849DF"/>
    <w:rsid w:val="00484AC1"/>
    <w:rsid w:val="00484B68"/>
    <w:rsid w:val="00484C90"/>
    <w:rsid w:val="00484CBB"/>
    <w:rsid w:val="00484D4C"/>
    <w:rsid w:val="00484DC8"/>
    <w:rsid w:val="00484DF4"/>
    <w:rsid w:val="00484E03"/>
    <w:rsid w:val="00484E77"/>
    <w:rsid w:val="00484EF1"/>
    <w:rsid w:val="00484F65"/>
    <w:rsid w:val="00484FDA"/>
    <w:rsid w:val="0048502D"/>
    <w:rsid w:val="0048516B"/>
    <w:rsid w:val="00485199"/>
    <w:rsid w:val="004851C1"/>
    <w:rsid w:val="004851D2"/>
    <w:rsid w:val="004852B6"/>
    <w:rsid w:val="004852F6"/>
    <w:rsid w:val="00485316"/>
    <w:rsid w:val="0048537A"/>
    <w:rsid w:val="00485463"/>
    <w:rsid w:val="0048546B"/>
    <w:rsid w:val="004854B2"/>
    <w:rsid w:val="004854B9"/>
    <w:rsid w:val="0048550F"/>
    <w:rsid w:val="004855A0"/>
    <w:rsid w:val="00485675"/>
    <w:rsid w:val="0048571E"/>
    <w:rsid w:val="0048575F"/>
    <w:rsid w:val="00485769"/>
    <w:rsid w:val="00485790"/>
    <w:rsid w:val="004857B2"/>
    <w:rsid w:val="004857D2"/>
    <w:rsid w:val="00485818"/>
    <w:rsid w:val="0048587D"/>
    <w:rsid w:val="004858CB"/>
    <w:rsid w:val="004858D3"/>
    <w:rsid w:val="00485926"/>
    <w:rsid w:val="004859DD"/>
    <w:rsid w:val="00485AE8"/>
    <w:rsid w:val="00485AEF"/>
    <w:rsid w:val="00485C0D"/>
    <w:rsid w:val="00485C7C"/>
    <w:rsid w:val="00485D5E"/>
    <w:rsid w:val="00485D8D"/>
    <w:rsid w:val="00485E68"/>
    <w:rsid w:val="00485F05"/>
    <w:rsid w:val="00485F4F"/>
    <w:rsid w:val="00485FF0"/>
    <w:rsid w:val="00486057"/>
    <w:rsid w:val="00486137"/>
    <w:rsid w:val="004861C8"/>
    <w:rsid w:val="00486242"/>
    <w:rsid w:val="004862E1"/>
    <w:rsid w:val="0048633B"/>
    <w:rsid w:val="0048635F"/>
    <w:rsid w:val="00486425"/>
    <w:rsid w:val="0048645F"/>
    <w:rsid w:val="0048648F"/>
    <w:rsid w:val="004864DB"/>
    <w:rsid w:val="00486541"/>
    <w:rsid w:val="004865AD"/>
    <w:rsid w:val="00486605"/>
    <w:rsid w:val="00486636"/>
    <w:rsid w:val="004866C8"/>
    <w:rsid w:val="004866CA"/>
    <w:rsid w:val="004866D2"/>
    <w:rsid w:val="00486710"/>
    <w:rsid w:val="00486720"/>
    <w:rsid w:val="00486740"/>
    <w:rsid w:val="0048679B"/>
    <w:rsid w:val="004867CA"/>
    <w:rsid w:val="004867FF"/>
    <w:rsid w:val="00486876"/>
    <w:rsid w:val="00486917"/>
    <w:rsid w:val="004869DF"/>
    <w:rsid w:val="00486A62"/>
    <w:rsid w:val="00486B82"/>
    <w:rsid w:val="00486BB5"/>
    <w:rsid w:val="00486C27"/>
    <w:rsid w:val="00486C8B"/>
    <w:rsid w:val="00486CBF"/>
    <w:rsid w:val="00486DE6"/>
    <w:rsid w:val="00486DFB"/>
    <w:rsid w:val="00486E01"/>
    <w:rsid w:val="00486E0B"/>
    <w:rsid w:val="00486EB7"/>
    <w:rsid w:val="00486F37"/>
    <w:rsid w:val="00486F3C"/>
    <w:rsid w:val="00486FA5"/>
    <w:rsid w:val="0048701A"/>
    <w:rsid w:val="0048701F"/>
    <w:rsid w:val="0048704B"/>
    <w:rsid w:val="0048707C"/>
    <w:rsid w:val="004870EB"/>
    <w:rsid w:val="0048716D"/>
    <w:rsid w:val="004871B9"/>
    <w:rsid w:val="00487208"/>
    <w:rsid w:val="0048722A"/>
    <w:rsid w:val="0048728E"/>
    <w:rsid w:val="00487355"/>
    <w:rsid w:val="0048740C"/>
    <w:rsid w:val="004874C7"/>
    <w:rsid w:val="004874D1"/>
    <w:rsid w:val="0048751A"/>
    <w:rsid w:val="0048775E"/>
    <w:rsid w:val="004877F5"/>
    <w:rsid w:val="00487829"/>
    <w:rsid w:val="004879CE"/>
    <w:rsid w:val="00487A0E"/>
    <w:rsid w:val="00487ACE"/>
    <w:rsid w:val="00487AF2"/>
    <w:rsid w:val="00487B80"/>
    <w:rsid w:val="00487BFA"/>
    <w:rsid w:val="00487D04"/>
    <w:rsid w:val="00487D1C"/>
    <w:rsid w:val="00487D7F"/>
    <w:rsid w:val="00487D90"/>
    <w:rsid w:val="00487E3B"/>
    <w:rsid w:val="00487ECC"/>
    <w:rsid w:val="00487EF6"/>
    <w:rsid w:val="00487FE3"/>
    <w:rsid w:val="0049002A"/>
    <w:rsid w:val="0049004F"/>
    <w:rsid w:val="004900B7"/>
    <w:rsid w:val="00490170"/>
    <w:rsid w:val="004901A2"/>
    <w:rsid w:val="004901F7"/>
    <w:rsid w:val="004902CA"/>
    <w:rsid w:val="00490361"/>
    <w:rsid w:val="00490365"/>
    <w:rsid w:val="004903D1"/>
    <w:rsid w:val="0049046B"/>
    <w:rsid w:val="00490516"/>
    <w:rsid w:val="00490550"/>
    <w:rsid w:val="0049064A"/>
    <w:rsid w:val="0049065D"/>
    <w:rsid w:val="00490717"/>
    <w:rsid w:val="00490743"/>
    <w:rsid w:val="004907A7"/>
    <w:rsid w:val="00490833"/>
    <w:rsid w:val="004908BF"/>
    <w:rsid w:val="00490945"/>
    <w:rsid w:val="004909B3"/>
    <w:rsid w:val="00490A7C"/>
    <w:rsid w:val="00490ABD"/>
    <w:rsid w:val="00490ACD"/>
    <w:rsid w:val="00490AD8"/>
    <w:rsid w:val="00490B49"/>
    <w:rsid w:val="00490B50"/>
    <w:rsid w:val="00490C84"/>
    <w:rsid w:val="00490C88"/>
    <w:rsid w:val="00490DC0"/>
    <w:rsid w:val="00490DD7"/>
    <w:rsid w:val="00490E09"/>
    <w:rsid w:val="00490EB6"/>
    <w:rsid w:val="00490F0A"/>
    <w:rsid w:val="00490F52"/>
    <w:rsid w:val="00490F56"/>
    <w:rsid w:val="00490FE4"/>
    <w:rsid w:val="00491101"/>
    <w:rsid w:val="00491155"/>
    <w:rsid w:val="00491226"/>
    <w:rsid w:val="004912AF"/>
    <w:rsid w:val="004913CF"/>
    <w:rsid w:val="004914A6"/>
    <w:rsid w:val="0049152F"/>
    <w:rsid w:val="004915B8"/>
    <w:rsid w:val="004918CD"/>
    <w:rsid w:val="00491958"/>
    <w:rsid w:val="004919B6"/>
    <w:rsid w:val="004919E0"/>
    <w:rsid w:val="00491A44"/>
    <w:rsid w:val="00491AF8"/>
    <w:rsid w:val="00491B8D"/>
    <w:rsid w:val="00491BAF"/>
    <w:rsid w:val="00491C92"/>
    <w:rsid w:val="00491CD1"/>
    <w:rsid w:val="00491D05"/>
    <w:rsid w:val="00491D69"/>
    <w:rsid w:val="00491D78"/>
    <w:rsid w:val="00491D85"/>
    <w:rsid w:val="00491DCE"/>
    <w:rsid w:val="00491DD0"/>
    <w:rsid w:val="00491DE7"/>
    <w:rsid w:val="00491DEF"/>
    <w:rsid w:val="00491DF5"/>
    <w:rsid w:val="00491E10"/>
    <w:rsid w:val="00491ED8"/>
    <w:rsid w:val="00491F7E"/>
    <w:rsid w:val="00491F7F"/>
    <w:rsid w:val="00491F93"/>
    <w:rsid w:val="0049204A"/>
    <w:rsid w:val="00492064"/>
    <w:rsid w:val="004920D7"/>
    <w:rsid w:val="00492122"/>
    <w:rsid w:val="00492167"/>
    <w:rsid w:val="00492200"/>
    <w:rsid w:val="004922A0"/>
    <w:rsid w:val="004922A2"/>
    <w:rsid w:val="004922AF"/>
    <w:rsid w:val="0049239E"/>
    <w:rsid w:val="004923F7"/>
    <w:rsid w:val="004924B0"/>
    <w:rsid w:val="00492560"/>
    <w:rsid w:val="0049257D"/>
    <w:rsid w:val="004925BF"/>
    <w:rsid w:val="004925E0"/>
    <w:rsid w:val="00492664"/>
    <w:rsid w:val="004926CD"/>
    <w:rsid w:val="00492724"/>
    <w:rsid w:val="00492792"/>
    <w:rsid w:val="004927C2"/>
    <w:rsid w:val="00492860"/>
    <w:rsid w:val="00492896"/>
    <w:rsid w:val="004928CB"/>
    <w:rsid w:val="004929C6"/>
    <w:rsid w:val="004929E0"/>
    <w:rsid w:val="004929F9"/>
    <w:rsid w:val="00492A6D"/>
    <w:rsid w:val="00492AC7"/>
    <w:rsid w:val="00492B0D"/>
    <w:rsid w:val="00492B23"/>
    <w:rsid w:val="00492B7F"/>
    <w:rsid w:val="00492B93"/>
    <w:rsid w:val="00492B9A"/>
    <w:rsid w:val="00492BB0"/>
    <w:rsid w:val="00492C65"/>
    <w:rsid w:val="00492C77"/>
    <w:rsid w:val="00492FA3"/>
    <w:rsid w:val="00492FAA"/>
    <w:rsid w:val="00493010"/>
    <w:rsid w:val="004930CD"/>
    <w:rsid w:val="004930E2"/>
    <w:rsid w:val="00493188"/>
    <w:rsid w:val="00493202"/>
    <w:rsid w:val="0049320A"/>
    <w:rsid w:val="004932D4"/>
    <w:rsid w:val="004933C4"/>
    <w:rsid w:val="004933F8"/>
    <w:rsid w:val="0049359A"/>
    <w:rsid w:val="004935FF"/>
    <w:rsid w:val="00493636"/>
    <w:rsid w:val="00493665"/>
    <w:rsid w:val="0049369D"/>
    <w:rsid w:val="004936EF"/>
    <w:rsid w:val="0049373E"/>
    <w:rsid w:val="00493794"/>
    <w:rsid w:val="00493829"/>
    <w:rsid w:val="0049385E"/>
    <w:rsid w:val="004938A8"/>
    <w:rsid w:val="00493A37"/>
    <w:rsid w:val="00493A3C"/>
    <w:rsid w:val="00493A4D"/>
    <w:rsid w:val="00493B5B"/>
    <w:rsid w:val="00493C67"/>
    <w:rsid w:val="00493C80"/>
    <w:rsid w:val="00493DB5"/>
    <w:rsid w:val="00493F9A"/>
    <w:rsid w:val="00493FE4"/>
    <w:rsid w:val="00494032"/>
    <w:rsid w:val="00494083"/>
    <w:rsid w:val="00494193"/>
    <w:rsid w:val="0049419B"/>
    <w:rsid w:val="004941C6"/>
    <w:rsid w:val="00494209"/>
    <w:rsid w:val="004942BF"/>
    <w:rsid w:val="0049430F"/>
    <w:rsid w:val="004943EB"/>
    <w:rsid w:val="004944D1"/>
    <w:rsid w:val="0049457C"/>
    <w:rsid w:val="00494623"/>
    <w:rsid w:val="00494655"/>
    <w:rsid w:val="004947F0"/>
    <w:rsid w:val="00494814"/>
    <w:rsid w:val="00494860"/>
    <w:rsid w:val="00494898"/>
    <w:rsid w:val="004948C8"/>
    <w:rsid w:val="0049495F"/>
    <w:rsid w:val="00494CAA"/>
    <w:rsid w:val="00494DF0"/>
    <w:rsid w:val="00494E03"/>
    <w:rsid w:val="00494E78"/>
    <w:rsid w:val="00494FA8"/>
    <w:rsid w:val="00494FB3"/>
    <w:rsid w:val="00495004"/>
    <w:rsid w:val="0049500F"/>
    <w:rsid w:val="00495039"/>
    <w:rsid w:val="0049503A"/>
    <w:rsid w:val="004950B1"/>
    <w:rsid w:val="004950FC"/>
    <w:rsid w:val="0049511E"/>
    <w:rsid w:val="0049519D"/>
    <w:rsid w:val="0049519F"/>
    <w:rsid w:val="004951E9"/>
    <w:rsid w:val="00495287"/>
    <w:rsid w:val="00495369"/>
    <w:rsid w:val="00495377"/>
    <w:rsid w:val="00495406"/>
    <w:rsid w:val="00495414"/>
    <w:rsid w:val="0049556B"/>
    <w:rsid w:val="00495604"/>
    <w:rsid w:val="0049566C"/>
    <w:rsid w:val="004956BB"/>
    <w:rsid w:val="004956D0"/>
    <w:rsid w:val="0049572E"/>
    <w:rsid w:val="0049576E"/>
    <w:rsid w:val="00495795"/>
    <w:rsid w:val="004957BE"/>
    <w:rsid w:val="00495808"/>
    <w:rsid w:val="00495814"/>
    <w:rsid w:val="0049581A"/>
    <w:rsid w:val="00495873"/>
    <w:rsid w:val="0049589D"/>
    <w:rsid w:val="004958AD"/>
    <w:rsid w:val="004958B1"/>
    <w:rsid w:val="004958D9"/>
    <w:rsid w:val="004958E8"/>
    <w:rsid w:val="00495908"/>
    <w:rsid w:val="004959BD"/>
    <w:rsid w:val="00495A04"/>
    <w:rsid w:val="00495A51"/>
    <w:rsid w:val="00495A52"/>
    <w:rsid w:val="00495ACE"/>
    <w:rsid w:val="00495AD2"/>
    <w:rsid w:val="00495B59"/>
    <w:rsid w:val="00495BB5"/>
    <w:rsid w:val="00495C2D"/>
    <w:rsid w:val="00495C9B"/>
    <w:rsid w:val="00495D0E"/>
    <w:rsid w:val="00495D18"/>
    <w:rsid w:val="00495D99"/>
    <w:rsid w:val="00495E0C"/>
    <w:rsid w:val="00495E8D"/>
    <w:rsid w:val="00495F22"/>
    <w:rsid w:val="00495F7B"/>
    <w:rsid w:val="00495FBF"/>
    <w:rsid w:val="004962B0"/>
    <w:rsid w:val="004962E2"/>
    <w:rsid w:val="004964BB"/>
    <w:rsid w:val="004964E7"/>
    <w:rsid w:val="00496528"/>
    <w:rsid w:val="00496553"/>
    <w:rsid w:val="0049656C"/>
    <w:rsid w:val="0049661F"/>
    <w:rsid w:val="00496646"/>
    <w:rsid w:val="00496684"/>
    <w:rsid w:val="004966D3"/>
    <w:rsid w:val="004966E2"/>
    <w:rsid w:val="0049671A"/>
    <w:rsid w:val="004967AE"/>
    <w:rsid w:val="00496882"/>
    <w:rsid w:val="004968AC"/>
    <w:rsid w:val="004968E5"/>
    <w:rsid w:val="00496984"/>
    <w:rsid w:val="0049698F"/>
    <w:rsid w:val="00496AFD"/>
    <w:rsid w:val="00496B47"/>
    <w:rsid w:val="00496B92"/>
    <w:rsid w:val="00496BB7"/>
    <w:rsid w:val="00496C04"/>
    <w:rsid w:val="00496D15"/>
    <w:rsid w:val="00496D9A"/>
    <w:rsid w:val="00496DFE"/>
    <w:rsid w:val="00496E8A"/>
    <w:rsid w:val="00496E9F"/>
    <w:rsid w:val="00496EF2"/>
    <w:rsid w:val="00496EFD"/>
    <w:rsid w:val="00496F36"/>
    <w:rsid w:val="00496F92"/>
    <w:rsid w:val="00496FAE"/>
    <w:rsid w:val="0049704A"/>
    <w:rsid w:val="00497065"/>
    <w:rsid w:val="004970A7"/>
    <w:rsid w:val="00497116"/>
    <w:rsid w:val="0049715C"/>
    <w:rsid w:val="00497178"/>
    <w:rsid w:val="004971E9"/>
    <w:rsid w:val="004971FA"/>
    <w:rsid w:val="00497275"/>
    <w:rsid w:val="00497282"/>
    <w:rsid w:val="004972A0"/>
    <w:rsid w:val="0049734C"/>
    <w:rsid w:val="004973F1"/>
    <w:rsid w:val="00497430"/>
    <w:rsid w:val="00497519"/>
    <w:rsid w:val="00497550"/>
    <w:rsid w:val="00497553"/>
    <w:rsid w:val="00497631"/>
    <w:rsid w:val="004976ED"/>
    <w:rsid w:val="00497715"/>
    <w:rsid w:val="00497749"/>
    <w:rsid w:val="004977D5"/>
    <w:rsid w:val="004978A2"/>
    <w:rsid w:val="00497902"/>
    <w:rsid w:val="00497972"/>
    <w:rsid w:val="00497989"/>
    <w:rsid w:val="004979E0"/>
    <w:rsid w:val="00497A50"/>
    <w:rsid w:val="00497A84"/>
    <w:rsid w:val="00497B16"/>
    <w:rsid w:val="00497B17"/>
    <w:rsid w:val="00497BF9"/>
    <w:rsid w:val="00497C13"/>
    <w:rsid w:val="00497C61"/>
    <w:rsid w:val="00497C7D"/>
    <w:rsid w:val="00497D75"/>
    <w:rsid w:val="00497D7B"/>
    <w:rsid w:val="00497E33"/>
    <w:rsid w:val="00497E64"/>
    <w:rsid w:val="00497F30"/>
    <w:rsid w:val="004A003D"/>
    <w:rsid w:val="004A0059"/>
    <w:rsid w:val="004A00D6"/>
    <w:rsid w:val="004A00F9"/>
    <w:rsid w:val="004A0216"/>
    <w:rsid w:val="004A026A"/>
    <w:rsid w:val="004A02C5"/>
    <w:rsid w:val="004A033B"/>
    <w:rsid w:val="004A038B"/>
    <w:rsid w:val="004A03BB"/>
    <w:rsid w:val="004A03BD"/>
    <w:rsid w:val="004A03D6"/>
    <w:rsid w:val="004A043D"/>
    <w:rsid w:val="004A044F"/>
    <w:rsid w:val="004A0469"/>
    <w:rsid w:val="004A0490"/>
    <w:rsid w:val="004A04BC"/>
    <w:rsid w:val="004A05DE"/>
    <w:rsid w:val="004A061F"/>
    <w:rsid w:val="004A06AA"/>
    <w:rsid w:val="004A0730"/>
    <w:rsid w:val="004A0773"/>
    <w:rsid w:val="004A07C6"/>
    <w:rsid w:val="004A0803"/>
    <w:rsid w:val="004A0A77"/>
    <w:rsid w:val="004A0AC7"/>
    <w:rsid w:val="004A0B8C"/>
    <w:rsid w:val="004A0C8F"/>
    <w:rsid w:val="004A0C9C"/>
    <w:rsid w:val="004A0CD2"/>
    <w:rsid w:val="004A0D04"/>
    <w:rsid w:val="004A0D22"/>
    <w:rsid w:val="004A0D26"/>
    <w:rsid w:val="004A0D58"/>
    <w:rsid w:val="004A0E34"/>
    <w:rsid w:val="004A0E5D"/>
    <w:rsid w:val="004A0E71"/>
    <w:rsid w:val="004A0EDC"/>
    <w:rsid w:val="004A0F2C"/>
    <w:rsid w:val="004A0F48"/>
    <w:rsid w:val="004A0FC8"/>
    <w:rsid w:val="004A1059"/>
    <w:rsid w:val="004A105C"/>
    <w:rsid w:val="004A10FA"/>
    <w:rsid w:val="004A1109"/>
    <w:rsid w:val="004A12F8"/>
    <w:rsid w:val="004A13F0"/>
    <w:rsid w:val="004A1418"/>
    <w:rsid w:val="004A146B"/>
    <w:rsid w:val="004A1474"/>
    <w:rsid w:val="004A149F"/>
    <w:rsid w:val="004A14A8"/>
    <w:rsid w:val="004A14C8"/>
    <w:rsid w:val="004A15D5"/>
    <w:rsid w:val="004A1610"/>
    <w:rsid w:val="004A16CA"/>
    <w:rsid w:val="004A1795"/>
    <w:rsid w:val="004A17BB"/>
    <w:rsid w:val="004A1805"/>
    <w:rsid w:val="004A18B7"/>
    <w:rsid w:val="004A18B9"/>
    <w:rsid w:val="004A18D5"/>
    <w:rsid w:val="004A1949"/>
    <w:rsid w:val="004A19AF"/>
    <w:rsid w:val="004A1A71"/>
    <w:rsid w:val="004A1AA3"/>
    <w:rsid w:val="004A1BC0"/>
    <w:rsid w:val="004A1CA3"/>
    <w:rsid w:val="004A1CBE"/>
    <w:rsid w:val="004A1CD8"/>
    <w:rsid w:val="004A1D89"/>
    <w:rsid w:val="004A1DC7"/>
    <w:rsid w:val="004A1ED2"/>
    <w:rsid w:val="004A1EDE"/>
    <w:rsid w:val="004A1EE1"/>
    <w:rsid w:val="004A1F4E"/>
    <w:rsid w:val="004A1F58"/>
    <w:rsid w:val="004A1F7B"/>
    <w:rsid w:val="004A1F81"/>
    <w:rsid w:val="004A1FA1"/>
    <w:rsid w:val="004A1FE3"/>
    <w:rsid w:val="004A21E3"/>
    <w:rsid w:val="004A21EA"/>
    <w:rsid w:val="004A2220"/>
    <w:rsid w:val="004A222F"/>
    <w:rsid w:val="004A22AA"/>
    <w:rsid w:val="004A2313"/>
    <w:rsid w:val="004A2319"/>
    <w:rsid w:val="004A2367"/>
    <w:rsid w:val="004A23B1"/>
    <w:rsid w:val="004A23EC"/>
    <w:rsid w:val="004A23EF"/>
    <w:rsid w:val="004A2496"/>
    <w:rsid w:val="004A24B0"/>
    <w:rsid w:val="004A2508"/>
    <w:rsid w:val="004A255B"/>
    <w:rsid w:val="004A256F"/>
    <w:rsid w:val="004A25B4"/>
    <w:rsid w:val="004A25EC"/>
    <w:rsid w:val="004A261A"/>
    <w:rsid w:val="004A265C"/>
    <w:rsid w:val="004A2665"/>
    <w:rsid w:val="004A266F"/>
    <w:rsid w:val="004A2779"/>
    <w:rsid w:val="004A27FA"/>
    <w:rsid w:val="004A2814"/>
    <w:rsid w:val="004A28A3"/>
    <w:rsid w:val="004A28D3"/>
    <w:rsid w:val="004A294E"/>
    <w:rsid w:val="004A29C9"/>
    <w:rsid w:val="004A29FA"/>
    <w:rsid w:val="004A2A3C"/>
    <w:rsid w:val="004A2A46"/>
    <w:rsid w:val="004A2A52"/>
    <w:rsid w:val="004A2A69"/>
    <w:rsid w:val="004A2B04"/>
    <w:rsid w:val="004A2B06"/>
    <w:rsid w:val="004A2B09"/>
    <w:rsid w:val="004A2C00"/>
    <w:rsid w:val="004A2C30"/>
    <w:rsid w:val="004A2C68"/>
    <w:rsid w:val="004A2CB2"/>
    <w:rsid w:val="004A2D43"/>
    <w:rsid w:val="004A2D49"/>
    <w:rsid w:val="004A2D6F"/>
    <w:rsid w:val="004A2E99"/>
    <w:rsid w:val="004A2F64"/>
    <w:rsid w:val="004A2FBC"/>
    <w:rsid w:val="004A2FEA"/>
    <w:rsid w:val="004A3047"/>
    <w:rsid w:val="004A3056"/>
    <w:rsid w:val="004A31AE"/>
    <w:rsid w:val="004A3205"/>
    <w:rsid w:val="004A320E"/>
    <w:rsid w:val="004A321F"/>
    <w:rsid w:val="004A3464"/>
    <w:rsid w:val="004A3504"/>
    <w:rsid w:val="004A3517"/>
    <w:rsid w:val="004A354E"/>
    <w:rsid w:val="004A3596"/>
    <w:rsid w:val="004A35DC"/>
    <w:rsid w:val="004A35FF"/>
    <w:rsid w:val="004A363F"/>
    <w:rsid w:val="004A3737"/>
    <w:rsid w:val="004A3759"/>
    <w:rsid w:val="004A3773"/>
    <w:rsid w:val="004A37D3"/>
    <w:rsid w:val="004A38BF"/>
    <w:rsid w:val="004A393B"/>
    <w:rsid w:val="004A3957"/>
    <w:rsid w:val="004A3A29"/>
    <w:rsid w:val="004A3A37"/>
    <w:rsid w:val="004A3AF0"/>
    <w:rsid w:val="004A3B90"/>
    <w:rsid w:val="004A3C1F"/>
    <w:rsid w:val="004A3D3B"/>
    <w:rsid w:val="004A3D76"/>
    <w:rsid w:val="004A3EC4"/>
    <w:rsid w:val="004A3EDE"/>
    <w:rsid w:val="004A3F21"/>
    <w:rsid w:val="004A3F44"/>
    <w:rsid w:val="004A3F61"/>
    <w:rsid w:val="004A3F72"/>
    <w:rsid w:val="004A40AD"/>
    <w:rsid w:val="004A4102"/>
    <w:rsid w:val="004A417F"/>
    <w:rsid w:val="004A41D1"/>
    <w:rsid w:val="004A41FE"/>
    <w:rsid w:val="004A420D"/>
    <w:rsid w:val="004A425A"/>
    <w:rsid w:val="004A4273"/>
    <w:rsid w:val="004A42F6"/>
    <w:rsid w:val="004A4317"/>
    <w:rsid w:val="004A4325"/>
    <w:rsid w:val="004A4362"/>
    <w:rsid w:val="004A44D0"/>
    <w:rsid w:val="004A4575"/>
    <w:rsid w:val="004A459A"/>
    <w:rsid w:val="004A459F"/>
    <w:rsid w:val="004A460F"/>
    <w:rsid w:val="004A4625"/>
    <w:rsid w:val="004A4648"/>
    <w:rsid w:val="004A47DF"/>
    <w:rsid w:val="004A483A"/>
    <w:rsid w:val="004A4892"/>
    <w:rsid w:val="004A48BE"/>
    <w:rsid w:val="004A48E4"/>
    <w:rsid w:val="004A49D1"/>
    <w:rsid w:val="004A4AED"/>
    <w:rsid w:val="004A4C04"/>
    <w:rsid w:val="004A4C42"/>
    <w:rsid w:val="004A4CBA"/>
    <w:rsid w:val="004A4D1F"/>
    <w:rsid w:val="004A4D49"/>
    <w:rsid w:val="004A4D6C"/>
    <w:rsid w:val="004A4DA2"/>
    <w:rsid w:val="004A4E6E"/>
    <w:rsid w:val="004A4E73"/>
    <w:rsid w:val="004A4EA7"/>
    <w:rsid w:val="004A4EB6"/>
    <w:rsid w:val="004A4F67"/>
    <w:rsid w:val="004A5013"/>
    <w:rsid w:val="004A505D"/>
    <w:rsid w:val="004A5069"/>
    <w:rsid w:val="004A5137"/>
    <w:rsid w:val="004A5158"/>
    <w:rsid w:val="004A51AF"/>
    <w:rsid w:val="004A5230"/>
    <w:rsid w:val="004A5293"/>
    <w:rsid w:val="004A52A2"/>
    <w:rsid w:val="004A52C2"/>
    <w:rsid w:val="004A5351"/>
    <w:rsid w:val="004A537D"/>
    <w:rsid w:val="004A53B0"/>
    <w:rsid w:val="004A53B9"/>
    <w:rsid w:val="004A5453"/>
    <w:rsid w:val="004A54C5"/>
    <w:rsid w:val="004A5575"/>
    <w:rsid w:val="004A56F7"/>
    <w:rsid w:val="004A5718"/>
    <w:rsid w:val="004A573C"/>
    <w:rsid w:val="004A5749"/>
    <w:rsid w:val="004A57A4"/>
    <w:rsid w:val="004A58E9"/>
    <w:rsid w:val="004A590F"/>
    <w:rsid w:val="004A596E"/>
    <w:rsid w:val="004A598D"/>
    <w:rsid w:val="004A5AB8"/>
    <w:rsid w:val="004A5B6C"/>
    <w:rsid w:val="004A5BF4"/>
    <w:rsid w:val="004A5C15"/>
    <w:rsid w:val="004A5C4E"/>
    <w:rsid w:val="004A5C50"/>
    <w:rsid w:val="004A5C65"/>
    <w:rsid w:val="004A5C9C"/>
    <w:rsid w:val="004A5D55"/>
    <w:rsid w:val="004A5E95"/>
    <w:rsid w:val="004A5E9A"/>
    <w:rsid w:val="004A5F2A"/>
    <w:rsid w:val="004A5FE6"/>
    <w:rsid w:val="004A60A5"/>
    <w:rsid w:val="004A6120"/>
    <w:rsid w:val="004A618A"/>
    <w:rsid w:val="004A61CA"/>
    <w:rsid w:val="004A6235"/>
    <w:rsid w:val="004A6321"/>
    <w:rsid w:val="004A6369"/>
    <w:rsid w:val="004A63CE"/>
    <w:rsid w:val="004A648B"/>
    <w:rsid w:val="004A6531"/>
    <w:rsid w:val="004A6551"/>
    <w:rsid w:val="004A661D"/>
    <w:rsid w:val="004A6635"/>
    <w:rsid w:val="004A6663"/>
    <w:rsid w:val="004A6683"/>
    <w:rsid w:val="004A66F8"/>
    <w:rsid w:val="004A6713"/>
    <w:rsid w:val="004A677E"/>
    <w:rsid w:val="004A6875"/>
    <w:rsid w:val="004A68C4"/>
    <w:rsid w:val="004A691E"/>
    <w:rsid w:val="004A6979"/>
    <w:rsid w:val="004A69E7"/>
    <w:rsid w:val="004A6A0B"/>
    <w:rsid w:val="004A6A7A"/>
    <w:rsid w:val="004A6A8F"/>
    <w:rsid w:val="004A6B98"/>
    <w:rsid w:val="004A6BCE"/>
    <w:rsid w:val="004A6C09"/>
    <w:rsid w:val="004A6CA7"/>
    <w:rsid w:val="004A6CE5"/>
    <w:rsid w:val="004A6D22"/>
    <w:rsid w:val="004A6DAB"/>
    <w:rsid w:val="004A6DF0"/>
    <w:rsid w:val="004A6E69"/>
    <w:rsid w:val="004A6EA4"/>
    <w:rsid w:val="004A6EDD"/>
    <w:rsid w:val="004A6F28"/>
    <w:rsid w:val="004A6F47"/>
    <w:rsid w:val="004A6FAB"/>
    <w:rsid w:val="004A7184"/>
    <w:rsid w:val="004A7196"/>
    <w:rsid w:val="004A71AE"/>
    <w:rsid w:val="004A71C5"/>
    <w:rsid w:val="004A71EB"/>
    <w:rsid w:val="004A7254"/>
    <w:rsid w:val="004A729F"/>
    <w:rsid w:val="004A72C5"/>
    <w:rsid w:val="004A7308"/>
    <w:rsid w:val="004A734A"/>
    <w:rsid w:val="004A7359"/>
    <w:rsid w:val="004A735C"/>
    <w:rsid w:val="004A73F7"/>
    <w:rsid w:val="004A73FF"/>
    <w:rsid w:val="004A7440"/>
    <w:rsid w:val="004A746D"/>
    <w:rsid w:val="004A748C"/>
    <w:rsid w:val="004A74A3"/>
    <w:rsid w:val="004A750C"/>
    <w:rsid w:val="004A7521"/>
    <w:rsid w:val="004A757C"/>
    <w:rsid w:val="004A75C7"/>
    <w:rsid w:val="004A75E1"/>
    <w:rsid w:val="004A75EB"/>
    <w:rsid w:val="004A7683"/>
    <w:rsid w:val="004A76DD"/>
    <w:rsid w:val="004A779D"/>
    <w:rsid w:val="004A77C6"/>
    <w:rsid w:val="004A77F0"/>
    <w:rsid w:val="004A77FA"/>
    <w:rsid w:val="004A7824"/>
    <w:rsid w:val="004A782E"/>
    <w:rsid w:val="004A788D"/>
    <w:rsid w:val="004A78CC"/>
    <w:rsid w:val="004A79E2"/>
    <w:rsid w:val="004A7A8B"/>
    <w:rsid w:val="004A7AE4"/>
    <w:rsid w:val="004A7B10"/>
    <w:rsid w:val="004A7B5E"/>
    <w:rsid w:val="004A7B97"/>
    <w:rsid w:val="004A7C2D"/>
    <w:rsid w:val="004A7C97"/>
    <w:rsid w:val="004A7D2C"/>
    <w:rsid w:val="004A7D5B"/>
    <w:rsid w:val="004A7D97"/>
    <w:rsid w:val="004A7E37"/>
    <w:rsid w:val="004A7E63"/>
    <w:rsid w:val="004A7ED3"/>
    <w:rsid w:val="004A7FCD"/>
    <w:rsid w:val="004B0012"/>
    <w:rsid w:val="004B00FD"/>
    <w:rsid w:val="004B011E"/>
    <w:rsid w:val="004B01DD"/>
    <w:rsid w:val="004B029D"/>
    <w:rsid w:val="004B02FA"/>
    <w:rsid w:val="004B03AA"/>
    <w:rsid w:val="004B03BE"/>
    <w:rsid w:val="004B03D3"/>
    <w:rsid w:val="004B041F"/>
    <w:rsid w:val="004B0428"/>
    <w:rsid w:val="004B0530"/>
    <w:rsid w:val="004B0573"/>
    <w:rsid w:val="004B07ED"/>
    <w:rsid w:val="004B07F1"/>
    <w:rsid w:val="004B082C"/>
    <w:rsid w:val="004B0836"/>
    <w:rsid w:val="004B09B7"/>
    <w:rsid w:val="004B0AD1"/>
    <w:rsid w:val="004B0AD9"/>
    <w:rsid w:val="004B0B21"/>
    <w:rsid w:val="004B0B7A"/>
    <w:rsid w:val="004B0B81"/>
    <w:rsid w:val="004B0BBB"/>
    <w:rsid w:val="004B0BCA"/>
    <w:rsid w:val="004B0BCE"/>
    <w:rsid w:val="004B0CFC"/>
    <w:rsid w:val="004B0D3E"/>
    <w:rsid w:val="004B0D9C"/>
    <w:rsid w:val="004B0DA9"/>
    <w:rsid w:val="004B0E83"/>
    <w:rsid w:val="004B0EA2"/>
    <w:rsid w:val="004B0F4E"/>
    <w:rsid w:val="004B0F90"/>
    <w:rsid w:val="004B0FB7"/>
    <w:rsid w:val="004B10A9"/>
    <w:rsid w:val="004B1108"/>
    <w:rsid w:val="004B111A"/>
    <w:rsid w:val="004B118A"/>
    <w:rsid w:val="004B11AF"/>
    <w:rsid w:val="004B11E3"/>
    <w:rsid w:val="004B12FA"/>
    <w:rsid w:val="004B1316"/>
    <w:rsid w:val="004B13A2"/>
    <w:rsid w:val="004B13CF"/>
    <w:rsid w:val="004B13ED"/>
    <w:rsid w:val="004B1421"/>
    <w:rsid w:val="004B14D1"/>
    <w:rsid w:val="004B14E2"/>
    <w:rsid w:val="004B1519"/>
    <w:rsid w:val="004B158F"/>
    <w:rsid w:val="004B1733"/>
    <w:rsid w:val="004B1737"/>
    <w:rsid w:val="004B178E"/>
    <w:rsid w:val="004B17E3"/>
    <w:rsid w:val="004B1806"/>
    <w:rsid w:val="004B182C"/>
    <w:rsid w:val="004B182D"/>
    <w:rsid w:val="004B1838"/>
    <w:rsid w:val="004B190A"/>
    <w:rsid w:val="004B19ED"/>
    <w:rsid w:val="004B1A07"/>
    <w:rsid w:val="004B1A73"/>
    <w:rsid w:val="004B1A7E"/>
    <w:rsid w:val="004B1B04"/>
    <w:rsid w:val="004B1B0C"/>
    <w:rsid w:val="004B1BAF"/>
    <w:rsid w:val="004B1DD9"/>
    <w:rsid w:val="004B1E36"/>
    <w:rsid w:val="004B1E6F"/>
    <w:rsid w:val="004B1EE2"/>
    <w:rsid w:val="004B1EFB"/>
    <w:rsid w:val="004B1F42"/>
    <w:rsid w:val="004B1FEA"/>
    <w:rsid w:val="004B2023"/>
    <w:rsid w:val="004B209E"/>
    <w:rsid w:val="004B2136"/>
    <w:rsid w:val="004B2181"/>
    <w:rsid w:val="004B22D8"/>
    <w:rsid w:val="004B22F6"/>
    <w:rsid w:val="004B2330"/>
    <w:rsid w:val="004B235B"/>
    <w:rsid w:val="004B2386"/>
    <w:rsid w:val="004B2396"/>
    <w:rsid w:val="004B24C8"/>
    <w:rsid w:val="004B25AC"/>
    <w:rsid w:val="004B260F"/>
    <w:rsid w:val="004B267F"/>
    <w:rsid w:val="004B268D"/>
    <w:rsid w:val="004B26B1"/>
    <w:rsid w:val="004B2784"/>
    <w:rsid w:val="004B27AE"/>
    <w:rsid w:val="004B2824"/>
    <w:rsid w:val="004B28E4"/>
    <w:rsid w:val="004B29A3"/>
    <w:rsid w:val="004B29B6"/>
    <w:rsid w:val="004B29EE"/>
    <w:rsid w:val="004B2A86"/>
    <w:rsid w:val="004B2AAC"/>
    <w:rsid w:val="004B2B03"/>
    <w:rsid w:val="004B2B27"/>
    <w:rsid w:val="004B2B8C"/>
    <w:rsid w:val="004B2C72"/>
    <w:rsid w:val="004B2CA9"/>
    <w:rsid w:val="004B2D3E"/>
    <w:rsid w:val="004B2E0E"/>
    <w:rsid w:val="004B2E53"/>
    <w:rsid w:val="004B2E9E"/>
    <w:rsid w:val="004B2F29"/>
    <w:rsid w:val="004B2F51"/>
    <w:rsid w:val="004B2F7B"/>
    <w:rsid w:val="004B2F94"/>
    <w:rsid w:val="004B2FAE"/>
    <w:rsid w:val="004B3028"/>
    <w:rsid w:val="004B30CB"/>
    <w:rsid w:val="004B322E"/>
    <w:rsid w:val="004B33B2"/>
    <w:rsid w:val="004B33D0"/>
    <w:rsid w:val="004B340C"/>
    <w:rsid w:val="004B344F"/>
    <w:rsid w:val="004B347F"/>
    <w:rsid w:val="004B348A"/>
    <w:rsid w:val="004B34D2"/>
    <w:rsid w:val="004B34F8"/>
    <w:rsid w:val="004B3505"/>
    <w:rsid w:val="004B3514"/>
    <w:rsid w:val="004B3532"/>
    <w:rsid w:val="004B3576"/>
    <w:rsid w:val="004B359A"/>
    <w:rsid w:val="004B35B7"/>
    <w:rsid w:val="004B365C"/>
    <w:rsid w:val="004B3676"/>
    <w:rsid w:val="004B36AE"/>
    <w:rsid w:val="004B3793"/>
    <w:rsid w:val="004B37D5"/>
    <w:rsid w:val="004B387F"/>
    <w:rsid w:val="004B388E"/>
    <w:rsid w:val="004B398C"/>
    <w:rsid w:val="004B3AEA"/>
    <w:rsid w:val="004B3C36"/>
    <w:rsid w:val="004B3CAD"/>
    <w:rsid w:val="004B3D8A"/>
    <w:rsid w:val="004B3DCE"/>
    <w:rsid w:val="004B3EC5"/>
    <w:rsid w:val="004B3EF2"/>
    <w:rsid w:val="004B3F79"/>
    <w:rsid w:val="004B3FBC"/>
    <w:rsid w:val="004B4010"/>
    <w:rsid w:val="004B4018"/>
    <w:rsid w:val="004B401F"/>
    <w:rsid w:val="004B4069"/>
    <w:rsid w:val="004B4127"/>
    <w:rsid w:val="004B4147"/>
    <w:rsid w:val="004B41BA"/>
    <w:rsid w:val="004B41E7"/>
    <w:rsid w:val="004B41F4"/>
    <w:rsid w:val="004B4267"/>
    <w:rsid w:val="004B42E2"/>
    <w:rsid w:val="004B43C6"/>
    <w:rsid w:val="004B454D"/>
    <w:rsid w:val="004B458E"/>
    <w:rsid w:val="004B45EE"/>
    <w:rsid w:val="004B4681"/>
    <w:rsid w:val="004B4727"/>
    <w:rsid w:val="004B4776"/>
    <w:rsid w:val="004B477E"/>
    <w:rsid w:val="004B4808"/>
    <w:rsid w:val="004B481C"/>
    <w:rsid w:val="004B4857"/>
    <w:rsid w:val="004B48ED"/>
    <w:rsid w:val="004B49F7"/>
    <w:rsid w:val="004B4A31"/>
    <w:rsid w:val="004B4A4D"/>
    <w:rsid w:val="004B4A6F"/>
    <w:rsid w:val="004B4A88"/>
    <w:rsid w:val="004B4A8A"/>
    <w:rsid w:val="004B4AAF"/>
    <w:rsid w:val="004B4B51"/>
    <w:rsid w:val="004B4B7E"/>
    <w:rsid w:val="004B4BA3"/>
    <w:rsid w:val="004B4BBC"/>
    <w:rsid w:val="004B4C19"/>
    <w:rsid w:val="004B4C60"/>
    <w:rsid w:val="004B4CAE"/>
    <w:rsid w:val="004B4D7D"/>
    <w:rsid w:val="004B4D80"/>
    <w:rsid w:val="004B4E27"/>
    <w:rsid w:val="004B4EDF"/>
    <w:rsid w:val="004B4EE4"/>
    <w:rsid w:val="004B4EED"/>
    <w:rsid w:val="004B4F08"/>
    <w:rsid w:val="004B4F99"/>
    <w:rsid w:val="004B50D1"/>
    <w:rsid w:val="004B50DF"/>
    <w:rsid w:val="004B50EA"/>
    <w:rsid w:val="004B5123"/>
    <w:rsid w:val="004B513C"/>
    <w:rsid w:val="004B520B"/>
    <w:rsid w:val="004B52D8"/>
    <w:rsid w:val="004B52E4"/>
    <w:rsid w:val="004B52F6"/>
    <w:rsid w:val="004B53FE"/>
    <w:rsid w:val="004B5463"/>
    <w:rsid w:val="004B5485"/>
    <w:rsid w:val="004B54E0"/>
    <w:rsid w:val="004B5514"/>
    <w:rsid w:val="004B5721"/>
    <w:rsid w:val="004B5886"/>
    <w:rsid w:val="004B59F6"/>
    <w:rsid w:val="004B5AA9"/>
    <w:rsid w:val="004B5AC7"/>
    <w:rsid w:val="004B5B98"/>
    <w:rsid w:val="004B5BE2"/>
    <w:rsid w:val="004B5CD0"/>
    <w:rsid w:val="004B5DB2"/>
    <w:rsid w:val="004B5DFE"/>
    <w:rsid w:val="004B5EF8"/>
    <w:rsid w:val="004B603B"/>
    <w:rsid w:val="004B604C"/>
    <w:rsid w:val="004B60B7"/>
    <w:rsid w:val="004B60CE"/>
    <w:rsid w:val="004B6148"/>
    <w:rsid w:val="004B618D"/>
    <w:rsid w:val="004B619A"/>
    <w:rsid w:val="004B61CB"/>
    <w:rsid w:val="004B62DF"/>
    <w:rsid w:val="004B634F"/>
    <w:rsid w:val="004B63AA"/>
    <w:rsid w:val="004B6444"/>
    <w:rsid w:val="004B653F"/>
    <w:rsid w:val="004B6664"/>
    <w:rsid w:val="004B6781"/>
    <w:rsid w:val="004B678F"/>
    <w:rsid w:val="004B67F8"/>
    <w:rsid w:val="004B696F"/>
    <w:rsid w:val="004B69E9"/>
    <w:rsid w:val="004B69ED"/>
    <w:rsid w:val="004B69FB"/>
    <w:rsid w:val="004B6A77"/>
    <w:rsid w:val="004B6AC9"/>
    <w:rsid w:val="004B6B08"/>
    <w:rsid w:val="004B6B91"/>
    <w:rsid w:val="004B6CDA"/>
    <w:rsid w:val="004B6D06"/>
    <w:rsid w:val="004B6DA7"/>
    <w:rsid w:val="004B6DB4"/>
    <w:rsid w:val="004B6EE9"/>
    <w:rsid w:val="004B705A"/>
    <w:rsid w:val="004B709D"/>
    <w:rsid w:val="004B709E"/>
    <w:rsid w:val="004B7111"/>
    <w:rsid w:val="004B71EE"/>
    <w:rsid w:val="004B7222"/>
    <w:rsid w:val="004B7234"/>
    <w:rsid w:val="004B7317"/>
    <w:rsid w:val="004B7327"/>
    <w:rsid w:val="004B73DE"/>
    <w:rsid w:val="004B744F"/>
    <w:rsid w:val="004B74EF"/>
    <w:rsid w:val="004B7666"/>
    <w:rsid w:val="004B76A0"/>
    <w:rsid w:val="004B76DE"/>
    <w:rsid w:val="004B78D0"/>
    <w:rsid w:val="004B7916"/>
    <w:rsid w:val="004B79A3"/>
    <w:rsid w:val="004B79AD"/>
    <w:rsid w:val="004B7A39"/>
    <w:rsid w:val="004B7A69"/>
    <w:rsid w:val="004B7B5A"/>
    <w:rsid w:val="004B7B61"/>
    <w:rsid w:val="004B7B8B"/>
    <w:rsid w:val="004B7BF6"/>
    <w:rsid w:val="004B7C46"/>
    <w:rsid w:val="004B7C47"/>
    <w:rsid w:val="004B7C7F"/>
    <w:rsid w:val="004B7CE8"/>
    <w:rsid w:val="004B7D40"/>
    <w:rsid w:val="004B7DA7"/>
    <w:rsid w:val="004B7E9A"/>
    <w:rsid w:val="004B7ED0"/>
    <w:rsid w:val="004B7F0A"/>
    <w:rsid w:val="004B7F6C"/>
    <w:rsid w:val="004B7FBA"/>
    <w:rsid w:val="004C0025"/>
    <w:rsid w:val="004C0060"/>
    <w:rsid w:val="004C00FA"/>
    <w:rsid w:val="004C019C"/>
    <w:rsid w:val="004C01ED"/>
    <w:rsid w:val="004C01F1"/>
    <w:rsid w:val="004C020D"/>
    <w:rsid w:val="004C0348"/>
    <w:rsid w:val="004C0371"/>
    <w:rsid w:val="004C03EC"/>
    <w:rsid w:val="004C0433"/>
    <w:rsid w:val="004C04E4"/>
    <w:rsid w:val="004C051E"/>
    <w:rsid w:val="004C05A7"/>
    <w:rsid w:val="004C05DF"/>
    <w:rsid w:val="004C05FA"/>
    <w:rsid w:val="004C070F"/>
    <w:rsid w:val="004C074D"/>
    <w:rsid w:val="004C0767"/>
    <w:rsid w:val="004C078D"/>
    <w:rsid w:val="004C07BE"/>
    <w:rsid w:val="004C0881"/>
    <w:rsid w:val="004C08F4"/>
    <w:rsid w:val="004C0973"/>
    <w:rsid w:val="004C09FD"/>
    <w:rsid w:val="004C0A05"/>
    <w:rsid w:val="004C0AEB"/>
    <w:rsid w:val="004C0B94"/>
    <w:rsid w:val="004C0BBA"/>
    <w:rsid w:val="004C0C21"/>
    <w:rsid w:val="004C0CEA"/>
    <w:rsid w:val="004C0CF6"/>
    <w:rsid w:val="004C0D61"/>
    <w:rsid w:val="004C0DB0"/>
    <w:rsid w:val="004C0E99"/>
    <w:rsid w:val="004C0FAC"/>
    <w:rsid w:val="004C107D"/>
    <w:rsid w:val="004C1080"/>
    <w:rsid w:val="004C10C6"/>
    <w:rsid w:val="004C10E9"/>
    <w:rsid w:val="004C1155"/>
    <w:rsid w:val="004C1192"/>
    <w:rsid w:val="004C1193"/>
    <w:rsid w:val="004C1208"/>
    <w:rsid w:val="004C1239"/>
    <w:rsid w:val="004C1268"/>
    <w:rsid w:val="004C1387"/>
    <w:rsid w:val="004C1400"/>
    <w:rsid w:val="004C1468"/>
    <w:rsid w:val="004C14F2"/>
    <w:rsid w:val="004C152A"/>
    <w:rsid w:val="004C1554"/>
    <w:rsid w:val="004C15E0"/>
    <w:rsid w:val="004C168F"/>
    <w:rsid w:val="004C16F8"/>
    <w:rsid w:val="004C1820"/>
    <w:rsid w:val="004C1822"/>
    <w:rsid w:val="004C18CC"/>
    <w:rsid w:val="004C18DA"/>
    <w:rsid w:val="004C1922"/>
    <w:rsid w:val="004C192C"/>
    <w:rsid w:val="004C192D"/>
    <w:rsid w:val="004C198D"/>
    <w:rsid w:val="004C1A77"/>
    <w:rsid w:val="004C1B3C"/>
    <w:rsid w:val="004C1BA0"/>
    <w:rsid w:val="004C1BF7"/>
    <w:rsid w:val="004C1D19"/>
    <w:rsid w:val="004C1D54"/>
    <w:rsid w:val="004C1DC0"/>
    <w:rsid w:val="004C1DCC"/>
    <w:rsid w:val="004C1EF4"/>
    <w:rsid w:val="004C1F50"/>
    <w:rsid w:val="004C1FC3"/>
    <w:rsid w:val="004C1FF8"/>
    <w:rsid w:val="004C2033"/>
    <w:rsid w:val="004C207F"/>
    <w:rsid w:val="004C2127"/>
    <w:rsid w:val="004C217C"/>
    <w:rsid w:val="004C2195"/>
    <w:rsid w:val="004C21FF"/>
    <w:rsid w:val="004C239E"/>
    <w:rsid w:val="004C23D9"/>
    <w:rsid w:val="004C23DA"/>
    <w:rsid w:val="004C23E2"/>
    <w:rsid w:val="004C2404"/>
    <w:rsid w:val="004C243D"/>
    <w:rsid w:val="004C24D6"/>
    <w:rsid w:val="004C250C"/>
    <w:rsid w:val="004C25DF"/>
    <w:rsid w:val="004C2665"/>
    <w:rsid w:val="004C26FA"/>
    <w:rsid w:val="004C26FF"/>
    <w:rsid w:val="004C27C2"/>
    <w:rsid w:val="004C28E6"/>
    <w:rsid w:val="004C28F9"/>
    <w:rsid w:val="004C2930"/>
    <w:rsid w:val="004C2A1C"/>
    <w:rsid w:val="004C2A82"/>
    <w:rsid w:val="004C2B7B"/>
    <w:rsid w:val="004C2C3D"/>
    <w:rsid w:val="004C2D25"/>
    <w:rsid w:val="004C2D44"/>
    <w:rsid w:val="004C2D63"/>
    <w:rsid w:val="004C2DC9"/>
    <w:rsid w:val="004C2F29"/>
    <w:rsid w:val="004C2F72"/>
    <w:rsid w:val="004C3091"/>
    <w:rsid w:val="004C3123"/>
    <w:rsid w:val="004C3130"/>
    <w:rsid w:val="004C316B"/>
    <w:rsid w:val="004C3177"/>
    <w:rsid w:val="004C31CB"/>
    <w:rsid w:val="004C3227"/>
    <w:rsid w:val="004C322A"/>
    <w:rsid w:val="004C32A9"/>
    <w:rsid w:val="004C33C3"/>
    <w:rsid w:val="004C33F5"/>
    <w:rsid w:val="004C34A9"/>
    <w:rsid w:val="004C36DB"/>
    <w:rsid w:val="004C372E"/>
    <w:rsid w:val="004C375B"/>
    <w:rsid w:val="004C3859"/>
    <w:rsid w:val="004C3948"/>
    <w:rsid w:val="004C395B"/>
    <w:rsid w:val="004C3A30"/>
    <w:rsid w:val="004C3A46"/>
    <w:rsid w:val="004C3A4C"/>
    <w:rsid w:val="004C3A68"/>
    <w:rsid w:val="004C3A82"/>
    <w:rsid w:val="004C3B17"/>
    <w:rsid w:val="004C3B73"/>
    <w:rsid w:val="004C3BE2"/>
    <w:rsid w:val="004C3C02"/>
    <w:rsid w:val="004C3C60"/>
    <w:rsid w:val="004C3C84"/>
    <w:rsid w:val="004C3CA0"/>
    <w:rsid w:val="004C3CA8"/>
    <w:rsid w:val="004C3DAE"/>
    <w:rsid w:val="004C3DD0"/>
    <w:rsid w:val="004C3E6E"/>
    <w:rsid w:val="004C3F29"/>
    <w:rsid w:val="004C3F5F"/>
    <w:rsid w:val="004C3FA9"/>
    <w:rsid w:val="004C3FFC"/>
    <w:rsid w:val="004C405F"/>
    <w:rsid w:val="004C41A2"/>
    <w:rsid w:val="004C41D2"/>
    <w:rsid w:val="004C427C"/>
    <w:rsid w:val="004C4312"/>
    <w:rsid w:val="004C4341"/>
    <w:rsid w:val="004C434C"/>
    <w:rsid w:val="004C436C"/>
    <w:rsid w:val="004C43F7"/>
    <w:rsid w:val="004C44D9"/>
    <w:rsid w:val="004C44E1"/>
    <w:rsid w:val="004C451E"/>
    <w:rsid w:val="004C45DC"/>
    <w:rsid w:val="004C4687"/>
    <w:rsid w:val="004C468D"/>
    <w:rsid w:val="004C46A4"/>
    <w:rsid w:val="004C46EC"/>
    <w:rsid w:val="004C473E"/>
    <w:rsid w:val="004C47E9"/>
    <w:rsid w:val="004C485D"/>
    <w:rsid w:val="004C488F"/>
    <w:rsid w:val="004C4962"/>
    <w:rsid w:val="004C4A1B"/>
    <w:rsid w:val="004C4A67"/>
    <w:rsid w:val="004C4A87"/>
    <w:rsid w:val="004C4A9C"/>
    <w:rsid w:val="004C4D1C"/>
    <w:rsid w:val="004C4D6F"/>
    <w:rsid w:val="004C4DC7"/>
    <w:rsid w:val="004C4E69"/>
    <w:rsid w:val="004C4EC5"/>
    <w:rsid w:val="004C5008"/>
    <w:rsid w:val="004C5054"/>
    <w:rsid w:val="004C50CB"/>
    <w:rsid w:val="004C50FC"/>
    <w:rsid w:val="004C5116"/>
    <w:rsid w:val="004C5193"/>
    <w:rsid w:val="004C51CF"/>
    <w:rsid w:val="004C529A"/>
    <w:rsid w:val="004C52EA"/>
    <w:rsid w:val="004C52F8"/>
    <w:rsid w:val="004C53D0"/>
    <w:rsid w:val="004C53E4"/>
    <w:rsid w:val="004C55F3"/>
    <w:rsid w:val="004C5872"/>
    <w:rsid w:val="004C5887"/>
    <w:rsid w:val="004C58F6"/>
    <w:rsid w:val="004C5922"/>
    <w:rsid w:val="004C5971"/>
    <w:rsid w:val="004C59D2"/>
    <w:rsid w:val="004C5A05"/>
    <w:rsid w:val="004C5A53"/>
    <w:rsid w:val="004C5A89"/>
    <w:rsid w:val="004C5BBD"/>
    <w:rsid w:val="004C5C09"/>
    <w:rsid w:val="004C5C1B"/>
    <w:rsid w:val="004C5C4A"/>
    <w:rsid w:val="004C5C50"/>
    <w:rsid w:val="004C5D31"/>
    <w:rsid w:val="004C5D3F"/>
    <w:rsid w:val="004C5D74"/>
    <w:rsid w:val="004C5D85"/>
    <w:rsid w:val="004C5DC2"/>
    <w:rsid w:val="004C5DF1"/>
    <w:rsid w:val="004C5E38"/>
    <w:rsid w:val="004C5F48"/>
    <w:rsid w:val="004C5F55"/>
    <w:rsid w:val="004C5F6C"/>
    <w:rsid w:val="004C5FCA"/>
    <w:rsid w:val="004C6057"/>
    <w:rsid w:val="004C60DE"/>
    <w:rsid w:val="004C617F"/>
    <w:rsid w:val="004C618D"/>
    <w:rsid w:val="004C61EC"/>
    <w:rsid w:val="004C624E"/>
    <w:rsid w:val="004C6362"/>
    <w:rsid w:val="004C6375"/>
    <w:rsid w:val="004C638E"/>
    <w:rsid w:val="004C63AA"/>
    <w:rsid w:val="004C648C"/>
    <w:rsid w:val="004C661D"/>
    <w:rsid w:val="004C666F"/>
    <w:rsid w:val="004C667D"/>
    <w:rsid w:val="004C6721"/>
    <w:rsid w:val="004C67FD"/>
    <w:rsid w:val="004C69AB"/>
    <w:rsid w:val="004C6A0A"/>
    <w:rsid w:val="004C6A6A"/>
    <w:rsid w:val="004C6B3E"/>
    <w:rsid w:val="004C6B42"/>
    <w:rsid w:val="004C6B47"/>
    <w:rsid w:val="004C6BA5"/>
    <w:rsid w:val="004C6C2C"/>
    <w:rsid w:val="004C6C6D"/>
    <w:rsid w:val="004C6C86"/>
    <w:rsid w:val="004C6C96"/>
    <w:rsid w:val="004C6C9A"/>
    <w:rsid w:val="004C6CC0"/>
    <w:rsid w:val="004C6CC1"/>
    <w:rsid w:val="004C6CE1"/>
    <w:rsid w:val="004C6CFC"/>
    <w:rsid w:val="004C6D61"/>
    <w:rsid w:val="004C6D66"/>
    <w:rsid w:val="004C6D80"/>
    <w:rsid w:val="004C6E46"/>
    <w:rsid w:val="004C6E63"/>
    <w:rsid w:val="004C6E85"/>
    <w:rsid w:val="004C6E8E"/>
    <w:rsid w:val="004C6EF3"/>
    <w:rsid w:val="004C6FC5"/>
    <w:rsid w:val="004C7016"/>
    <w:rsid w:val="004C7062"/>
    <w:rsid w:val="004C70C2"/>
    <w:rsid w:val="004C7146"/>
    <w:rsid w:val="004C71A2"/>
    <w:rsid w:val="004C71F5"/>
    <w:rsid w:val="004C724D"/>
    <w:rsid w:val="004C724F"/>
    <w:rsid w:val="004C7290"/>
    <w:rsid w:val="004C7317"/>
    <w:rsid w:val="004C7338"/>
    <w:rsid w:val="004C7356"/>
    <w:rsid w:val="004C74CC"/>
    <w:rsid w:val="004C7626"/>
    <w:rsid w:val="004C764C"/>
    <w:rsid w:val="004C76B0"/>
    <w:rsid w:val="004C7709"/>
    <w:rsid w:val="004C771A"/>
    <w:rsid w:val="004C783D"/>
    <w:rsid w:val="004C7845"/>
    <w:rsid w:val="004C7894"/>
    <w:rsid w:val="004C78E4"/>
    <w:rsid w:val="004C7914"/>
    <w:rsid w:val="004C79D3"/>
    <w:rsid w:val="004C79D4"/>
    <w:rsid w:val="004C7A22"/>
    <w:rsid w:val="004C7A6D"/>
    <w:rsid w:val="004C7A74"/>
    <w:rsid w:val="004C7AB8"/>
    <w:rsid w:val="004C7B8A"/>
    <w:rsid w:val="004C7C73"/>
    <w:rsid w:val="004C7E48"/>
    <w:rsid w:val="004C7F14"/>
    <w:rsid w:val="004C7F32"/>
    <w:rsid w:val="004C7F48"/>
    <w:rsid w:val="004D002D"/>
    <w:rsid w:val="004D00AA"/>
    <w:rsid w:val="004D00B5"/>
    <w:rsid w:val="004D019F"/>
    <w:rsid w:val="004D01F5"/>
    <w:rsid w:val="004D0208"/>
    <w:rsid w:val="004D02B7"/>
    <w:rsid w:val="004D0300"/>
    <w:rsid w:val="004D0391"/>
    <w:rsid w:val="004D03D1"/>
    <w:rsid w:val="004D0406"/>
    <w:rsid w:val="004D0435"/>
    <w:rsid w:val="004D0448"/>
    <w:rsid w:val="004D0547"/>
    <w:rsid w:val="004D0622"/>
    <w:rsid w:val="004D06BB"/>
    <w:rsid w:val="004D0750"/>
    <w:rsid w:val="004D0775"/>
    <w:rsid w:val="004D094C"/>
    <w:rsid w:val="004D0998"/>
    <w:rsid w:val="004D09EF"/>
    <w:rsid w:val="004D09F4"/>
    <w:rsid w:val="004D0AE3"/>
    <w:rsid w:val="004D0B31"/>
    <w:rsid w:val="004D0BC9"/>
    <w:rsid w:val="004D0BE0"/>
    <w:rsid w:val="004D0C40"/>
    <w:rsid w:val="004D0CA5"/>
    <w:rsid w:val="004D0DC6"/>
    <w:rsid w:val="004D0DE9"/>
    <w:rsid w:val="004D0DFC"/>
    <w:rsid w:val="004D0E17"/>
    <w:rsid w:val="004D0EAD"/>
    <w:rsid w:val="004D0F6B"/>
    <w:rsid w:val="004D0FA5"/>
    <w:rsid w:val="004D1109"/>
    <w:rsid w:val="004D1189"/>
    <w:rsid w:val="004D11CC"/>
    <w:rsid w:val="004D1208"/>
    <w:rsid w:val="004D124E"/>
    <w:rsid w:val="004D1277"/>
    <w:rsid w:val="004D130E"/>
    <w:rsid w:val="004D1338"/>
    <w:rsid w:val="004D133B"/>
    <w:rsid w:val="004D14F2"/>
    <w:rsid w:val="004D1505"/>
    <w:rsid w:val="004D15BF"/>
    <w:rsid w:val="004D15DD"/>
    <w:rsid w:val="004D15FC"/>
    <w:rsid w:val="004D165B"/>
    <w:rsid w:val="004D1667"/>
    <w:rsid w:val="004D16F2"/>
    <w:rsid w:val="004D172A"/>
    <w:rsid w:val="004D1774"/>
    <w:rsid w:val="004D1820"/>
    <w:rsid w:val="004D186A"/>
    <w:rsid w:val="004D186C"/>
    <w:rsid w:val="004D18B8"/>
    <w:rsid w:val="004D1911"/>
    <w:rsid w:val="004D1A77"/>
    <w:rsid w:val="004D1BB3"/>
    <w:rsid w:val="004D1C22"/>
    <w:rsid w:val="004D1F30"/>
    <w:rsid w:val="004D1F4E"/>
    <w:rsid w:val="004D1F5A"/>
    <w:rsid w:val="004D200D"/>
    <w:rsid w:val="004D2051"/>
    <w:rsid w:val="004D2263"/>
    <w:rsid w:val="004D2272"/>
    <w:rsid w:val="004D2449"/>
    <w:rsid w:val="004D249F"/>
    <w:rsid w:val="004D24CA"/>
    <w:rsid w:val="004D24D1"/>
    <w:rsid w:val="004D2709"/>
    <w:rsid w:val="004D27A2"/>
    <w:rsid w:val="004D280E"/>
    <w:rsid w:val="004D2823"/>
    <w:rsid w:val="004D2839"/>
    <w:rsid w:val="004D2882"/>
    <w:rsid w:val="004D290F"/>
    <w:rsid w:val="004D29C0"/>
    <w:rsid w:val="004D29C6"/>
    <w:rsid w:val="004D29E4"/>
    <w:rsid w:val="004D2A09"/>
    <w:rsid w:val="004D2CA6"/>
    <w:rsid w:val="004D2CB6"/>
    <w:rsid w:val="004D2D8A"/>
    <w:rsid w:val="004D2DE7"/>
    <w:rsid w:val="004D2E6B"/>
    <w:rsid w:val="004D2F18"/>
    <w:rsid w:val="004D2F24"/>
    <w:rsid w:val="004D2F3E"/>
    <w:rsid w:val="004D30CE"/>
    <w:rsid w:val="004D311D"/>
    <w:rsid w:val="004D31C6"/>
    <w:rsid w:val="004D3287"/>
    <w:rsid w:val="004D329B"/>
    <w:rsid w:val="004D33AE"/>
    <w:rsid w:val="004D33AF"/>
    <w:rsid w:val="004D3426"/>
    <w:rsid w:val="004D34DE"/>
    <w:rsid w:val="004D35D5"/>
    <w:rsid w:val="004D35E0"/>
    <w:rsid w:val="004D36D3"/>
    <w:rsid w:val="004D37AC"/>
    <w:rsid w:val="004D37D3"/>
    <w:rsid w:val="004D38A6"/>
    <w:rsid w:val="004D38C0"/>
    <w:rsid w:val="004D38D6"/>
    <w:rsid w:val="004D38DF"/>
    <w:rsid w:val="004D396E"/>
    <w:rsid w:val="004D3A49"/>
    <w:rsid w:val="004D3A78"/>
    <w:rsid w:val="004D3A84"/>
    <w:rsid w:val="004D3AEE"/>
    <w:rsid w:val="004D3BC2"/>
    <w:rsid w:val="004D3CBD"/>
    <w:rsid w:val="004D3D17"/>
    <w:rsid w:val="004D3D22"/>
    <w:rsid w:val="004D3DA7"/>
    <w:rsid w:val="004D3DC4"/>
    <w:rsid w:val="004D3DCD"/>
    <w:rsid w:val="004D3DD3"/>
    <w:rsid w:val="004D3E07"/>
    <w:rsid w:val="004D3ECD"/>
    <w:rsid w:val="004D3FD0"/>
    <w:rsid w:val="004D3FEC"/>
    <w:rsid w:val="004D3FF0"/>
    <w:rsid w:val="004D3FF7"/>
    <w:rsid w:val="004D4007"/>
    <w:rsid w:val="004D404E"/>
    <w:rsid w:val="004D405D"/>
    <w:rsid w:val="004D4070"/>
    <w:rsid w:val="004D40B8"/>
    <w:rsid w:val="004D40D3"/>
    <w:rsid w:val="004D40E5"/>
    <w:rsid w:val="004D4117"/>
    <w:rsid w:val="004D414D"/>
    <w:rsid w:val="004D417A"/>
    <w:rsid w:val="004D418E"/>
    <w:rsid w:val="004D41A6"/>
    <w:rsid w:val="004D427A"/>
    <w:rsid w:val="004D4296"/>
    <w:rsid w:val="004D432E"/>
    <w:rsid w:val="004D43A7"/>
    <w:rsid w:val="004D43B4"/>
    <w:rsid w:val="004D443C"/>
    <w:rsid w:val="004D444E"/>
    <w:rsid w:val="004D4492"/>
    <w:rsid w:val="004D4499"/>
    <w:rsid w:val="004D44EB"/>
    <w:rsid w:val="004D4528"/>
    <w:rsid w:val="004D464B"/>
    <w:rsid w:val="004D4666"/>
    <w:rsid w:val="004D477D"/>
    <w:rsid w:val="004D47E7"/>
    <w:rsid w:val="004D4808"/>
    <w:rsid w:val="004D4858"/>
    <w:rsid w:val="004D4862"/>
    <w:rsid w:val="004D48F4"/>
    <w:rsid w:val="004D4944"/>
    <w:rsid w:val="004D4977"/>
    <w:rsid w:val="004D4984"/>
    <w:rsid w:val="004D49A6"/>
    <w:rsid w:val="004D4A00"/>
    <w:rsid w:val="004D4A83"/>
    <w:rsid w:val="004D4AE8"/>
    <w:rsid w:val="004D4B41"/>
    <w:rsid w:val="004D4BD5"/>
    <w:rsid w:val="004D4C6A"/>
    <w:rsid w:val="004D4CCE"/>
    <w:rsid w:val="004D4DC0"/>
    <w:rsid w:val="004D4E0B"/>
    <w:rsid w:val="004D521D"/>
    <w:rsid w:val="004D528E"/>
    <w:rsid w:val="004D52FB"/>
    <w:rsid w:val="004D531C"/>
    <w:rsid w:val="004D536F"/>
    <w:rsid w:val="004D53A2"/>
    <w:rsid w:val="004D53DE"/>
    <w:rsid w:val="004D53DF"/>
    <w:rsid w:val="004D53E6"/>
    <w:rsid w:val="004D543A"/>
    <w:rsid w:val="004D5476"/>
    <w:rsid w:val="004D5493"/>
    <w:rsid w:val="004D54C8"/>
    <w:rsid w:val="004D5544"/>
    <w:rsid w:val="004D56AF"/>
    <w:rsid w:val="004D56C1"/>
    <w:rsid w:val="004D5779"/>
    <w:rsid w:val="004D57BC"/>
    <w:rsid w:val="004D58EA"/>
    <w:rsid w:val="004D593C"/>
    <w:rsid w:val="004D5BE4"/>
    <w:rsid w:val="004D5C1D"/>
    <w:rsid w:val="004D5C36"/>
    <w:rsid w:val="004D5CD2"/>
    <w:rsid w:val="004D5D57"/>
    <w:rsid w:val="004D5D5E"/>
    <w:rsid w:val="004D5D81"/>
    <w:rsid w:val="004D5DF0"/>
    <w:rsid w:val="004D5DF1"/>
    <w:rsid w:val="004D5E48"/>
    <w:rsid w:val="004D5E7A"/>
    <w:rsid w:val="004D5EF8"/>
    <w:rsid w:val="004D5F6E"/>
    <w:rsid w:val="004D6073"/>
    <w:rsid w:val="004D6097"/>
    <w:rsid w:val="004D61A4"/>
    <w:rsid w:val="004D61A6"/>
    <w:rsid w:val="004D6202"/>
    <w:rsid w:val="004D623E"/>
    <w:rsid w:val="004D638A"/>
    <w:rsid w:val="004D639A"/>
    <w:rsid w:val="004D6405"/>
    <w:rsid w:val="004D6464"/>
    <w:rsid w:val="004D64D1"/>
    <w:rsid w:val="004D651F"/>
    <w:rsid w:val="004D6530"/>
    <w:rsid w:val="004D653B"/>
    <w:rsid w:val="004D653E"/>
    <w:rsid w:val="004D6588"/>
    <w:rsid w:val="004D6769"/>
    <w:rsid w:val="004D687C"/>
    <w:rsid w:val="004D698C"/>
    <w:rsid w:val="004D6A2C"/>
    <w:rsid w:val="004D6A4F"/>
    <w:rsid w:val="004D6AE1"/>
    <w:rsid w:val="004D6B0B"/>
    <w:rsid w:val="004D6BCF"/>
    <w:rsid w:val="004D6BE9"/>
    <w:rsid w:val="004D6C69"/>
    <w:rsid w:val="004D6D18"/>
    <w:rsid w:val="004D6E10"/>
    <w:rsid w:val="004D6F0E"/>
    <w:rsid w:val="004D6F6A"/>
    <w:rsid w:val="004D6F97"/>
    <w:rsid w:val="004D6FE0"/>
    <w:rsid w:val="004D701B"/>
    <w:rsid w:val="004D70C0"/>
    <w:rsid w:val="004D71EB"/>
    <w:rsid w:val="004D7211"/>
    <w:rsid w:val="004D725D"/>
    <w:rsid w:val="004D726B"/>
    <w:rsid w:val="004D72E9"/>
    <w:rsid w:val="004D7311"/>
    <w:rsid w:val="004D73D7"/>
    <w:rsid w:val="004D742D"/>
    <w:rsid w:val="004D7452"/>
    <w:rsid w:val="004D747F"/>
    <w:rsid w:val="004D752F"/>
    <w:rsid w:val="004D75EC"/>
    <w:rsid w:val="004D7661"/>
    <w:rsid w:val="004D76C7"/>
    <w:rsid w:val="004D774A"/>
    <w:rsid w:val="004D7772"/>
    <w:rsid w:val="004D7914"/>
    <w:rsid w:val="004D7994"/>
    <w:rsid w:val="004D79A6"/>
    <w:rsid w:val="004D79B2"/>
    <w:rsid w:val="004D7AAD"/>
    <w:rsid w:val="004D7AC0"/>
    <w:rsid w:val="004D7B31"/>
    <w:rsid w:val="004D7B4E"/>
    <w:rsid w:val="004D7BEC"/>
    <w:rsid w:val="004D7C55"/>
    <w:rsid w:val="004D7C6C"/>
    <w:rsid w:val="004D7CC2"/>
    <w:rsid w:val="004D7CE1"/>
    <w:rsid w:val="004D7D2B"/>
    <w:rsid w:val="004D7D79"/>
    <w:rsid w:val="004D7D7B"/>
    <w:rsid w:val="004D7DAC"/>
    <w:rsid w:val="004D7FC4"/>
    <w:rsid w:val="004E0001"/>
    <w:rsid w:val="004E009B"/>
    <w:rsid w:val="004E0124"/>
    <w:rsid w:val="004E022B"/>
    <w:rsid w:val="004E022F"/>
    <w:rsid w:val="004E02AE"/>
    <w:rsid w:val="004E03B6"/>
    <w:rsid w:val="004E03E5"/>
    <w:rsid w:val="004E0490"/>
    <w:rsid w:val="004E04E8"/>
    <w:rsid w:val="004E04F1"/>
    <w:rsid w:val="004E0553"/>
    <w:rsid w:val="004E059D"/>
    <w:rsid w:val="004E05E5"/>
    <w:rsid w:val="004E05F0"/>
    <w:rsid w:val="004E065D"/>
    <w:rsid w:val="004E066E"/>
    <w:rsid w:val="004E06DE"/>
    <w:rsid w:val="004E06E9"/>
    <w:rsid w:val="004E071E"/>
    <w:rsid w:val="004E075C"/>
    <w:rsid w:val="004E0861"/>
    <w:rsid w:val="004E0970"/>
    <w:rsid w:val="004E09B7"/>
    <w:rsid w:val="004E0A33"/>
    <w:rsid w:val="004E0A45"/>
    <w:rsid w:val="004E0AE0"/>
    <w:rsid w:val="004E0B73"/>
    <w:rsid w:val="004E0C9A"/>
    <w:rsid w:val="004E0D43"/>
    <w:rsid w:val="004E0DAF"/>
    <w:rsid w:val="004E0DE6"/>
    <w:rsid w:val="004E0E51"/>
    <w:rsid w:val="004E0EE4"/>
    <w:rsid w:val="004E1037"/>
    <w:rsid w:val="004E10FA"/>
    <w:rsid w:val="004E117C"/>
    <w:rsid w:val="004E11A3"/>
    <w:rsid w:val="004E11FE"/>
    <w:rsid w:val="004E1265"/>
    <w:rsid w:val="004E12CE"/>
    <w:rsid w:val="004E146F"/>
    <w:rsid w:val="004E1526"/>
    <w:rsid w:val="004E154C"/>
    <w:rsid w:val="004E1564"/>
    <w:rsid w:val="004E16A3"/>
    <w:rsid w:val="004E16C0"/>
    <w:rsid w:val="004E183C"/>
    <w:rsid w:val="004E1853"/>
    <w:rsid w:val="004E1858"/>
    <w:rsid w:val="004E187B"/>
    <w:rsid w:val="004E19E1"/>
    <w:rsid w:val="004E1A3A"/>
    <w:rsid w:val="004E1A7D"/>
    <w:rsid w:val="004E1AC4"/>
    <w:rsid w:val="004E1AD0"/>
    <w:rsid w:val="004E1ADF"/>
    <w:rsid w:val="004E1AF9"/>
    <w:rsid w:val="004E1B2B"/>
    <w:rsid w:val="004E1B47"/>
    <w:rsid w:val="004E1B49"/>
    <w:rsid w:val="004E1BED"/>
    <w:rsid w:val="004E1C24"/>
    <w:rsid w:val="004E1C57"/>
    <w:rsid w:val="004E1C6E"/>
    <w:rsid w:val="004E1C9B"/>
    <w:rsid w:val="004E1D1B"/>
    <w:rsid w:val="004E1D5A"/>
    <w:rsid w:val="004E1DCA"/>
    <w:rsid w:val="004E1E33"/>
    <w:rsid w:val="004E1F31"/>
    <w:rsid w:val="004E1FAB"/>
    <w:rsid w:val="004E20A6"/>
    <w:rsid w:val="004E20BA"/>
    <w:rsid w:val="004E21C1"/>
    <w:rsid w:val="004E21F5"/>
    <w:rsid w:val="004E2234"/>
    <w:rsid w:val="004E240A"/>
    <w:rsid w:val="004E2414"/>
    <w:rsid w:val="004E2502"/>
    <w:rsid w:val="004E262C"/>
    <w:rsid w:val="004E26B5"/>
    <w:rsid w:val="004E26C2"/>
    <w:rsid w:val="004E26D8"/>
    <w:rsid w:val="004E2705"/>
    <w:rsid w:val="004E2764"/>
    <w:rsid w:val="004E282D"/>
    <w:rsid w:val="004E2855"/>
    <w:rsid w:val="004E2896"/>
    <w:rsid w:val="004E29D5"/>
    <w:rsid w:val="004E29DC"/>
    <w:rsid w:val="004E2A02"/>
    <w:rsid w:val="004E2B31"/>
    <w:rsid w:val="004E2B95"/>
    <w:rsid w:val="004E2BDC"/>
    <w:rsid w:val="004E2BF7"/>
    <w:rsid w:val="004E2CDD"/>
    <w:rsid w:val="004E2D3B"/>
    <w:rsid w:val="004E2D3D"/>
    <w:rsid w:val="004E2D44"/>
    <w:rsid w:val="004E2D4F"/>
    <w:rsid w:val="004E2E32"/>
    <w:rsid w:val="004E2F85"/>
    <w:rsid w:val="004E2FCD"/>
    <w:rsid w:val="004E3029"/>
    <w:rsid w:val="004E31D4"/>
    <w:rsid w:val="004E321E"/>
    <w:rsid w:val="004E3223"/>
    <w:rsid w:val="004E3237"/>
    <w:rsid w:val="004E32B0"/>
    <w:rsid w:val="004E3399"/>
    <w:rsid w:val="004E33D5"/>
    <w:rsid w:val="004E348A"/>
    <w:rsid w:val="004E34A1"/>
    <w:rsid w:val="004E34A2"/>
    <w:rsid w:val="004E34B8"/>
    <w:rsid w:val="004E352A"/>
    <w:rsid w:val="004E3535"/>
    <w:rsid w:val="004E3542"/>
    <w:rsid w:val="004E360E"/>
    <w:rsid w:val="004E3644"/>
    <w:rsid w:val="004E365C"/>
    <w:rsid w:val="004E3662"/>
    <w:rsid w:val="004E368F"/>
    <w:rsid w:val="004E36F8"/>
    <w:rsid w:val="004E374A"/>
    <w:rsid w:val="004E3758"/>
    <w:rsid w:val="004E3770"/>
    <w:rsid w:val="004E37E0"/>
    <w:rsid w:val="004E38BD"/>
    <w:rsid w:val="004E38CE"/>
    <w:rsid w:val="004E3933"/>
    <w:rsid w:val="004E3AC7"/>
    <w:rsid w:val="004E3B40"/>
    <w:rsid w:val="004E3BCF"/>
    <w:rsid w:val="004E3BF3"/>
    <w:rsid w:val="004E3C23"/>
    <w:rsid w:val="004E3CC6"/>
    <w:rsid w:val="004E3CDF"/>
    <w:rsid w:val="004E3D11"/>
    <w:rsid w:val="004E3D94"/>
    <w:rsid w:val="004E3F32"/>
    <w:rsid w:val="004E3FB1"/>
    <w:rsid w:val="004E401A"/>
    <w:rsid w:val="004E40F3"/>
    <w:rsid w:val="004E412A"/>
    <w:rsid w:val="004E4197"/>
    <w:rsid w:val="004E4220"/>
    <w:rsid w:val="004E4265"/>
    <w:rsid w:val="004E42A1"/>
    <w:rsid w:val="004E42B6"/>
    <w:rsid w:val="004E4352"/>
    <w:rsid w:val="004E4413"/>
    <w:rsid w:val="004E4501"/>
    <w:rsid w:val="004E4515"/>
    <w:rsid w:val="004E45B8"/>
    <w:rsid w:val="004E45C4"/>
    <w:rsid w:val="004E465C"/>
    <w:rsid w:val="004E4689"/>
    <w:rsid w:val="004E46B1"/>
    <w:rsid w:val="004E46BB"/>
    <w:rsid w:val="004E4728"/>
    <w:rsid w:val="004E4750"/>
    <w:rsid w:val="004E476C"/>
    <w:rsid w:val="004E47B3"/>
    <w:rsid w:val="004E4833"/>
    <w:rsid w:val="004E48D5"/>
    <w:rsid w:val="004E4983"/>
    <w:rsid w:val="004E49A3"/>
    <w:rsid w:val="004E4AD4"/>
    <w:rsid w:val="004E4C33"/>
    <w:rsid w:val="004E4C38"/>
    <w:rsid w:val="004E4C83"/>
    <w:rsid w:val="004E4CB3"/>
    <w:rsid w:val="004E4CB9"/>
    <w:rsid w:val="004E4CDD"/>
    <w:rsid w:val="004E4DA3"/>
    <w:rsid w:val="004E4DD5"/>
    <w:rsid w:val="004E4ECD"/>
    <w:rsid w:val="004E4ED9"/>
    <w:rsid w:val="004E4EE4"/>
    <w:rsid w:val="004E5026"/>
    <w:rsid w:val="004E508B"/>
    <w:rsid w:val="004E50A9"/>
    <w:rsid w:val="004E50AD"/>
    <w:rsid w:val="004E511A"/>
    <w:rsid w:val="004E5161"/>
    <w:rsid w:val="004E51BE"/>
    <w:rsid w:val="004E5203"/>
    <w:rsid w:val="004E529F"/>
    <w:rsid w:val="004E534D"/>
    <w:rsid w:val="004E535C"/>
    <w:rsid w:val="004E53D2"/>
    <w:rsid w:val="004E53EF"/>
    <w:rsid w:val="004E54B3"/>
    <w:rsid w:val="004E559D"/>
    <w:rsid w:val="004E55A2"/>
    <w:rsid w:val="004E5629"/>
    <w:rsid w:val="004E577E"/>
    <w:rsid w:val="004E581B"/>
    <w:rsid w:val="004E588F"/>
    <w:rsid w:val="004E5924"/>
    <w:rsid w:val="004E593E"/>
    <w:rsid w:val="004E598B"/>
    <w:rsid w:val="004E5A4F"/>
    <w:rsid w:val="004E5A8E"/>
    <w:rsid w:val="004E5AA2"/>
    <w:rsid w:val="004E5B5D"/>
    <w:rsid w:val="004E5BB7"/>
    <w:rsid w:val="004E5BCD"/>
    <w:rsid w:val="004E5C5B"/>
    <w:rsid w:val="004E5CCE"/>
    <w:rsid w:val="004E5D2B"/>
    <w:rsid w:val="004E5E52"/>
    <w:rsid w:val="004E5EB7"/>
    <w:rsid w:val="004E5EF2"/>
    <w:rsid w:val="004E5EFC"/>
    <w:rsid w:val="004E5FBE"/>
    <w:rsid w:val="004E601D"/>
    <w:rsid w:val="004E6038"/>
    <w:rsid w:val="004E604A"/>
    <w:rsid w:val="004E608A"/>
    <w:rsid w:val="004E6110"/>
    <w:rsid w:val="004E6158"/>
    <w:rsid w:val="004E6195"/>
    <w:rsid w:val="004E6199"/>
    <w:rsid w:val="004E61F7"/>
    <w:rsid w:val="004E6321"/>
    <w:rsid w:val="004E6406"/>
    <w:rsid w:val="004E6428"/>
    <w:rsid w:val="004E6554"/>
    <w:rsid w:val="004E6580"/>
    <w:rsid w:val="004E66CE"/>
    <w:rsid w:val="004E671A"/>
    <w:rsid w:val="004E6839"/>
    <w:rsid w:val="004E68F4"/>
    <w:rsid w:val="004E68F8"/>
    <w:rsid w:val="004E691F"/>
    <w:rsid w:val="004E6988"/>
    <w:rsid w:val="004E6994"/>
    <w:rsid w:val="004E69A5"/>
    <w:rsid w:val="004E69B1"/>
    <w:rsid w:val="004E69B4"/>
    <w:rsid w:val="004E6A52"/>
    <w:rsid w:val="004E6AD9"/>
    <w:rsid w:val="004E6AE3"/>
    <w:rsid w:val="004E6B4F"/>
    <w:rsid w:val="004E6B5F"/>
    <w:rsid w:val="004E6B6F"/>
    <w:rsid w:val="004E6BB7"/>
    <w:rsid w:val="004E6C46"/>
    <w:rsid w:val="004E6D05"/>
    <w:rsid w:val="004E6DB2"/>
    <w:rsid w:val="004E6DBA"/>
    <w:rsid w:val="004E6F6D"/>
    <w:rsid w:val="004E6F89"/>
    <w:rsid w:val="004E6FAD"/>
    <w:rsid w:val="004E6FC0"/>
    <w:rsid w:val="004E707B"/>
    <w:rsid w:val="004E70B5"/>
    <w:rsid w:val="004E715A"/>
    <w:rsid w:val="004E7171"/>
    <w:rsid w:val="004E7188"/>
    <w:rsid w:val="004E72C9"/>
    <w:rsid w:val="004E7309"/>
    <w:rsid w:val="004E731C"/>
    <w:rsid w:val="004E7409"/>
    <w:rsid w:val="004E7494"/>
    <w:rsid w:val="004E74DF"/>
    <w:rsid w:val="004E75C5"/>
    <w:rsid w:val="004E76D8"/>
    <w:rsid w:val="004E775E"/>
    <w:rsid w:val="004E77A5"/>
    <w:rsid w:val="004E7831"/>
    <w:rsid w:val="004E793D"/>
    <w:rsid w:val="004E7986"/>
    <w:rsid w:val="004E7A09"/>
    <w:rsid w:val="004E7A32"/>
    <w:rsid w:val="004E7A53"/>
    <w:rsid w:val="004E7A5E"/>
    <w:rsid w:val="004E7A98"/>
    <w:rsid w:val="004E7ACF"/>
    <w:rsid w:val="004E7B47"/>
    <w:rsid w:val="004E7B74"/>
    <w:rsid w:val="004E7C13"/>
    <w:rsid w:val="004E7CFC"/>
    <w:rsid w:val="004E7D0E"/>
    <w:rsid w:val="004E7E39"/>
    <w:rsid w:val="004E7E5C"/>
    <w:rsid w:val="004E7EDE"/>
    <w:rsid w:val="004E7F13"/>
    <w:rsid w:val="004E7F63"/>
    <w:rsid w:val="004E7FAC"/>
    <w:rsid w:val="004F0020"/>
    <w:rsid w:val="004F008E"/>
    <w:rsid w:val="004F0092"/>
    <w:rsid w:val="004F00B5"/>
    <w:rsid w:val="004F00D2"/>
    <w:rsid w:val="004F0155"/>
    <w:rsid w:val="004F018E"/>
    <w:rsid w:val="004F01F3"/>
    <w:rsid w:val="004F02BD"/>
    <w:rsid w:val="004F042A"/>
    <w:rsid w:val="004F0463"/>
    <w:rsid w:val="004F04AF"/>
    <w:rsid w:val="004F04E4"/>
    <w:rsid w:val="004F0512"/>
    <w:rsid w:val="004F0556"/>
    <w:rsid w:val="004F0651"/>
    <w:rsid w:val="004F0695"/>
    <w:rsid w:val="004F07D0"/>
    <w:rsid w:val="004F07F5"/>
    <w:rsid w:val="004F0AEA"/>
    <w:rsid w:val="004F0B8A"/>
    <w:rsid w:val="004F0BDC"/>
    <w:rsid w:val="004F0BF6"/>
    <w:rsid w:val="004F0C56"/>
    <w:rsid w:val="004F0CEB"/>
    <w:rsid w:val="004F0CF5"/>
    <w:rsid w:val="004F0D9D"/>
    <w:rsid w:val="004F0E44"/>
    <w:rsid w:val="004F0EBD"/>
    <w:rsid w:val="004F0F76"/>
    <w:rsid w:val="004F0F96"/>
    <w:rsid w:val="004F0FEB"/>
    <w:rsid w:val="004F1082"/>
    <w:rsid w:val="004F110E"/>
    <w:rsid w:val="004F1110"/>
    <w:rsid w:val="004F1144"/>
    <w:rsid w:val="004F1224"/>
    <w:rsid w:val="004F123E"/>
    <w:rsid w:val="004F1287"/>
    <w:rsid w:val="004F12FA"/>
    <w:rsid w:val="004F1359"/>
    <w:rsid w:val="004F1390"/>
    <w:rsid w:val="004F1563"/>
    <w:rsid w:val="004F1660"/>
    <w:rsid w:val="004F16B3"/>
    <w:rsid w:val="004F172C"/>
    <w:rsid w:val="004F1739"/>
    <w:rsid w:val="004F1779"/>
    <w:rsid w:val="004F1792"/>
    <w:rsid w:val="004F18B1"/>
    <w:rsid w:val="004F18BA"/>
    <w:rsid w:val="004F19C7"/>
    <w:rsid w:val="004F19CC"/>
    <w:rsid w:val="004F19D6"/>
    <w:rsid w:val="004F1A71"/>
    <w:rsid w:val="004F1B1E"/>
    <w:rsid w:val="004F1B20"/>
    <w:rsid w:val="004F1B4E"/>
    <w:rsid w:val="004F1B8C"/>
    <w:rsid w:val="004F1C06"/>
    <w:rsid w:val="004F1C34"/>
    <w:rsid w:val="004F1CCF"/>
    <w:rsid w:val="004F1CF3"/>
    <w:rsid w:val="004F1D3C"/>
    <w:rsid w:val="004F1D8E"/>
    <w:rsid w:val="004F1EA9"/>
    <w:rsid w:val="004F1F83"/>
    <w:rsid w:val="004F1FB2"/>
    <w:rsid w:val="004F20B1"/>
    <w:rsid w:val="004F20D3"/>
    <w:rsid w:val="004F20FB"/>
    <w:rsid w:val="004F224C"/>
    <w:rsid w:val="004F22C7"/>
    <w:rsid w:val="004F22E6"/>
    <w:rsid w:val="004F2353"/>
    <w:rsid w:val="004F238A"/>
    <w:rsid w:val="004F23AD"/>
    <w:rsid w:val="004F23BC"/>
    <w:rsid w:val="004F23C5"/>
    <w:rsid w:val="004F2441"/>
    <w:rsid w:val="004F2476"/>
    <w:rsid w:val="004F252E"/>
    <w:rsid w:val="004F2570"/>
    <w:rsid w:val="004F2590"/>
    <w:rsid w:val="004F2611"/>
    <w:rsid w:val="004F2621"/>
    <w:rsid w:val="004F27B1"/>
    <w:rsid w:val="004F2803"/>
    <w:rsid w:val="004F2885"/>
    <w:rsid w:val="004F2973"/>
    <w:rsid w:val="004F29AB"/>
    <w:rsid w:val="004F29B0"/>
    <w:rsid w:val="004F29EC"/>
    <w:rsid w:val="004F2A06"/>
    <w:rsid w:val="004F2A39"/>
    <w:rsid w:val="004F2A94"/>
    <w:rsid w:val="004F2B69"/>
    <w:rsid w:val="004F2BA4"/>
    <w:rsid w:val="004F2C3F"/>
    <w:rsid w:val="004F2C40"/>
    <w:rsid w:val="004F2C50"/>
    <w:rsid w:val="004F2C75"/>
    <w:rsid w:val="004F2CE6"/>
    <w:rsid w:val="004F2F39"/>
    <w:rsid w:val="004F3043"/>
    <w:rsid w:val="004F3062"/>
    <w:rsid w:val="004F3073"/>
    <w:rsid w:val="004F3150"/>
    <w:rsid w:val="004F31D8"/>
    <w:rsid w:val="004F3232"/>
    <w:rsid w:val="004F3233"/>
    <w:rsid w:val="004F3241"/>
    <w:rsid w:val="004F32D0"/>
    <w:rsid w:val="004F32FB"/>
    <w:rsid w:val="004F334A"/>
    <w:rsid w:val="004F3437"/>
    <w:rsid w:val="004F34D4"/>
    <w:rsid w:val="004F34DB"/>
    <w:rsid w:val="004F3558"/>
    <w:rsid w:val="004F3570"/>
    <w:rsid w:val="004F357B"/>
    <w:rsid w:val="004F35BC"/>
    <w:rsid w:val="004F35C3"/>
    <w:rsid w:val="004F3646"/>
    <w:rsid w:val="004F365F"/>
    <w:rsid w:val="004F3682"/>
    <w:rsid w:val="004F36C6"/>
    <w:rsid w:val="004F375E"/>
    <w:rsid w:val="004F37E5"/>
    <w:rsid w:val="004F385E"/>
    <w:rsid w:val="004F3886"/>
    <w:rsid w:val="004F38A0"/>
    <w:rsid w:val="004F38C9"/>
    <w:rsid w:val="004F38E8"/>
    <w:rsid w:val="004F390D"/>
    <w:rsid w:val="004F39C2"/>
    <w:rsid w:val="004F39DC"/>
    <w:rsid w:val="004F3A7C"/>
    <w:rsid w:val="004F3ABC"/>
    <w:rsid w:val="004F3B29"/>
    <w:rsid w:val="004F3B5E"/>
    <w:rsid w:val="004F3BBB"/>
    <w:rsid w:val="004F3BC0"/>
    <w:rsid w:val="004F3BEA"/>
    <w:rsid w:val="004F3C99"/>
    <w:rsid w:val="004F3C9E"/>
    <w:rsid w:val="004F3CF4"/>
    <w:rsid w:val="004F3E7D"/>
    <w:rsid w:val="004F3EDB"/>
    <w:rsid w:val="004F4117"/>
    <w:rsid w:val="004F4173"/>
    <w:rsid w:val="004F4189"/>
    <w:rsid w:val="004F422B"/>
    <w:rsid w:val="004F4230"/>
    <w:rsid w:val="004F4251"/>
    <w:rsid w:val="004F42C3"/>
    <w:rsid w:val="004F42D9"/>
    <w:rsid w:val="004F42DF"/>
    <w:rsid w:val="004F4412"/>
    <w:rsid w:val="004F4417"/>
    <w:rsid w:val="004F446A"/>
    <w:rsid w:val="004F4473"/>
    <w:rsid w:val="004F4477"/>
    <w:rsid w:val="004F4536"/>
    <w:rsid w:val="004F457C"/>
    <w:rsid w:val="004F4649"/>
    <w:rsid w:val="004F4687"/>
    <w:rsid w:val="004F46B5"/>
    <w:rsid w:val="004F46CB"/>
    <w:rsid w:val="004F46E7"/>
    <w:rsid w:val="004F46F7"/>
    <w:rsid w:val="004F471B"/>
    <w:rsid w:val="004F479D"/>
    <w:rsid w:val="004F47A0"/>
    <w:rsid w:val="004F47D8"/>
    <w:rsid w:val="004F486C"/>
    <w:rsid w:val="004F491B"/>
    <w:rsid w:val="004F4956"/>
    <w:rsid w:val="004F4A01"/>
    <w:rsid w:val="004F4A0D"/>
    <w:rsid w:val="004F4A93"/>
    <w:rsid w:val="004F4B84"/>
    <w:rsid w:val="004F4BB6"/>
    <w:rsid w:val="004F4C3D"/>
    <w:rsid w:val="004F4C4A"/>
    <w:rsid w:val="004F4C97"/>
    <w:rsid w:val="004F4CB4"/>
    <w:rsid w:val="004F4D24"/>
    <w:rsid w:val="004F4D51"/>
    <w:rsid w:val="004F4D56"/>
    <w:rsid w:val="004F4D94"/>
    <w:rsid w:val="004F4DD6"/>
    <w:rsid w:val="004F4DDC"/>
    <w:rsid w:val="004F4F83"/>
    <w:rsid w:val="004F4FC5"/>
    <w:rsid w:val="004F5052"/>
    <w:rsid w:val="004F50A0"/>
    <w:rsid w:val="004F5120"/>
    <w:rsid w:val="004F523D"/>
    <w:rsid w:val="004F5262"/>
    <w:rsid w:val="004F52AE"/>
    <w:rsid w:val="004F52E0"/>
    <w:rsid w:val="004F52EA"/>
    <w:rsid w:val="004F5349"/>
    <w:rsid w:val="004F5437"/>
    <w:rsid w:val="004F5475"/>
    <w:rsid w:val="004F547E"/>
    <w:rsid w:val="004F54FB"/>
    <w:rsid w:val="004F5511"/>
    <w:rsid w:val="004F55B8"/>
    <w:rsid w:val="004F55C0"/>
    <w:rsid w:val="004F55C3"/>
    <w:rsid w:val="004F55EC"/>
    <w:rsid w:val="004F5603"/>
    <w:rsid w:val="004F565B"/>
    <w:rsid w:val="004F57CD"/>
    <w:rsid w:val="004F5859"/>
    <w:rsid w:val="004F58A3"/>
    <w:rsid w:val="004F598D"/>
    <w:rsid w:val="004F5993"/>
    <w:rsid w:val="004F5A06"/>
    <w:rsid w:val="004F5AAE"/>
    <w:rsid w:val="004F5B01"/>
    <w:rsid w:val="004F5CA6"/>
    <w:rsid w:val="004F5CB9"/>
    <w:rsid w:val="004F5CBF"/>
    <w:rsid w:val="004F5D36"/>
    <w:rsid w:val="004F5D4F"/>
    <w:rsid w:val="004F5DD9"/>
    <w:rsid w:val="004F5DE8"/>
    <w:rsid w:val="004F5E38"/>
    <w:rsid w:val="004F5E9B"/>
    <w:rsid w:val="004F5EFE"/>
    <w:rsid w:val="004F5F78"/>
    <w:rsid w:val="004F5FD7"/>
    <w:rsid w:val="004F6119"/>
    <w:rsid w:val="004F6193"/>
    <w:rsid w:val="004F621C"/>
    <w:rsid w:val="004F62FF"/>
    <w:rsid w:val="004F646B"/>
    <w:rsid w:val="004F6489"/>
    <w:rsid w:val="004F649C"/>
    <w:rsid w:val="004F64FC"/>
    <w:rsid w:val="004F650E"/>
    <w:rsid w:val="004F6591"/>
    <w:rsid w:val="004F65CF"/>
    <w:rsid w:val="004F65E9"/>
    <w:rsid w:val="004F65F6"/>
    <w:rsid w:val="004F66A4"/>
    <w:rsid w:val="004F66D3"/>
    <w:rsid w:val="004F66F0"/>
    <w:rsid w:val="004F66F6"/>
    <w:rsid w:val="004F67F5"/>
    <w:rsid w:val="004F67F6"/>
    <w:rsid w:val="004F685E"/>
    <w:rsid w:val="004F6953"/>
    <w:rsid w:val="004F6962"/>
    <w:rsid w:val="004F696B"/>
    <w:rsid w:val="004F69D5"/>
    <w:rsid w:val="004F6A04"/>
    <w:rsid w:val="004F6A88"/>
    <w:rsid w:val="004F6ADF"/>
    <w:rsid w:val="004F6B51"/>
    <w:rsid w:val="004F6BA5"/>
    <w:rsid w:val="004F6BD5"/>
    <w:rsid w:val="004F6BFE"/>
    <w:rsid w:val="004F6D40"/>
    <w:rsid w:val="004F6D98"/>
    <w:rsid w:val="004F6E25"/>
    <w:rsid w:val="004F6E37"/>
    <w:rsid w:val="004F6E7C"/>
    <w:rsid w:val="004F6E7F"/>
    <w:rsid w:val="004F6F4E"/>
    <w:rsid w:val="004F702A"/>
    <w:rsid w:val="004F70D0"/>
    <w:rsid w:val="004F70F2"/>
    <w:rsid w:val="004F714B"/>
    <w:rsid w:val="004F723B"/>
    <w:rsid w:val="004F727C"/>
    <w:rsid w:val="004F74A8"/>
    <w:rsid w:val="004F7537"/>
    <w:rsid w:val="004F7579"/>
    <w:rsid w:val="004F7615"/>
    <w:rsid w:val="004F76E4"/>
    <w:rsid w:val="004F7734"/>
    <w:rsid w:val="004F7832"/>
    <w:rsid w:val="004F785E"/>
    <w:rsid w:val="004F7867"/>
    <w:rsid w:val="004F7914"/>
    <w:rsid w:val="004F7924"/>
    <w:rsid w:val="004F7955"/>
    <w:rsid w:val="004F7A12"/>
    <w:rsid w:val="004F7A55"/>
    <w:rsid w:val="004F7ACD"/>
    <w:rsid w:val="004F7B50"/>
    <w:rsid w:val="004F7C5D"/>
    <w:rsid w:val="004F7CE9"/>
    <w:rsid w:val="004F7D86"/>
    <w:rsid w:val="004F7E01"/>
    <w:rsid w:val="004F7EC8"/>
    <w:rsid w:val="004F7EDB"/>
    <w:rsid w:val="004F7F01"/>
    <w:rsid w:val="004F7F53"/>
    <w:rsid w:val="004F7FBE"/>
    <w:rsid w:val="005000C1"/>
    <w:rsid w:val="0050010C"/>
    <w:rsid w:val="0050012F"/>
    <w:rsid w:val="005001B1"/>
    <w:rsid w:val="00500271"/>
    <w:rsid w:val="005003E1"/>
    <w:rsid w:val="005003E2"/>
    <w:rsid w:val="0050045F"/>
    <w:rsid w:val="0050047B"/>
    <w:rsid w:val="005004D3"/>
    <w:rsid w:val="0050050F"/>
    <w:rsid w:val="00500575"/>
    <w:rsid w:val="005005A8"/>
    <w:rsid w:val="0050060D"/>
    <w:rsid w:val="005006F2"/>
    <w:rsid w:val="00500710"/>
    <w:rsid w:val="00500712"/>
    <w:rsid w:val="00500763"/>
    <w:rsid w:val="00500895"/>
    <w:rsid w:val="00500981"/>
    <w:rsid w:val="00500A15"/>
    <w:rsid w:val="00500A19"/>
    <w:rsid w:val="00500B47"/>
    <w:rsid w:val="00500B8E"/>
    <w:rsid w:val="00500BF3"/>
    <w:rsid w:val="00500C38"/>
    <w:rsid w:val="00500D06"/>
    <w:rsid w:val="00500D32"/>
    <w:rsid w:val="00500D48"/>
    <w:rsid w:val="00500D8A"/>
    <w:rsid w:val="00500DC3"/>
    <w:rsid w:val="00500E2F"/>
    <w:rsid w:val="00500E9D"/>
    <w:rsid w:val="00500EE6"/>
    <w:rsid w:val="00500EF4"/>
    <w:rsid w:val="00500F45"/>
    <w:rsid w:val="00500F76"/>
    <w:rsid w:val="00500FBE"/>
    <w:rsid w:val="005010FE"/>
    <w:rsid w:val="00501123"/>
    <w:rsid w:val="00501170"/>
    <w:rsid w:val="005011D1"/>
    <w:rsid w:val="00501223"/>
    <w:rsid w:val="00501233"/>
    <w:rsid w:val="0050127F"/>
    <w:rsid w:val="00501294"/>
    <w:rsid w:val="005012BA"/>
    <w:rsid w:val="005012DB"/>
    <w:rsid w:val="00501372"/>
    <w:rsid w:val="00501450"/>
    <w:rsid w:val="00501501"/>
    <w:rsid w:val="0050156F"/>
    <w:rsid w:val="005015CE"/>
    <w:rsid w:val="00501681"/>
    <w:rsid w:val="005016E0"/>
    <w:rsid w:val="005016EB"/>
    <w:rsid w:val="005016FF"/>
    <w:rsid w:val="00501702"/>
    <w:rsid w:val="00501846"/>
    <w:rsid w:val="00501920"/>
    <w:rsid w:val="00501AD7"/>
    <w:rsid w:val="00501CAC"/>
    <w:rsid w:val="00501D1F"/>
    <w:rsid w:val="00501D78"/>
    <w:rsid w:val="00501E01"/>
    <w:rsid w:val="00501E7C"/>
    <w:rsid w:val="00501EA8"/>
    <w:rsid w:val="00501F07"/>
    <w:rsid w:val="00501F0A"/>
    <w:rsid w:val="00501F27"/>
    <w:rsid w:val="00501F33"/>
    <w:rsid w:val="00501F7B"/>
    <w:rsid w:val="00501FAD"/>
    <w:rsid w:val="00501FDF"/>
    <w:rsid w:val="00502003"/>
    <w:rsid w:val="00502049"/>
    <w:rsid w:val="0050205C"/>
    <w:rsid w:val="0050205D"/>
    <w:rsid w:val="00502154"/>
    <w:rsid w:val="00502176"/>
    <w:rsid w:val="005022A3"/>
    <w:rsid w:val="005022D6"/>
    <w:rsid w:val="005022EC"/>
    <w:rsid w:val="00502327"/>
    <w:rsid w:val="00502382"/>
    <w:rsid w:val="005023AB"/>
    <w:rsid w:val="005023D8"/>
    <w:rsid w:val="0050249C"/>
    <w:rsid w:val="00502545"/>
    <w:rsid w:val="00502563"/>
    <w:rsid w:val="0050258A"/>
    <w:rsid w:val="0050258E"/>
    <w:rsid w:val="00502617"/>
    <w:rsid w:val="005026A1"/>
    <w:rsid w:val="0050273E"/>
    <w:rsid w:val="005027C3"/>
    <w:rsid w:val="005027E0"/>
    <w:rsid w:val="00502809"/>
    <w:rsid w:val="00502835"/>
    <w:rsid w:val="005028E2"/>
    <w:rsid w:val="00502953"/>
    <w:rsid w:val="00502A6F"/>
    <w:rsid w:val="00502AB6"/>
    <w:rsid w:val="00502AFF"/>
    <w:rsid w:val="00502B33"/>
    <w:rsid w:val="00502B69"/>
    <w:rsid w:val="00502B97"/>
    <w:rsid w:val="00502BA0"/>
    <w:rsid w:val="00502BEE"/>
    <w:rsid w:val="00502CAF"/>
    <w:rsid w:val="00502CBD"/>
    <w:rsid w:val="00502D42"/>
    <w:rsid w:val="00502E45"/>
    <w:rsid w:val="00502E7A"/>
    <w:rsid w:val="00502EC2"/>
    <w:rsid w:val="00502F13"/>
    <w:rsid w:val="00502F43"/>
    <w:rsid w:val="00502FA2"/>
    <w:rsid w:val="00503014"/>
    <w:rsid w:val="0050301A"/>
    <w:rsid w:val="0050303C"/>
    <w:rsid w:val="005030A1"/>
    <w:rsid w:val="0050313E"/>
    <w:rsid w:val="0050320A"/>
    <w:rsid w:val="0050329A"/>
    <w:rsid w:val="005032E4"/>
    <w:rsid w:val="00503320"/>
    <w:rsid w:val="0050346F"/>
    <w:rsid w:val="00503481"/>
    <w:rsid w:val="005034E4"/>
    <w:rsid w:val="005035F1"/>
    <w:rsid w:val="0050364C"/>
    <w:rsid w:val="00503755"/>
    <w:rsid w:val="00503774"/>
    <w:rsid w:val="0050379C"/>
    <w:rsid w:val="005037CE"/>
    <w:rsid w:val="00503834"/>
    <w:rsid w:val="0050383E"/>
    <w:rsid w:val="00503866"/>
    <w:rsid w:val="00503909"/>
    <w:rsid w:val="0050392B"/>
    <w:rsid w:val="00503B20"/>
    <w:rsid w:val="00503BB3"/>
    <w:rsid w:val="00503BEA"/>
    <w:rsid w:val="00503BFE"/>
    <w:rsid w:val="00503C9E"/>
    <w:rsid w:val="00503CDE"/>
    <w:rsid w:val="00503CFE"/>
    <w:rsid w:val="00503D25"/>
    <w:rsid w:val="00503D2A"/>
    <w:rsid w:val="00503D4B"/>
    <w:rsid w:val="00503D56"/>
    <w:rsid w:val="00503E00"/>
    <w:rsid w:val="00503E1F"/>
    <w:rsid w:val="00503E64"/>
    <w:rsid w:val="00503EEE"/>
    <w:rsid w:val="00503F72"/>
    <w:rsid w:val="00503F7E"/>
    <w:rsid w:val="00503F97"/>
    <w:rsid w:val="00503FF1"/>
    <w:rsid w:val="00504031"/>
    <w:rsid w:val="0050406B"/>
    <w:rsid w:val="005042C5"/>
    <w:rsid w:val="00504320"/>
    <w:rsid w:val="00504391"/>
    <w:rsid w:val="005043D1"/>
    <w:rsid w:val="005043EE"/>
    <w:rsid w:val="005043F8"/>
    <w:rsid w:val="00504406"/>
    <w:rsid w:val="005044A8"/>
    <w:rsid w:val="005044B7"/>
    <w:rsid w:val="00504611"/>
    <w:rsid w:val="00504673"/>
    <w:rsid w:val="00504731"/>
    <w:rsid w:val="005047AC"/>
    <w:rsid w:val="005048E9"/>
    <w:rsid w:val="0050499D"/>
    <w:rsid w:val="00504A6E"/>
    <w:rsid w:val="00504A82"/>
    <w:rsid w:val="00504B2C"/>
    <w:rsid w:val="00504B35"/>
    <w:rsid w:val="00504B46"/>
    <w:rsid w:val="00504BC1"/>
    <w:rsid w:val="00504BF5"/>
    <w:rsid w:val="00504C27"/>
    <w:rsid w:val="00504E1D"/>
    <w:rsid w:val="00504EBD"/>
    <w:rsid w:val="00504F54"/>
    <w:rsid w:val="00505045"/>
    <w:rsid w:val="00505094"/>
    <w:rsid w:val="0050518D"/>
    <w:rsid w:val="005051B9"/>
    <w:rsid w:val="005051D9"/>
    <w:rsid w:val="00505203"/>
    <w:rsid w:val="005052CB"/>
    <w:rsid w:val="00505318"/>
    <w:rsid w:val="0050536A"/>
    <w:rsid w:val="005053F5"/>
    <w:rsid w:val="00505429"/>
    <w:rsid w:val="00505606"/>
    <w:rsid w:val="00505612"/>
    <w:rsid w:val="0050567D"/>
    <w:rsid w:val="00505699"/>
    <w:rsid w:val="005056DF"/>
    <w:rsid w:val="0050573D"/>
    <w:rsid w:val="0050574D"/>
    <w:rsid w:val="005057AF"/>
    <w:rsid w:val="005058EF"/>
    <w:rsid w:val="005058F9"/>
    <w:rsid w:val="00505A37"/>
    <w:rsid w:val="00505B0C"/>
    <w:rsid w:val="00505B40"/>
    <w:rsid w:val="00505B80"/>
    <w:rsid w:val="00505BD0"/>
    <w:rsid w:val="00505C94"/>
    <w:rsid w:val="00505D99"/>
    <w:rsid w:val="00505E7F"/>
    <w:rsid w:val="00505E99"/>
    <w:rsid w:val="00505EBB"/>
    <w:rsid w:val="00505EF0"/>
    <w:rsid w:val="00505F1E"/>
    <w:rsid w:val="00505F29"/>
    <w:rsid w:val="00505F79"/>
    <w:rsid w:val="00505FC2"/>
    <w:rsid w:val="00506011"/>
    <w:rsid w:val="0050604C"/>
    <w:rsid w:val="0050610F"/>
    <w:rsid w:val="005061E5"/>
    <w:rsid w:val="00506201"/>
    <w:rsid w:val="00506225"/>
    <w:rsid w:val="005062A9"/>
    <w:rsid w:val="00506312"/>
    <w:rsid w:val="0050632C"/>
    <w:rsid w:val="0050636F"/>
    <w:rsid w:val="005063DB"/>
    <w:rsid w:val="00506411"/>
    <w:rsid w:val="00506465"/>
    <w:rsid w:val="005064AE"/>
    <w:rsid w:val="005064CA"/>
    <w:rsid w:val="00506563"/>
    <w:rsid w:val="005065BE"/>
    <w:rsid w:val="005065CA"/>
    <w:rsid w:val="005067B5"/>
    <w:rsid w:val="005067F3"/>
    <w:rsid w:val="0050682E"/>
    <w:rsid w:val="00506948"/>
    <w:rsid w:val="005069FD"/>
    <w:rsid w:val="00506A11"/>
    <w:rsid w:val="00506A26"/>
    <w:rsid w:val="00506A3E"/>
    <w:rsid w:val="00506AA5"/>
    <w:rsid w:val="00506AD6"/>
    <w:rsid w:val="00506C86"/>
    <w:rsid w:val="00506CF9"/>
    <w:rsid w:val="00506D3D"/>
    <w:rsid w:val="00506D46"/>
    <w:rsid w:val="00506D8A"/>
    <w:rsid w:val="00506DD3"/>
    <w:rsid w:val="00506EFD"/>
    <w:rsid w:val="00506F4C"/>
    <w:rsid w:val="005070B7"/>
    <w:rsid w:val="005070EC"/>
    <w:rsid w:val="0050718D"/>
    <w:rsid w:val="00507203"/>
    <w:rsid w:val="0050721B"/>
    <w:rsid w:val="00507268"/>
    <w:rsid w:val="00507277"/>
    <w:rsid w:val="005072D2"/>
    <w:rsid w:val="005072F1"/>
    <w:rsid w:val="005073B8"/>
    <w:rsid w:val="0050742F"/>
    <w:rsid w:val="005074BD"/>
    <w:rsid w:val="005074D9"/>
    <w:rsid w:val="0050762B"/>
    <w:rsid w:val="00507670"/>
    <w:rsid w:val="00507687"/>
    <w:rsid w:val="0050768C"/>
    <w:rsid w:val="005076FD"/>
    <w:rsid w:val="005077CF"/>
    <w:rsid w:val="005077D4"/>
    <w:rsid w:val="00507870"/>
    <w:rsid w:val="0050790E"/>
    <w:rsid w:val="00507A57"/>
    <w:rsid w:val="00507A94"/>
    <w:rsid w:val="00507AA1"/>
    <w:rsid w:val="00507B24"/>
    <w:rsid w:val="00507B54"/>
    <w:rsid w:val="00507BA7"/>
    <w:rsid w:val="00507BD6"/>
    <w:rsid w:val="00507C52"/>
    <w:rsid w:val="00507CB3"/>
    <w:rsid w:val="00507D47"/>
    <w:rsid w:val="00507D7C"/>
    <w:rsid w:val="00507E31"/>
    <w:rsid w:val="00507EDB"/>
    <w:rsid w:val="00507F37"/>
    <w:rsid w:val="00507F70"/>
    <w:rsid w:val="00507F71"/>
    <w:rsid w:val="00507F86"/>
    <w:rsid w:val="00507F8C"/>
    <w:rsid w:val="00507FC4"/>
    <w:rsid w:val="00510059"/>
    <w:rsid w:val="00510095"/>
    <w:rsid w:val="005100FC"/>
    <w:rsid w:val="0051013C"/>
    <w:rsid w:val="0051036F"/>
    <w:rsid w:val="005103A3"/>
    <w:rsid w:val="005103BC"/>
    <w:rsid w:val="00510514"/>
    <w:rsid w:val="00510597"/>
    <w:rsid w:val="005105E0"/>
    <w:rsid w:val="005106F2"/>
    <w:rsid w:val="0051070D"/>
    <w:rsid w:val="005107A2"/>
    <w:rsid w:val="00510857"/>
    <w:rsid w:val="00510878"/>
    <w:rsid w:val="005108C6"/>
    <w:rsid w:val="00510935"/>
    <w:rsid w:val="005109D0"/>
    <w:rsid w:val="00510A12"/>
    <w:rsid w:val="00510AF9"/>
    <w:rsid w:val="00510B4F"/>
    <w:rsid w:val="00510B8B"/>
    <w:rsid w:val="00510BF5"/>
    <w:rsid w:val="00510C52"/>
    <w:rsid w:val="00510C79"/>
    <w:rsid w:val="00510C86"/>
    <w:rsid w:val="00510CEA"/>
    <w:rsid w:val="00510D1B"/>
    <w:rsid w:val="00510D72"/>
    <w:rsid w:val="00510E31"/>
    <w:rsid w:val="00510FFE"/>
    <w:rsid w:val="00511023"/>
    <w:rsid w:val="0051110D"/>
    <w:rsid w:val="00511126"/>
    <w:rsid w:val="00511233"/>
    <w:rsid w:val="00511295"/>
    <w:rsid w:val="005112A7"/>
    <w:rsid w:val="005112BE"/>
    <w:rsid w:val="005112DA"/>
    <w:rsid w:val="00511456"/>
    <w:rsid w:val="00511560"/>
    <w:rsid w:val="0051163B"/>
    <w:rsid w:val="00511656"/>
    <w:rsid w:val="00511675"/>
    <w:rsid w:val="0051169B"/>
    <w:rsid w:val="005116F7"/>
    <w:rsid w:val="0051173B"/>
    <w:rsid w:val="005117C9"/>
    <w:rsid w:val="005117E2"/>
    <w:rsid w:val="00511806"/>
    <w:rsid w:val="0051195D"/>
    <w:rsid w:val="0051199C"/>
    <w:rsid w:val="005119C5"/>
    <w:rsid w:val="00511A18"/>
    <w:rsid w:val="00511A46"/>
    <w:rsid w:val="00511AFB"/>
    <w:rsid w:val="00511B2F"/>
    <w:rsid w:val="00511BA7"/>
    <w:rsid w:val="00511C09"/>
    <w:rsid w:val="00511C70"/>
    <w:rsid w:val="00511CCD"/>
    <w:rsid w:val="00511D02"/>
    <w:rsid w:val="00511D04"/>
    <w:rsid w:val="00511D3B"/>
    <w:rsid w:val="00511D3C"/>
    <w:rsid w:val="00511E32"/>
    <w:rsid w:val="00511F01"/>
    <w:rsid w:val="00511F7B"/>
    <w:rsid w:val="00511FD1"/>
    <w:rsid w:val="00511FE5"/>
    <w:rsid w:val="00512099"/>
    <w:rsid w:val="00512173"/>
    <w:rsid w:val="0051226F"/>
    <w:rsid w:val="00512270"/>
    <w:rsid w:val="00512289"/>
    <w:rsid w:val="0051229D"/>
    <w:rsid w:val="005122CD"/>
    <w:rsid w:val="00512313"/>
    <w:rsid w:val="0051235F"/>
    <w:rsid w:val="005123A6"/>
    <w:rsid w:val="005123CC"/>
    <w:rsid w:val="0051244E"/>
    <w:rsid w:val="0051246C"/>
    <w:rsid w:val="0051252D"/>
    <w:rsid w:val="00512561"/>
    <w:rsid w:val="00512608"/>
    <w:rsid w:val="00512665"/>
    <w:rsid w:val="005126F4"/>
    <w:rsid w:val="0051277F"/>
    <w:rsid w:val="0051283E"/>
    <w:rsid w:val="0051286C"/>
    <w:rsid w:val="0051293C"/>
    <w:rsid w:val="00512973"/>
    <w:rsid w:val="005129F2"/>
    <w:rsid w:val="00512A0D"/>
    <w:rsid w:val="00512A4C"/>
    <w:rsid w:val="00512A9E"/>
    <w:rsid w:val="00512AA3"/>
    <w:rsid w:val="00512B37"/>
    <w:rsid w:val="00512B87"/>
    <w:rsid w:val="00512C17"/>
    <w:rsid w:val="00512C25"/>
    <w:rsid w:val="00512C3D"/>
    <w:rsid w:val="00512C47"/>
    <w:rsid w:val="00512C81"/>
    <w:rsid w:val="00512C8B"/>
    <w:rsid w:val="00512CB7"/>
    <w:rsid w:val="00512CCF"/>
    <w:rsid w:val="00512D0C"/>
    <w:rsid w:val="00512D1B"/>
    <w:rsid w:val="00512D34"/>
    <w:rsid w:val="00512D79"/>
    <w:rsid w:val="00512E41"/>
    <w:rsid w:val="00512EA6"/>
    <w:rsid w:val="00512FAE"/>
    <w:rsid w:val="00512FB7"/>
    <w:rsid w:val="005130A4"/>
    <w:rsid w:val="005130CC"/>
    <w:rsid w:val="005130F1"/>
    <w:rsid w:val="00513100"/>
    <w:rsid w:val="00513198"/>
    <w:rsid w:val="005132B8"/>
    <w:rsid w:val="005133AC"/>
    <w:rsid w:val="00513481"/>
    <w:rsid w:val="00513487"/>
    <w:rsid w:val="0051351D"/>
    <w:rsid w:val="00513591"/>
    <w:rsid w:val="00513604"/>
    <w:rsid w:val="005136CA"/>
    <w:rsid w:val="0051371D"/>
    <w:rsid w:val="00513779"/>
    <w:rsid w:val="00513788"/>
    <w:rsid w:val="0051379B"/>
    <w:rsid w:val="005137AD"/>
    <w:rsid w:val="00513840"/>
    <w:rsid w:val="00513847"/>
    <w:rsid w:val="00513886"/>
    <w:rsid w:val="005139A9"/>
    <w:rsid w:val="00513A15"/>
    <w:rsid w:val="00513A23"/>
    <w:rsid w:val="00513B27"/>
    <w:rsid w:val="00513B4A"/>
    <w:rsid w:val="00513C19"/>
    <w:rsid w:val="00513C7E"/>
    <w:rsid w:val="00513CD3"/>
    <w:rsid w:val="00513CF9"/>
    <w:rsid w:val="00513D6D"/>
    <w:rsid w:val="00513D87"/>
    <w:rsid w:val="00513E4A"/>
    <w:rsid w:val="00513E72"/>
    <w:rsid w:val="00513F93"/>
    <w:rsid w:val="00513FD5"/>
    <w:rsid w:val="00514022"/>
    <w:rsid w:val="0051407F"/>
    <w:rsid w:val="0051413D"/>
    <w:rsid w:val="0051416F"/>
    <w:rsid w:val="005141FA"/>
    <w:rsid w:val="0051420B"/>
    <w:rsid w:val="00514234"/>
    <w:rsid w:val="00514325"/>
    <w:rsid w:val="0051433E"/>
    <w:rsid w:val="0051446D"/>
    <w:rsid w:val="005144DC"/>
    <w:rsid w:val="00514519"/>
    <w:rsid w:val="00514526"/>
    <w:rsid w:val="005145B1"/>
    <w:rsid w:val="005145D7"/>
    <w:rsid w:val="005145E4"/>
    <w:rsid w:val="0051463A"/>
    <w:rsid w:val="0051469F"/>
    <w:rsid w:val="005146D1"/>
    <w:rsid w:val="005146EF"/>
    <w:rsid w:val="00514714"/>
    <w:rsid w:val="00514733"/>
    <w:rsid w:val="005147B4"/>
    <w:rsid w:val="005147C5"/>
    <w:rsid w:val="0051489E"/>
    <w:rsid w:val="005148D6"/>
    <w:rsid w:val="005148F1"/>
    <w:rsid w:val="00514B74"/>
    <w:rsid w:val="00514B7D"/>
    <w:rsid w:val="00514B91"/>
    <w:rsid w:val="00514C54"/>
    <w:rsid w:val="00514C64"/>
    <w:rsid w:val="00514C72"/>
    <w:rsid w:val="00514C86"/>
    <w:rsid w:val="00514D6A"/>
    <w:rsid w:val="00514E5D"/>
    <w:rsid w:val="00514F3E"/>
    <w:rsid w:val="00514FD2"/>
    <w:rsid w:val="005150FA"/>
    <w:rsid w:val="00515146"/>
    <w:rsid w:val="00515179"/>
    <w:rsid w:val="00515308"/>
    <w:rsid w:val="00515336"/>
    <w:rsid w:val="00515390"/>
    <w:rsid w:val="00515409"/>
    <w:rsid w:val="00515464"/>
    <w:rsid w:val="00515494"/>
    <w:rsid w:val="005154D8"/>
    <w:rsid w:val="0051554D"/>
    <w:rsid w:val="00515553"/>
    <w:rsid w:val="00515567"/>
    <w:rsid w:val="0051558C"/>
    <w:rsid w:val="0051561E"/>
    <w:rsid w:val="0051573E"/>
    <w:rsid w:val="00515867"/>
    <w:rsid w:val="00515893"/>
    <w:rsid w:val="005158D4"/>
    <w:rsid w:val="00515924"/>
    <w:rsid w:val="0051592F"/>
    <w:rsid w:val="00515962"/>
    <w:rsid w:val="00515A1E"/>
    <w:rsid w:val="00515A6B"/>
    <w:rsid w:val="00515A81"/>
    <w:rsid w:val="00515ACF"/>
    <w:rsid w:val="00515ADB"/>
    <w:rsid w:val="00515B46"/>
    <w:rsid w:val="00515B6F"/>
    <w:rsid w:val="00515C9D"/>
    <w:rsid w:val="00515CC1"/>
    <w:rsid w:val="00515D37"/>
    <w:rsid w:val="00515D6A"/>
    <w:rsid w:val="00515D86"/>
    <w:rsid w:val="00515DCE"/>
    <w:rsid w:val="00515F56"/>
    <w:rsid w:val="0051602A"/>
    <w:rsid w:val="005160C7"/>
    <w:rsid w:val="005160DE"/>
    <w:rsid w:val="00516111"/>
    <w:rsid w:val="005161AD"/>
    <w:rsid w:val="0051623E"/>
    <w:rsid w:val="0051624D"/>
    <w:rsid w:val="00516252"/>
    <w:rsid w:val="00516271"/>
    <w:rsid w:val="0051627A"/>
    <w:rsid w:val="005162C3"/>
    <w:rsid w:val="0051634A"/>
    <w:rsid w:val="005163CB"/>
    <w:rsid w:val="005163FB"/>
    <w:rsid w:val="00516465"/>
    <w:rsid w:val="0051648B"/>
    <w:rsid w:val="005166DF"/>
    <w:rsid w:val="0051678E"/>
    <w:rsid w:val="005167A3"/>
    <w:rsid w:val="005168A2"/>
    <w:rsid w:val="005168DC"/>
    <w:rsid w:val="005168F4"/>
    <w:rsid w:val="00516928"/>
    <w:rsid w:val="0051694C"/>
    <w:rsid w:val="0051694E"/>
    <w:rsid w:val="005169E7"/>
    <w:rsid w:val="005169FF"/>
    <w:rsid w:val="00516B20"/>
    <w:rsid w:val="00516B5F"/>
    <w:rsid w:val="00516BC3"/>
    <w:rsid w:val="00516C36"/>
    <w:rsid w:val="00516D49"/>
    <w:rsid w:val="00516DB0"/>
    <w:rsid w:val="00516DD4"/>
    <w:rsid w:val="00516DFE"/>
    <w:rsid w:val="00516E6B"/>
    <w:rsid w:val="00516E7F"/>
    <w:rsid w:val="00516ECA"/>
    <w:rsid w:val="00516F02"/>
    <w:rsid w:val="00516F35"/>
    <w:rsid w:val="00516F42"/>
    <w:rsid w:val="0051700D"/>
    <w:rsid w:val="0051702B"/>
    <w:rsid w:val="005170BE"/>
    <w:rsid w:val="00517103"/>
    <w:rsid w:val="0051711E"/>
    <w:rsid w:val="0051712F"/>
    <w:rsid w:val="0051715E"/>
    <w:rsid w:val="0051718D"/>
    <w:rsid w:val="005171FC"/>
    <w:rsid w:val="00517225"/>
    <w:rsid w:val="005172D5"/>
    <w:rsid w:val="0051732B"/>
    <w:rsid w:val="005174BD"/>
    <w:rsid w:val="005174D8"/>
    <w:rsid w:val="0051750E"/>
    <w:rsid w:val="005175CE"/>
    <w:rsid w:val="00517717"/>
    <w:rsid w:val="0051778E"/>
    <w:rsid w:val="00517816"/>
    <w:rsid w:val="0051783F"/>
    <w:rsid w:val="0051785F"/>
    <w:rsid w:val="00517884"/>
    <w:rsid w:val="005178D6"/>
    <w:rsid w:val="0051794D"/>
    <w:rsid w:val="00517A44"/>
    <w:rsid w:val="00517A4B"/>
    <w:rsid w:val="00517A72"/>
    <w:rsid w:val="00517BA5"/>
    <w:rsid w:val="00517C0D"/>
    <w:rsid w:val="00517C72"/>
    <w:rsid w:val="00517D6F"/>
    <w:rsid w:val="00517E7A"/>
    <w:rsid w:val="00517EB6"/>
    <w:rsid w:val="00517F03"/>
    <w:rsid w:val="00517FC9"/>
    <w:rsid w:val="00520058"/>
    <w:rsid w:val="005200A1"/>
    <w:rsid w:val="0052012C"/>
    <w:rsid w:val="00520166"/>
    <w:rsid w:val="0052018A"/>
    <w:rsid w:val="005201B4"/>
    <w:rsid w:val="00520230"/>
    <w:rsid w:val="00520256"/>
    <w:rsid w:val="00520284"/>
    <w:rsid w:val="00520417"/>
    <w:rsid w:val="00520424"/>
    <w:rsid w:val="005204E0"/>
    <w:rsid w:val="0052052D"/>
    <w:rsid w:val="00520532"/>
    <w:rsid w:val="00520584"/>
    <w:rsid w:val="005206E9"/>
    <w:rsid w:val="00520729"/>
    <w:rsid w:val="00520782"/>
    <w:rsid w:val="005207A9"/>
    <w:rsid w:val="005207C7"/>
    <w:rsid w:val="005207CE"/>
    <w:rsid w:val="0052085E"/>
    <w:rsid w:val="0052087E"/>
    <w:rsid w:val="00520901"/>
    <w:rsid w:val="00520940"/>
    <w:rsid w:val="0052094E"/>
    <w:rsid w:val="0052097A"/>
    <w:rsid w:val="00520981"/>
    <w:rsid w:val="005209E1"/>
    <w:rsid w:val="00520A32"/>
    <w:rsid w:val="00520A84"/>
    <w:rsid w:val="00520A8D"/>
    <w:rsid w:val="00520B1D"/>
    <w:rsid w:val="00520BDD"/>
    <w:rsid w:val="00520D1F"/>
    <w:rsid w:val="00520D7B"/>
    <w:rsid w:val="00520D7E"/>
    <w:rsid w:val="00520DA1"/>
    <w:rsid w:val="00520DDE"/>
    <w:rsid w:val="00520F1B"/>
    <w:rsid w:val="00520FBF"/>
    <w:rsid w:val="00521100"/>
    <w:rsid w:val="00521145"/>
    <w:rsid w:val="00521147"/>
    <w:rsid w:val="0052117D"/>
    <w:rsid w:val="00521270"/>
    <w:rsid w:val="00521311"/>
    <w:rsid w:val="005213FC"/>
    <w:rsid w:val="005214AB"/>
    <w:rsid w:val="005214FC"/>
    <w:rsid w:val="0052156C"/>
    <w:rsid w:val="005215B3"/>
    <w:rsid w:val="005215C5"/>
    <w:rsid w:val="005215D1"/>
    <w:rsid w:val="0052168E"/>
    <w:rsid w:val="005216BC"/>
    <w:rsid w:val="0052174B"/>
    <w:rsid w:val="00521764"/>
    <w:rsid w:val="0052176D"/>
    <w:rsid w:val="0052179E"/>
    <w:rsid w:val="005217B2"/>
    <w:rsid w:val="0052180A"/>
    <w:rsid w:val="00521882"/>
    <w:rsid w:val="00521888"/>
    <w:rsid w:val="00521889"/>
    <w:rsid w:val="005218F9"/>
    <w:rsid w:val="00521910"/>
    <w:rsid w:val="0052198D"/>
    <w:rsid w:val="00521A0C"/>
    <w:rsid w:val="00521B5F"/>
    <w:rsid w:val="00521B6F"/>
    <w:rsid w:val="00521B7B"/>
    <w:rsid w:val="00521C44"/>
    <w:rsid w:val="00521C6C"/>
    <w:rsid w:val="00521C8A"/>
    <w:rsid w:val="0052201F"/>
    <w:rsid w:val="0052214D"/>
    <w:rsid w:val="00522219"/>
    <w:rsid w:val="005222A4"/>
    <w:rsid w:val="0052234A"/>
    <w:rsid w:val="00522466"/>
    <w:rsid w:val="00522508"/>
    <w:rsid w:val="00522582"/>
    <w:rsid w:val="005225AA"/>
    <w:rsid w:val="005225CF"/>
    <w:rsid w:val="00522657"/>
    <w:rsid w:val="005226A6"/>
    <w:rsid w:val="005226F1"/>
    <w:rsid w:val="005226F6"/>
    <w:rsid w:val="005226FE"/>
    <w:rsid w:val="0052273E"/>
    <w:rsid w:val="0052276F"/>
    <w:rsid w:val="00522803"/>
    <w:rsid w:val="005228E9"/>
    <w:rsid w:val="005228EE"/>
    <w:rsid w:val="00522900"/>
    <w:rsid w:val="005229AF"/>
    <w:rsid w:val="005229B6"/>
    <w:rsid w:val="005229B7"/>
    <w:rsid w:val="005229D0"/>
    <w:rsid w:val="00522A0E"/>
    <w:rsid w:val="00522ABB"/>
    <w:rsid w:val="00522B36"/>
    <w:rsid w:val="00522BD6"/>
    <w:rsid w:val="00522C8E"/>
    <w:rsid w:val="00522CD7"/>
    <w:rsid w:val="00522CDC"/>
    <w:rsid w:val="00522CFA"/>
    <w:rsid w:val="00522D1F"/>
    <w:rsid w:val="00522D47"/>
    <w:rsid w:val="00522DEA"/>
    <w:rsid w:val="00522E9A"/>
    <w:rsid w:val="00523001"/>
    <w:rsid w:val="00523055"/>
    <w:rsid w:val="00523112"/>
    <w:rsid w:val="005231AA"/>
    <w:rsid w:val="005231B7"/>
    <w:rsid w:val="0052329B"/>
    <w:rsid w:val="005232BC"/>
    <w:rsid w:val="0052335E"/>
    <w:rsid w:val="00523424"/>
    <w:rsid w:val="0052348D"/>
    <w:rsid w:val="005234D3"/>
    <w:rsid w:val="005234EC"/>
    <w:rsid w:val="00523503"/>
    <w:rsid w:val="00523516"/>
    <w:rsid w:val="0052353F"/>
    <w:rsid w:val="00523578"/>
    <w:rsid w:val="00523603"/>
    <w:rsid w:val="005236E4"/>
    <w:rsid w:val="00523793"/>
    <w:rsid w:val="005237D8"/>
    <w:rsid w:val="00523810"/>
    <w:rsid w:val="0052395B"/>
    <w:rsid w:val="00523AB1"/>
    <w:rsid w:val="00523AEE"/>
    <w:rsid w:val="00523B2B"/>
    <w:rsid w:val="00523B3A"/>
    <w:rsid w:val="00523BA9"/>
    <w:rsid w:val="00523C10"/>
    <w:rsid w:val="00523C50"/>
    <w:rsid w:val="00523C68"/>
    <w:rsid w:val="00523CB6"/>
    <w:rsid w:val="00523ED7"/>
    <w:rsid w:val="00523F22"/>
    <w:rsid w:val="00523FEB"/>
    <w:rsid w:val="005240EE"/>
    <w:rsid w:val="005242A5"/>
    <w:rsid w:val="00524312"/>
    <w:rsid w:val="00524346"/>
    <w:rsid w:val="00524349"/>
    <w:rsid w:val="00524363"/>
    <w:rsid w:val="0052438A"/>
    <w:rsid w:val="005243DD"/>
    <w:rsid w:val="0052449B"/>
    <w:rsid w:val="005244C7"/>
    <w:rsid w:val="005244D0"/>
    <w:rsid w:val="00524551"/>
    <w:rsid w:val="00524586"/>
    <w:rsid w:val="005246BB"/>
    <w:rsid w:val="00524708"/>
    <w:rsid w:val="0052473D"/>
    <w:rsid w:val="00524743"/>
    <w:rsid w:val="0052478D"/>
    <w:rsid w:val="005247BB"/>
    <w:rsid w:val="0052485C"/>
    <w:rsid w:val="00524899"/>
    <w:rsid w:val="00524907"/>
    <w:rsid w:val="0052497C"/>
    <w:rsid w:val="00524991"/>
    <w:rsid w:val="0052499A"/>
    <w:rsid w:val="00524AA5"/>
    <w:rsid w:val="00524B04"/>
    <w:rsid w:val="00524B11"/>
    <w:rsid w:val="00524B32"/>
    <w:rsid w:val="00524DA9"/>
    <w:rsid w:val="00524DC7"/>
    <w:rsid w:val="00524E5F"/>
    <w:rsid w:val="00524F94"/>
    <w:rsid w:val="00524FC2"/>
    <w:rsid w:val="00525055"/>
    <w:rsid w:val="005250EA"/>
    <w:rsid w:val="0052513B"/>
    <w:rsid w:val="005251F2"/>
    <w:rsid w:val="00525275"/>
    <w:rsid w:val="005252BF"/>
    <w:rsid w:val="005252D9"/>
    <w:rsid w:val="00525336"/>
    <w:rsid w:val="00525353"/>
    <w:rsid w:val="005253BC"/>
    <w:rsid w:val="005253C3"/>
    <w:rsid w:val="0052552F"/>
    <w:rsid w:val="00525542"/>
    <w:rsid w:val="005255EE"/>
    <w:rsid w:val="005255FB"/>
    <w:rsid w:val="00525644"/>
    <w:rsid w:val="0052568D"/>
    <w:rsid w:val="005256A1"/>
    <w:rsid w:val="005256A2"/>
    <w:rsid w:val="005256EA"/>
    <w:rsid w:val="00525785"/>
    <w:rsid w:val="005257F9"/>
    <w:rsid w:val="005258ED"/>
    <w:rsid w:val="00525C33"/>
    <w:rsid w:val="00525C57"/>
    <w:rsid w:val="00525CFF"/>
    <w:rsid w:val="00525E9C"/>
    <w:rsid w:val="00525EB8"/>
    <w:rsid w:val="00525ECE"/>
    <w:rsid w:val="00525F44"/>
    <w:rsid w:val="00525F79"/>
    <w:rsid w:val="00525FCD"/>
    <w:rsid w:val="00525FD9"/>
    <w:rsid w:val="00526056"/>
    <w:rsid w:val="0052619A"/>
    <w:rsid w:val="005261A9"/>
    <w:rsid w:val="005261B7"/>
    <w:rsid w:val="00526378"/>
    <w:rsid w:val="005263C6"/>
    <w:rsid w:val="00526490"/>
    <w:rsid w:val="005264A4"/>
    <w:rsid w:val="00526504"/>
    <w:rsid w:val="00526518"/>
    <w:rsid w:val="0052655B"/>
    <w:rsid w:val="005265FE"/>
    <w:rsid w:val="00526674"/>
    <w:rsid w:val="00526682"/>
    <w:rsid w:val="0052671F"/>
    <w:rsid w:val="0052679D"/>
    <w:rsid w:val="0052682E"/>
    <w:rsid w:val="005268D3"/>
    <w:rsid w:val="005269F3"/>
    <w:rsid w:val="00526B37"/>
    <w:rsid w:val="00526B55"/>
    <w:rsid w:val="00526BBF"/>
    <w:rsid w:val="00526BE9"/>
    <w:rsid w:val="00526C1D"/>
    <w:rsid w:val="00526C5A"/>
    <w:rsid w:val="00526CC3"/>
    <w:rsid w:val="00526D97"/>
    <w:rsid w:val="00526E8B"/>
    <w:rsid w:val="00526ECA"/>
    <w:rsid w:val="00526F2C"/>
    <w:rsid w:val="005270FB"/>
    <w:rsid w:val="00527101"/>
    <w:rsid w:val="00527118"/>
    <w:rsid w:val="0052722B"/>
    <w:rsid w:val="0052729F"/>
    <w:rsid w:val="005272CD"/>
    <w:rsid w:val="005272CF"/>
    <w:rsid w:val="0052730B"/>
    <w:rsid w:val="0052731C"/>
    <w:rsid w:val="00527361"/>
    <w:rsid w:val="00527390"/>
    <w:rsid w:val="005273BB"/>
    <w:rsid w:val="005273C1"/>
    <w:rsid w:val="005273CD"/>
    <w:rsid w:val="0052741D"/>
    <w:rsid w:val="00527446"/>
    <w:rsid w:val="00527479"/>
    <w:rsid w:val="005274DF"/>
    <w:rsid w:val="005274EC"/>
    <w:rsid w:val="00527513"/>
    <w:rsid w:val="0052755C"/>
    <w:rsid w:val="005276E2"/>
    <w:rsid w:val="00527813"/>
    <w:rsid w:val="00527867"/>
    <w:rsid w:val="005278B8"/>
    <w:rsid w:val="005278F8"/>
    <w:rsid w:val="0052790D"/>
    <w:rsid w:val="00527972"/>
    <w:rsid w:val="00527A36"/>
    <w:rsid w:val="00527A6D"/>
    <w:rsid w:val="00527AF9"/>
    <w:rsid w:val="00527B35"/>
    <w:rsid w:val="00527BBB"/>
    <w:rsid w:val="00527C24"/>
    <w:rsid w:val="00527C85"/>
    <w:rsid w:val="00527D0E"/>
    <w:rsid w:val="00527DD8"/>
    <w:rsid w:val="00527DDD"/>
    <w:rsid w:val="00527E1E"/>
    <w:rsid w:val="00527E42"/>
    <w:rsid w:val="00527E62"/>
    <w:rsid w:val="00527E87"/>
    <w:rsid w:val="00527F29"/>
    <w:rsid w:val="00527F2C"/>
    <w:rsid w:val="00527FA6"/>
    <w:rsid w:val="00527FF8"/>
    <w:rsid w:val="0053002F"/>
    <w:rsid w:val="00530031"/>
    <w:rsid w:val="00530097"/>
    <w:rsid w:val="00530098"/>
    <w:rsid w:val="00530251"/>
    <w:rsid w:val="0053025B"/>
    <w:rsid w:val="0053026F"/>
    <w:rsid w:val="00530275"/>
    <w:rsid w:val="00530289"/>
    <w:rsid w:val="00530299"/>
    <w:rsid w:val="00530302"/>
    <w:rsid w:val="00530305"/>
    <w:rsid w:val="005303AB"/>
    <w:rsid w:val="0053043C"/>
    <w:rsid w:val="00530509"/>
    <w:rsid w:val="0053052D"/>
    <w:rsid w:val="005305C4"/>
    <w:rsid w:val="005305DC"/>
    <w:rsid w:val="0053060A"/>
    <w:rsid w:val="005306ED"/>
    <w:rsid w:val="005306FE"/>
    <w:rsid w:val="00530898"/>
    <w:rsid w:val="0053090B"/>
    <w:rsid w:val="0053090C"/>
    <w:rsid w:val="00530974"/>
    <w:rsid w:val="005309BC"/>
    <w:rsid w:val="00530A76"/>
    <w:rsid w:val="00530B41"/>
    <w:rsid w:val="00530BAA"/>
    <w:rsid w:val="00530BCB"/>
    <w:rsid w:val="00530C2F"/>
    <w:rsid w:val="00530C3E"/>
    <w:rsid w:val="00530C44"/>
    <w:rsid w:val="00530D10"/>
    <w:rsid w:val="00530E08"/>
    <w:rsid w:val="00530E8B"/>
    <w:rsid w:val="00530ECB"/>
    <w:rsid w:val="00530F52"/>
    <w:rsid w:val="00530FD3"/>
    <w:rsid w:val="0053100E"/>
    <w:rsid w:val="00531054"/>
    <w:rsid w:val="00531062"/>
    <w:rsid w:val="0053109B"/>
    <w:rsid w:val="005310BA"/>
    <w:rsid w:val="005310C0"/>
    <w:rsid w:val="005310CE"/>
    <w:rsid w:val="005310D4"/>
    <w:rsid w:val="0053110E"/>
    <w:rsid w:val="005311AE"/>
    <w:rsid w:val="005311C7"/>
    <w:rsid w:val="0053127F"/>
    <w:rsid w:val="005312D8"/>
    <w:rsid w:val="005312E8"/>
    <w:rsid w:val="00531336"/>
    <w:rsid w:val="00531347"/>
    <w:rsid w:val="00531470"/>
    <w:rsid w:val="005314D0"/>
    <w:rsid w:val="005314F2"/>
    <w:rsid w:val="005315B3"/>
    <w:rsid w:val="005315F6"/>
    <w:rsid w:val="005316B8"/>
    <w:rsid w:val="005316C2"/>
    <w:rsid w:val="005316CE"/>
    <w:rsid w:val="00531767"/>
    <w:rsid w:val="005318C0"/>
    <w:rsid w:val="005318E9"/>
    <w:rsid w:val="00531949"/>
    <w:rsid w:val="00531957"/>
    <w:rsid w:val="00531959"/>
    <w:rsid w:val="0053196B"/>
    <w:rsid w:val="005319F7"/>
    <w:rsid w:val="00531ABF"/>
    <w:rsid w:val="00531B8E"/>
    <w:rsid w:val="00531CD8"/>
    <w:rsid w:val="00531D12"/>
    <w:rsid w:val="00531D76"/>
    <w:rsid w:val="00531DF7"/>
    <w:rsid w:val="00531FB1"/>
    <w:rsid w:val="00531FE4"/>
    <w:rsid w:val="0053202D"/>
    <w:rsid w:val="00532060"/>
    <w:rsid w:val="0053209D"/>
    <w:rsid w:val="005321AC"/>
    <w:rsid w:val="00532299"/>
    <w:rsid w:val="005322E0"/>
    <w:rsid w:val="0053257F"/>
    <w:rsid w:val="005325CD"/>
    <w:rsid w:val="0053260D"/>
    <w:rsid w:val="00532613"/>
    <w:rsid w:val="0053261F"/>
    <w:rsid w:val="005326D1"/>
    <w:rsid w:val="005326DA"/>
    <w:rsid w:val="005327F7"/>
    <w:rsid w:val="00532827"/>
    <w:rsid w:val="0053288E"/>
    <w:rsid w:val="00532991"/>
    <w:rsid w:val="005329B0"/>
    <w:rsid w:val="005329E8"/>
    <w:rsid w:val="00532A41"/>
    <w:rsid w:val="00532A87"/>
    <w:rsid w:val="00532A90"/>
    <w:rsid w:val="00532B36"/>
    <w:rsid w:val="00532B64"/>
    <w:rsid w:val="00532B77"/>
    <w:rsid w:val="00532BA4"/>
    <w:rsid w:val="00532BA7"/>
    <w:rsid w:val="00532BC1"/>
    <w:rsid w:val="00532BD4"/>
    <w:rsid w:val="00532CD7"/>
    <w:rsid w:val="00532D32"/>
    <w:rsid w:val="00532D8C"/>
    <w:rsid w:val="00532DA8"/>
    <w:rsid w:val="00532DAF"/>
    <w:rsid w:val="00532EA9"/>
    <w:rsid w:val="00532F41"/>
    <w:rsid w:val="00532F50"/>
    <w:rsid w:val="00532F67"/>
    <w:rsid w:val="0053300D"/>
    <w:rsid w:val="0053303C"/>
    <w:rsid w:val="00533069"/>
    <w:rsid w:val="00533081"/>
    <w:rsid w:val="005330A0"/>
    <w:rsid w:val="005330CC"/>
    <w:rsid w:val="00533164"/>
    <w:rsid w:val="005331B7"/>
    <w:rsid w:val="00533216"/>
    <w:rsid w:val="00533223"/>
    <w:rsid w:val="005332EA"/>
    <w:rsid w:val="0053338A"/>
    <w:rsid w:val="00533437"/>
    <w:rsid w:val="005335B7"/>
    <w:rsid w:val="0053365D"/>
    <w:rsid w:val="005336D7"/>
    <w:rsid w:val="005336FD"/>
    <w:rsid w:val="005337CA"/>
    <w:rsid w:val="0053382E"/>
    <w:rsid w:val="00533839"/>
    <w:rsid w:val="00533847"/>
    <w:rsid w:val="005338BE"/>
    <w:rsid w:val="005338E0"/>
    <w:rsid w:val="0053391C"/>
    <w:rsid w:val="00533968"/>
    <w:rsid w:val="00533A1B"/>
    <w:rsid w:val="00533A27"/>
    <w:rsid w:val="00533AEC"/>
    <w:rsid w:val="00533B05"/>
    <w:rsid w:val="00533B10"/>
    <w:rsid w:val="00533D3A"/>
    <w:rsid w:val="00533E14"/>
    <w:rsid w:val="00534052"/>
    <w:rsid w:val="00534099"/>
    <w:rsid w:val="00534115"/>
    <w:rsid w:val="00534122"/>
    <w:rsid w:val="00534131"/>
    <w:rsid w:val="005341FA"/>
    <w:rsid w:val="0053427C"/>
    <w:rsid w:val="005342A1"/>
    <w:rsid w:val="005342DC"/>
    <w:rsid w:val="0053435E"/>
    <w:rsid w:val="0053437E"/>
    <w:rsid w:val="005343EF"/>
    <w:rsid w:val="0053442C"/>
    <w:rsid w:val="00534455"/>
    <w:rsid w:val="005344A9"/>
    <w:rsid w:val="0053453E"/>
    <w:rsid w:val="00534554"/>
    <w:rsid w:val="0053456E"/>
    <w:rsid w:val="005345C5"/>
    <w:rsid w:val="005345F2"/>
    <w:rsid w:val="00534606"/>
    <w:rsid w:val="00534844"/>
    <w:rsid w:val="0053486D"/>
    <w:rsid w:val="005348A3"/>
    <w:rsid w:val="005348EA"/>
    <w:rsid w:val="00534908"/>
    <w:rsid w:val="00534993"/>
    <w:rsid w:val="005349C4"/>
    <w:rsid w:val="00534A12"/>
    <w:rsid w:val="00534A6C"/>
    <w:rsid w:val="00534AD3"/>
    <w:rsid w:val="00534B01"/>
    <w:rsid w:val="00534B42"/>
    <w:rsid w:val="00534B6C"/>
    <w:rsid w:val="00534C54"/>
    <w:rsid w:val="00534C9B"/>
    <w:rsid w:val="00534CCE"/>
    <w:rsid w:val="00534D24"/>
    <w:rsid w:val="00534E2B"/>
    <w:rsid w:val="00534EDA"/>
    <w:rsid w:val="00534F5B"/>
    <w:rsid w:val="00534FCD"/>
    <w:rsid w:val="005350C2"/>
    <w:rsid w:val="0053511A"/>
    <w:rsid w:val="00535142"/>
    <w:rsid w:val="00535310"/>
    <w:rsid w:val="00535324"/>
    <w:rsid w:val="00535370"/>
    <w:rsid w:val="00535387"/>
    <w:rsid w:val="005353A7"/>
    <w:rsid w:val="00535579"/>
    <w:rsid w:val="005355C0"/>
    <w:rsid w:val="005355D9"/>
    <w:rsid w:val="0053560D"/>
    <w:rsid w:val="00535628"/>
    <w:rsid w:val="00535659"/>
    <w:rsid w:val="0053568F"/>
    <w:rsid w:val="0053574D"/>
    <w:rsid w:val="00535751"/>
    <w:rsid w:val="00535754"/>
    <w:rsid w:val="0053581C"/>
    <w:rsid w:val="00535931"/>
    <w:rsid w:val="00535A03"/>
    <w:rsid w:val="00535AA9"/>
    <w:rsid w:val="00535AF7"/>
    <w:rsid w:val="00535B23"/>
    <w:rsid w:val="00535B4A"/>
    <w:rsid w:val="00535BD3"/>
    <w:rsid w:val="00535C01"/>
    <w:rsid w:val="00535C65"/>
    <w:rsid w:val="00535D3E"/>
    <w:rsid w:val="00535DB0"/>
    <w:rsid w:val="00535E15"/>
    <w:rsid w:val="00535E76"/>
    <w:rsid w:val="00535E90"/>
    <w:rsid w:val="00535ECF"/>
    <w:rsid w:val="00535ED9"/>
    <w:rsid w:val="00535EE3"/>
    <w:rsid w:val="00535F1D"/>
    <w:rsid w:val="00535F2C"/>
    <w:rsid w:val="00535FF0"/>
    <w:rsid w:val="00535FF5"/>
    <w:rsid w:val="0053602A"/>
    <w:rsid w:val="00536036"/>
    <w:rsid w:val="0053605B"/>
    <w:rsid w:val="005360D5"/>
    <w:rsid w:val="00536128"/>
    <w:rsid w:val="0053619F"/>
    <w:rsid w:val="005361BF"/>
    <w:rsid w:val="005361F8"/>
    <w:rsid w:val="0053624C"/>
    <w:rsid w:val="0053627C"/>
    <w:rsid w:val="00536296"/>
    <w:rsid w:val="005362AE"/>
    <w:rsid w:val="0053634F"/>
    <w:rsid w:val="00536353"/>
    <w:rsid w:val="005364A2"/>
    <w:rsid w:val="00536585"/>
    <w:rsid w:val="00536603"/>
    <w:rsid w:val="005366BB"/>
    <w:rsid w:val="005366E7"/>
    <w:rsid w:val="005366F7"/>
    <w:rsid w:val="005367FB"/>
    <w:rsid w:val="0053687B"/>
    <w:rsid w:val="00536884"/>
    <w:rsid w:val="00536899"/>
    <w:rsid w:val="0053690D"/>
    <w:rsid w:val="00536998"/>
    <w:rsid w:val="00536A3C"/>
    <w:rsid w:val="00536A73"/>
    <w:rsid w:val="00536A82"/>
    <w:rsid w:val="00536AFB"/>
    <w:rsid w:val="00536B60"/>
    <w:rsid w:val="00536B70"/>
    <w:rsid w:val="00536BAE"/>
    <w:rsid w:val="00536BC1"/>
    <w:rsid w:val="00536C6B"/>
    <w:rsid w:val="00536CBF"/>
    <w:rsid w:val="00536D17"/>
    <w:rsid w:val="00536D7A"/>
    <w:rsid w:val="00536DCD"/>
    <w:rsid w:val="00536DEC"/>
    <w:rsid w:val="00536EA7"/>
    <w:rsid w:val="00536EE4"/>
    <w:rsid w:val="00536EEB"/>
    <w:rsid w:val="00536F37"/>
    <w:rsid w:val="00536F47"/>
    <w:rsid w:val="00536F6A"/>
    <w:rsid w:val="00536F80"/>
    <w:rsid w:val="00536FC2"/>
    <w:rsid w:val="00537057"/>
    <w:rsid w:val="0053707E"/>
    <w:rsid w:val="005370A5"/>
    <w:rsid w:val="00537279"/>
    <w:rsid w:val="005372B4"/>
    <w:rsid w:val="0053731A"/>
    <w:rsid w:val="00537376"/>
    <w:rsid w:val="0053738D"/>
    <w:rsid w:val="005374A8"/>
    <w:rsid w:val="005374AE"/>
    <w:rsid w:val="00537500"/>
    <w:rsid w:val="00537512"/>
    <w:rsid w:val="0053765F"/>
    <w:rsid w:val="00537672"/>
    <w:rsid w:val="005377C0"/>
    <w:rsid w:val="005377C1"/>
    <w:rsid w:val="005377D1"/>
    <w:rsid w:val="00537852"/>
    <w:rsid w:val="0053785F"/>
    <w:rsid w:val="005378B3"/>
    <w:rsid w:val="00537948"/>
    <w:rsid w:val="00537A28"/>
    <w:rsid w:val="00537A79"/>
    <w:rsid w:val="00537B5E"/>
    <w:rsid w:val="00537B80"/>
    <w:rsid w:val="00537BCF"/>
    <w:rsid w:val="00537C6A"/>
    <w:rsid w:val="00537CC9"/>
    <w:rsid w:val="00537D65"/>
    <w:rsid w:val="00537EC3"/>
    <w:rsid w:val="00537EE3"/>
    <w:rsid w:val="00537EFE"/>
    <w:rsid w:val="00537F6D"/>
    <w:rsid w:val="0054019E"/>
    <w:rsid w:val="005401F9"/>
    <w:rsid w:val="00540314"/>
    <w:rsid w:val="00540337"/>
    <w:rsid w:val="00540435"/>
    <w:rsid w:val="005404CB"/>
    <w:rsid w:val="005404F3"/>
    <w:rsid w:val="00540575"/>
    <w:rsid w:val="00540576"/>
    <w:rsid w:val="005405C7"/>
    <w:rsid w:val="00540621"/>
    <w:rsid w:val="0054068E"/>
    <w:rsid w:val="005406F9"/>
    <w:rsid w:val="00540707"/>
    <w:rsid w:val="00540781"/>
    <w:rsid w:val="005407C9"/>
    <w:rsid w:val="005407CD"/>
    <w:rsid w:val="005407E4"/>
    <w:rsid w:val="005407EE"/>
    <w:rsid w:val="00540869"/>
    <w:rsid w:val="005408E0"/>
    <w:rsid w:val="0054092F"/>
    <w:rsid w:val="0054093F"/>
    <w:rsid w:val="00540A22"/>
    <w:rsid w:val="00540B21"/>
    <w:rsid w:val="00540B87"/>
    <w:rsid w:val="00540BA9"/>
    <w:rsid w:val="00540CCC"/>
    <w:rsid w:val="00540D1C"/>
    <w:rsid w:val="00540DD9"/>
    <w:rsid w:val="00540E2C"/>
    <w:rsid w:val="00540E52"/>
    <w:rsid w:val="00540F60"/>
    <w:rsid w:val="00540F62"/>
    <w:rsid w:val="00540FB4"/>
    <w:rsid w:val="00540FF3"/>
    <w:rsid w:val="0054100C"/>
    <w:rsid w:val="00541078"/>
    <w:rsid w:val="005410D1"/>
    <w:rsid w:val="00541229"/>
    <w:rsid w:val="00541238"/>
    <w:rsid w:val="0054126A"/>
    <w:rsid w:val="005412F1"/>
    <w:rsid w:val="00541333"/>
    <w:rsid w:val="0054138F"/>
    <w:rsid w:val="00541427"/>
    <w:rsid w:val="00541535"/>
    <w:rsid w:val="00541574"/>
    <w:rsid w:val="00541594"/>
    <w:rsid w:val="005415BD"/>
    <w:rsid w:val="005415E6"/>
    <w:rsid w:val="00541658"/>
    <w:rsid w:val="0054169F"/>
    <w:rsid w:val="00541704"/>
    <w:rsid w:val="00541747"/>
    <w:rsid w:val="00541750"/>
    <w:rsid w:val="005418D7"/>
    <w:rsid w:val="00541932"/>
    <w:rsid w:val="00541983"/>
    <w:rsid w:val="00541AAA"/>
    <w:rsid w:val="00541B10"/>
    <w:rsid w:val="00541B5B"/>
    <w:rsid w:val="00541B95"/>
    <w:rsid w:val="00541BAE"/>
    <w:rsid w:val="00541C52"/>
    <w:rsid w:val="00541CFD"/>
    <w:rsid w:val="00541D53"/>
    <w:rsid w:val="00541DDE"/>
    <w:rsid w:val="00541E0F"/>
    <w:rsid w:val="00541F7F"/>
    <w:rsid w:val="0054206F"/>
    <w:rsid w:val="005420CB"/>
    <w:rsid w:val="005421DB"/>
    <w:rsid w:val="0054230D"/>
    <w:rsid w:val="0054235E"/>
    <w:rsid w:val="005423D8"/>
    <w:rsid w:val="005423DE"/>
    <w:rsid w:val="005423E4"/>
    <w:rsid w:val="005423FA"/>
    <w:rsid w:val="0054243A"/>
    <w:rsid w:val="00542441"/>
    <w:rsid w:val="005424D2"/>
    <w:rsid w:val="005424FF"/>
    <w:rsid w:val="00542605"/>
    <w:rsid w:val="005426AE"/>
    <w:rsid w:val="005427F4"/>
    <w:rsid w:val="00542AA7"/>
    <w:rsid w:val="00542C57"/>
    <w:rsid w:val="00542C71"/>
    <w:rsid w:val="00542E80"/>
    <w:rsid w:val="00542F7C"/>
    <w:rsid w:val="00543055"/>
    <w:rsid w:val="00543062"/>
    <w:rsid w:val="00543092"/>
    <w:rsid w:val="005430D0"/>
    <w:rsid w:val="00543143"/>
    <w:rsid w:val="0054314C"/>
    <w:rsid w:val="005431C1"/>
    <w:rsid w:val="005432C0"/>
    <w:rsid w:val="0054336A"/>
    <w:rsid w:val="005433D9"/>
    <w:rsid w:val="005434CF"/>
    <w:rsid w:val="0054364B"/>
    <w:rsid w:val="00543665"/>
    <w:rsid w:val="0054366B"/>
    <w:rsid w:val="0054368B"/>
    <w:rsid w:val="005436B1"/>
    <w:rsid w:val="00543702"/>
    <w:rsid w:val="00543754"/>
    <w:rsid w:val="00543772"/>
    <w:rsid w:val="005437E3"/>
    <w:rsid w:val="0054380A"/>
    <w:rsid w:val="005438B5"/>
    <w:rsid w:val="005438BC"/>
    <w:rsid w:val="005438C0"/>
    <w:rsid w:val="00543939"/>
    <w:rsid w:val="005439AC"/>
    <w:rsid w:val="00543A14"/>
    <w:rsid w:val="00543A46"/>
    <w:rsid w:val="00543AE3"/>
    <w:rsid w:val="00543B23"/>
    <w:rsid w:val="00543B59"/>
    <w:rsid w:val="00543B6A"/>
    <w:rsid w:val="00543C8E"/>
    <w:rsid w:val="00543CFC"/>
    <w:rsid w:val="00543DA2"/>
    <w:rsid w:val="00543DD6"/>
    <w:rsid w:val="00543DE5"/>
    <w:rsid w:val="00543E03"/>
    <w:rsid w:val="00543E53"/>
    <w:rsid w:val="00543E54"/>
    <w:rsid w:val="00543EF5"/>
    <w:rsid w:val="00543F93"/>
    <w:rsid w:val="00543FA6"/>
    <w:rsid w:val="00543FDF"/>
    <w:rsid w:val="00544016"/>
    <w:rsid w:val="00544034"/>
    <w:rsid w:val="00544040"/>
    <w:rsid w:val="00544092"/>
    <w:rsid w:val="00544097"/>
    <w:rsid w:val="005440B8"/>
    <w:rsid w:val="005440DA"/>
    <w:rsid w:val="005440DC"/>
    <w:rsid w:val="005440F4"/>
    <w:rsid w:val="0054420B"/>
    <w:rsid w:val="00544227"/>
    <w:rsid w:val="00544245"/>
    <w:rsid w:val="00544293"/>
    <w:rsid w:val="0054429D"/>
    <w:rsid w:val="005442F5"/>
    <w:rsid w:val="0054434B"/>
    <w:rsid w:val="0054457D"/>
    <w:rsid w:val="005445D3"/>
    <w:rsid w:val="00544603"/>
    <w:rsid w:val="0054460E"/>
    <w:rsid w:val="00544618"/>
    <w:rsid w:val="00544687"/>
    <w:rsid w:val="00544757"/>
    <w:rsid w:val="00544944"/>
    <w:rsid w:val="0054497B"/>
    <w:rsid w:val="00544A6F"/>
    <w:rsid w:val="00544ADA"/>
    <w:rsid w:val="00544AE8"/>
    <w:rsid w:val="00544B64"/>
    <w:rsid w:val="00544BBD"/>
    <w:rsid w:val="00544BF8"/>
    <w:rsid w:val="00544C07"/>
    <w:rsid w:val="00544C15"/>
    <w:rsid w:val="00544C79"/>
    <w:rsid w:val="00544CD7"/>
    <w:rsid w:val="00544D0A"/>
    <w:rsid w:val="00544D96"/>
    <w:rsid w:val="00544DC0"/>
    <w:rsid w:val="00544DF1"/>
    <w:rsid w:val="00544EDC"/>
    <w:rsid w:val="00544EFD"/>
    <w:rsid w:val="0054503A"/>
    <w:rsid w:val="005450C6"/>
    <w:rsid w:val="0054519A"/>
    <w:rsid w:val="005451F7"/>
    <w:rsid w:val="00545201"/>
    <w:rsid w:val="0054520E"/>
    <w:rsid w:val="0054523D"/>
    <w:rsid w:val="00545274"/>
    <w:rsid w:val="005452B7"/>
    <w:rsid w:val="005452BC"/>
    <w:rsid w:val="005452FE"/>
    <w:rsid w:val="005453F0"/>
    <w:rsid w:val="005454CA"/>
    <w:rsid w:val="00545533"/>
    <w:rsid w:val="005455E6"/>
    <w:rsid w:val="0054564E"/>
    <w:rsid w:val="00545710"/>
    <w:rsid w:val="005457B3"/>
    <w:rsid w:val="005457CF"/>
    <w:rsid w:val="00545800"/>
    <w:rsid w:val="0054587F"/>
    <w:rsid w:val="00545927"/>
    <w:rsid w:val="00545928"/>
    <w:rsid w:val="00545967"/>
    <w:rsid w:val="0054599F"/>
    <w:rsid w:val="005459C2"/>
    <w:rsid w:val="005459DD"/>
    <w:rsid w:val="00545A00"/>
    <w:rsid w:val="00545BC3"/>
    <w:rsid w:val="00545C63"/>
    <w:rsid w:val="00545D33"/>
    <w:rsid w:val="00545DBF"/>
    <w:rsid w:val="00545DF2"/>
    <w:rsid w:val="00545E8F"/>
    <w:rsid w:val="00545F8A"/>
    <w:rsid w:val="00545F96"/>
    <w:rsid w:val="00545FC0"/>
    <w:rsid w:val="00546022"/>
    <w:rsid w:val="005461C6"/>
    <w:rsid w:val="0054621B"/>
    <w:rsid w:val="00546279"/>
    <w:rsid w:val="0054627E"/>
    <w:rsid w:val="00546296"/>
    <w:rsid w:val="005462D3"/>
    <w:rsid w:val="0054635A"/>
    <w:rsid w:val="005463B0"/>
    <w:rsid w:val="005463C6"/>
    <w:rsid w:val="005465DD"/>
    <w:rsid w:val="00546627"/>
    <w:rsid w:val="00546641"/>
    <w:rsid w:val="00546720"/>
    <w:rsid w:val="0054679A"/>
    <w:rsid w:val="0054679E"/>
    <w:rsid w:val="0054683B"/>
    <w:rsid w:val="00546897"/>
    <w:rsid w:val="005468C5"/>
    <w:rsid w:val="005468DF"/>
    <w:rsid w:val="0054691C"/>
    <w:rsid w:val="00546931"/>
    <w:rsid w:val="00546966"/>
    <w:rsid w:val="005469AC"/>
    <w:rsid w:val="00546A49"/>
    <w:rsid w:val="00546AA6"/>
    <w:rsid w:val="00546B55"/>
    <w:rsid w:val="00546B5E"/>
    <w:rsid w:val="00546BB8"/>
    <w:rsid w:val="00546CD3"/>
    <w:rsid w:val="00546D15"/>
    <w:rsid w:val="00546D1C"/>
    <w:rsid w:val="00546D8F"/>
    <w:rsid w:val="00546DF6"/>
    <w:rsid w:val="00546E3A"/>
    <w:rsid w:val="00546E47"/>
    <w:rsid w:val="00546EF3"/>
    <w:rsid w:val="00547013"/>
    <w:rsid w:val="0054707D"/>
    <w:rsid w:val="00547091"/>
    <w:rsid w:val="00547137"/>
    <w:rsid w:val="00547170"/>
    <w:rsid w:val="0054725E"/>
    <w:rsid w:val="005472B5"/>
    <w:rsid w:val="005472C9"/>
    <w:rsid w:val="00547370"/>
    <w:rsid w:val="005473E3"/>
    <w:rsid w:val="00547484"/>
    <w:rsid w:val="005474C3"/>
    <w:rsid w:val="00547571"/>
    <w:rsid w:val="0054757D"/>
    <w:rsid w:val="0054759D"/>
    <w:rsid w:val="005475DA"/>
    <w:rsid w:val="005475E1"/>
    <w:rsid w:val="00547601"/>
    <w:rsid w:val="00547609"/>
    <w:rsid w:val="00547647"/>
    <w:rsid w:val="00547660"/>
    <w:rsid w:val="005476DD"/>
    <w:rsid w:val="005476F9"/>
    <w:rsid w:val="00547723"/>
    <w:rsid w:val="005477AD"/>
    <w:rsid w:val="005477B4"/>
    <w:rsid w:val="005477F7"/>
    <w:rsid w:val="0054781C"/>
    <w:rsid w:val="005478B0"/>
    <w:rsid w:val="00547934"/>
    <w:rsid w:val="0054795F"/>
    <w:rsid w:val="005479A5"/>
    <w:rsid w:val="005479C0"/>
    <w:rsid w:val="005479F9"/>
    <w:rsid w:val="00547A00"/>
    <w:rsid w:val="00547A41"/>
    <w:rsid w:val="00547AF1"/>
    <w:rsid w:val="00547C1C"/>
    <w:rsid w:val="00547C8D"/>
    <w:rsid w:val="00547D97"/>
    <w:rsid w:val="00547DF9"/>
    <w:rsid w:val="00547E5F"/>
    <w:rsid w:val="00547E6F"/>
    <w:rsid w:val="00547E80"/>
    <w:rsid w:val="00547EDE"/>
    <w:rsid w:val="00547EEE"/>
    <w:rsid w:val="00548842"/>
    <w:rsid w:val="00550005"/>
    <w:rsid w:val="00550014"/>
    <w:rsid w:val="00550037"/>
    <w:rsid w:val="0055005D"/>
    <w:rsid w:val="0055024E"/>
    <w:rsid w:val="0055026A"/>
    <w:rsid w:val="005502B1"/>
    <w:rsid w:val="005502C6"/>
    <w:rsid w:val="005502EC"/>
    <w:rsid w:val="00550381"/>
    <w:rsid w:val="005503F5"/>
    <w:rsid w:val="00550451"/>
    <w:rsid w:val="0055047B"/>
    <w:rsid w:val="005504A4"/>
    <w:rsid w:val="005504D7"/>
    <w:rsid w:val="005504EE"/>
    <w:rsid w:val="005505E8"/>
    <w:rsid w:val="00550764"/>
    <w:rsid w:val="00550785"/>
    <w:rsid w:val="0055082E"/>
    <w:rsid w:val="00550830"/>
    <w:rsid w:val="00550933"/>
    <w:rsid w:val="00550941"/>
    <w:rsid w:val="00550973"/>
    <w:rsid w:val="0055099F"/>
    <w:rsid w:val="00550AC5"/>
    <w:rsid w:val="00550ADF"/>
    <w:rsid w:val="00550B0F"/>
    <w:rsid w:val="00550B30"/>
    <w:rsid w:val="00550BA7"/>
    <w:rsid w:val="00550BEA"/>
    <w:rsid w:val="00550BFC"/>
    <w:rsid w:val="00550C28"/>
    <w:rsid w:val="00550C4F"/>
    <w:rsid w:val="00550CC4"/>
    <w:rsid w:val="00550CCB"/>
    <w:rsid w:val="00550D60"/>
    <w:rsid w:val="00550E2F"/>
    <w:rsid w:val="00550E34"/>
    <w:rsid w:val="00550EFA"/>
    <w:rsid w:val="00551010"/>
    <w:rsid w:val="0055101D"/>
    <w:rsid w:val="00551060"/>
    <w:rsid w:val="005510DA"/>
    <w:rsid w:val="00551102"/>
    <w:rsid w:val="00551139"/>
    <w:rsid w:val="005511B7"/>
    <w:rsid w:val="005511E8"/>
    <w:rsid w:val="0055124F"/>
    <w:rsid w:val="0055127F"/>
    <w:rsid w:val="005512BA"/>
    <w:rsid w:val="005512DE"/>
    <w:rsid w:val="005512E3"/>
    <w:rsid w:val="00551445"/>
    <w:rsid w:val="0055146D"/>
    <w:rsid w:val="0055152D"/>
    <w:rsid w:val="00551544"/>
    <w:rsid w:val="00551615"/>
    <w:rsid w:val="0055178B"/>
    <w:rsid w:val="0055180D"/>
    <w:rsid w:val="00551872"/>
    <w:rsid w:val="005518F1"/>
    <w:rsid w:val="00551927"/>
    <w:rsid w:val="0055193A"/>
    <w:rsid w:val="00551944"/>
    <w:rsid w:val="00551947"/>
    <w:rsid w:val="005519F9"/>
    <w:rsid w:val="00551A28"/>
    <w:rsid w:val="00551A6E"/>
    <w:rsid w:val="00551AFB"/>
    <w:rsid w:val="00551B5F"/>
    <w:rsid w:val="00551CA9"/>
    <w:rsid w:val="00551CB7"/>
    <w:rsid w:val="00551DC8"/>
    <w:rsid w:val="00551E3D"/>
    <w:rsid w:val="00551E87"/>
    <w:rsid w:val="00551E9D"/>
    <w:rsid w:val="00551EE0"/>
    <w:rsid w:val="00551F27"/>
    <w:rsid w:val="00551FB9"/>
    <w:rsid w:val="00551FBA"/>
    <w:rsid w:val="00552017"/>
    <w:rsid w:val="0055206A"/>
    <w:rsid w:val="005520EA"/>
    <w:rsid w:val="00552110"/>
    <w:rsid w:val="0055213F"/>
    <w:rsid w:val="00552164"/>
    <w:rsid w:val="005521FE"/>
    <w:rsid w:val="00552265"/>
    <w:rsid w:val="0055231C"/>
    <w:rsid w:val="00552360"/>
    <w:rsid w:val="005523BC"/>
    <w:rsid w:val="0055243C"/>
    <w:rsid w:val="00552445"/>
    <w:rsid w:val="00552487"/>
    <w:rsid w:val="005524AC"/>
    <w:rsid w:val="005524B3"/>
    <w:rsid w:val="005524CC"/>
    <w:rsid w:val="0055250B"/>
    <w:rsid w:val="0055252F"/>
    <w:rsid w:val="0055254A"/>
    <w:rsid w:val="0055254B"/>
    <w:rsid w:val="00552575"/>
    <w:rsid w:val="0055260B"/>
    <w:rsid w:val="00552617"/>
    <w:rsid w:val="00552666"/>
    <w:rsid w:val="00552699"/>
    <w:rsid w:val="005526B3"/>
    <w:rsid w:val="0055270A"/>
    <w:rsid w:val="005527EC"/>
    <w:rsid w:val="0055288E"/>
    <w:rsid w:val="005528A3"/>
    <w:rsid w:val="005528EE"/>
    <w:rsid w:val="0055297D"/>
    <w:rsid w:val="005529BD"/>
    <w:rsid w:val="005529D6"/>
    <w:rsid w:val="00552A2E"/>
    <w:rsid w:val="00552AA3"/>
    <w:rsid w:val="00552AF4"/>
    <w:rsid w:val="00552AFE"/>
    <w:rsid w:val="00552B18"/>
    <w:rsid w:val="00552B1D"/>
    <w:rsid w:val="00552B89"/>
    <w:rsid w:val="00552B96"/>
    <w:rsid w:val="00552C31"/>
    <w:rsid w:val="00552CF5"/>
    <w:rsid w:val="00552D3B"/>
    <w:rsid w:val="00552D71"/>
    <w:rsid w:val="00552E33"/>
    <w:rsid w:val="00552E4A"/>
    <w:rsid w:val="00552F78"/>
    <w:rsid w:val="00552FA6"/>
    <w:rsid w:val="00552FD7"/>
    <w:rsid w:val="0055302F"/>
    <w:rsid w:val="005530D1"/>
    <w:rsid w:val="005530EB"/>
    <w:rsid w:val="00553111"/>
    <w:rsid w:val="0055314F"/>
    <w:rsid w:val="0055319B"/>
    <w:rsid w:val="005531A9"/>
    <w:rsid w:val="005531EA"/>
    <w:rsid w:val="00553224"/>
    <w:rsid w:val="005532A3"/>
    <w:rsid w:val="005532A6"/>
    <w:rsid w:val="0055331B"/>
    <w:rsid w:val="00553386"/>
    <w:rsid w:val="00553416"/>
    <w:rsid w:val="005534C6"/>
    <w:rsid w:val="005534F4"/>
    <w:rsid w:val="0055359F"/>
    <w:rsid w:val="005535B6"/>
    <w:rsid w:val="00553680"/>
    <w:rsid w:val="0055371E"/>
    <w:rsid w:val="0055377B"/>
    <w:rsid w:val="005537B9"/>
    <w:rsid w:val="005538F8"/>
    <w:rsid w:val="00553958"/>
    <w:rsid w:val="00553959"/>
    <w:rsid w:val="005539D2"/>
    <w:rsid w:val="00553AB2"/>
    <w:rsid w:val="00553B23"/>
    <w:rsid w:val="00553B25"/>
    <w:rsid w:val="00553B74"/>
    <w:rsid w:val="00553BA6"/>
    <w:rsid w:val="00553BAE"/>
    <w:rsid w:val="00553BB0"/>
    <w:rsid w:val="00553CD0"/>
    <w:rsid w:val="00553D21"/>
    <w:rsid w:val="00553E2D"/>
    <w:rsid w:val="00553E96"/>
    <w:rsid w:val="00553E9E"/>
    <w:rsid w:val="00553EC3"/>
    <w:rsid w:val="00553F0A"/>
    <w:rsid w:val="00553F24"/>
    <w:rsid w:val="00553F6D"/>
    <w:rsid w:val="005540C1"/>
    <w:rsid w:val="005540DE"/>
    <w:rsid w:val="00554145"/>
    <w:rsid w:val="00554202"/>
    <w:rsid w:val="00554220"/>
    <w:rsid w:val="00554230"/>
    <w:rsid w:val="00554297"/>
    <w:rsid w:val="005542A0"/>
    <w:rsid w:val="005542EF"/>
    <w:rsid w:val="00554349"/>
    <w:rsid w:val="005543CD"/>
    <w:rsid w:val="005543E2"/>
    <w:rsid w:val="00554524"/>
    <w:rsid w:val="00554685"/>
    <w:rsid w:val="00554686"/>
    <w:rsid w:val="005546C2"/>
    <w:rsid w:val="005546C8"/>
    <w:rsid w:val="005546DE"/>
    <w:rsid w:val="00554725"/>
    <w:rsid w:val="00554750"/>
    <w:rsid w:val="0055478B"/>
    <w:rsid w:val="00554879"/>
    <w:rsid w:val="00554908"/>
    <w:rsid w:val="0055496D"/>
    <w:rsid w:val="005549C6"/>
    <w:rsid w:val="00554A73"/>
    <w:rsid w:val="00554ABD"/>
    <w:rsid w:val="00554AF3"/>
    <w:rsid w:val="00554CA4"/>
    <w:rsid w:val="00554CCA"/>
    <w:rsid w:val="00554D64"/>
    <w:rsid w:val="00554DCD"/>
    <w:rsid w:val="00554DED"/>
    <w:rsid w:val="00554E1F"/>
    <w:rsid w:val="00554E58"/>
    <w:rsid w:val="00554E61"/>
    <w:rsid w:val="00554E79"/>
    <w:rsid w:val="00554F03"/>
    <w:rsid w:val="00554F05"/>
    <w:rsid w:val="00554F06"/>
    <w:rsid w:val="00554F11"/>
    <w:rsid w:val="00555033"/>
    <w:rsid w:val="0055503E"/>
    <w:rsid w:val="00555123"/>
    <w:rsid w:val="0055512E"/>
    <w:rsid w:val="0055514C"/>
    <w:rsid w:val="0055519D"/>
    <w:rsid w:val="00555205"/>
    <w:rsid w:val="00555209"/>
    <w:rsid w:val="00555210"/>
    <w:rsid w:val="0055525B"/>
    <w:rsid w:val="0055525F"/>
    <w:rsid w:val="00555275"/>
    <w:rsid w:val="00555326"/>
    <w:rsid w:val="005553BA"/>
    <w:rsid w:val="00555477"/>
    <w:rsid w:val="00555488"/>
    <w:rsid w:val="005554CA"/>
    <w:rsid w:val="005554D1"/>
    <w:rsid w:val="005554D2"/>
    <w:rsid w:val="0055559F"/>
    <w:rsid w:val="00555624"/>
    <w:rsid w:val="00555688"/>
    <w:rsid w:val="005556C2"/>
    <w:rsid w:val="005556F4"/>
    <w:rsid w:val="00555765"/>
    <w:rsid w:val="005557DF"/>
    <w:rsid w:val="00555834"/>
    <w:rsid w:val="00555859"/>
    <w:rsid w:val="00555874"/>
    <w:rsid w:val="005558DB"/>
    <w:rsid w:val="0055596D"/>
    <w:rsid w:val="00555AC7"/>
    <w:rsid w:val="00555B6E"/>
    <w:rsid w:val="00555B79"/>
    <w:rsid w:val="00555B88"/>
    <w:rsid w:val="00555C41"/>
    <w:rsid w:val="00555C4B"/>
    <w:rsid w:val="00555CEC"/>
    <w:rsid w:val="00555CFE"/>
    <w:rsid w:val="00555D84"/>
    <w:rsid w:val="00555DAC"/>
    <w:rsid w:val="00555DE7"/>
    <w:rsid w:val="00555DF5"/>
    <w:rsid w:val="00555E74"/>
    <w:rsid w:val="00555EEC"/>
    <w:rsid w:val="00555F33"/>
    <w:rsid w:val="00555F51"/>
    <w:rsid w:val="00555FAA"/>
    <w:rsid w:val="005560C8"/>
    <w:rsid w:val="005560CD"/>
    <w:rsid w:val="0055623C"/>
    <w:rsid w:val="00556341"/>
    <w:rsid w:val="005563AD"/>
    <w:rsid w:val="005565A3"/>
    <w:rsid w:val="0055661B"/>
    <w:rsid w:val="00556645"/>
    <w:rsid w:val="00556698"/>
    <w:rsid w:val="005566C9"/>
    <w:rsid w:val="005566E8"/>
    <w:rsid w:val="00556772"/>
    <w:rsid w:val="005567BF"/>
    <w:rsid w:val="00556841"/>
    <w:rsid w:val="0055685D"/>
    <w:rsid w:val="00556893"/>
    <w:rsid w:val="005568AD"/>
    <w:rsid w:val="00556902"/>
    <w:rsid w:val="00556928"/>
    <w:rsid w:val="0055694A"/>
    <w:rsid w:val="0055697F"/>
    <w:rsid w:val="00556981"/>
    <w:rsid w:val="00556B02"/>
    <w:rsid w:val="00556B0C"/>
    <w:rsid w:val="00556B3B"/>
    <w:rsid w:val="00556B44"/>
    <w:rsid w:val="00556BD5"/>
    <w:rsid w:val="00556BE7"/>
    <w:rsid w:val="00556C20"/>
    <w:rsid w:val="00556C3B"/>
    <w:rsid w:val="00556C59"/>
    <w:rsid w:val="00556D3B"/>
    <w:rsid w:val="00556DDB"/>
    <w:rsid w:val="00556E56"/>
    <w:rsid w:val="00556EC6"/>
    <w:rsid w:val="00556ED5"/>
    <w:rsid w:val="00556F6D"/>
    <w:rsid w:val="00556FF9"/>
    <w:rsid w:val="0055705C"/>
    <w:rsid w:val="00557129"/>
    <w:rsid w:val="005571B8"/>
    <w:rsid w:val="005571F5"/>
    <w:rsid w:val="005571FA"/>
    <w:rsid w:val="00557205"/>
    <w:rsid w:val="005572A1"/>
    <w:rsid w:val="00557318"/>
    <w:rsid w:val="005573A2"/>
    <w:rsid w:val="005573FC"/>
    <w:rsid w:val="005574CF"/>
    <w:rsid w:val="005575D4"/>
    <w:rsid w:val="00557666"/>
    <w:rsid w:val="00557676"/>
    <w:rsid w:val="005576D0"/>
    <w:rsid w:val="0055772E"/>
    <w:rsid w:val="005577A1"/>
    <w:rsid w:val="005577A7"/>
    <w:rsid w:val="005577D0"/>
    <w:rsid w:val="005577D8"/>
    <w:rsid w:val="00557A2B"/>
    <w:rsid w:val="00557A77"/>
    <w:rsid w:val="00557B62"/>
    <w:rsid w:val="00557B68"/>
    <w:rsid w:val="00557B98"/>
    <w:rsid w:val="00557C3E"/>
    <w:rsid w:val="00557C95"/>
    <w:rsid w:val="00557CF4"/>
    <w:rsid w:val="00557D72"/>
    <w:rsid w:val="00557DE4"/>
    <w:rsid w:val="00557E43"/>
    <w:rsid w:val="00557E69"/>
    <w:rsid w:val="00557EA6"/>
    <w:rsid w:val="00557EEA"/>
    <w:rsid w:val="00557F3D"/>
    <w:rsid w:val="00557F5B"/>
    <w:rsid w:val="00560005"/>
    <w:rsid w:val="005601CF"/>
    <w:rsid w:val="005602C2"/>
    <w:rsid w:val="005602EE"/>
    <w:rsid w:val="00560373"/>
    <w:rsid w:val="005603EB"/>
    <w:rsid w:val="00560438"/>
    <w:rsid w:val="00560465"/>
    <w:rsid w:val="0056046D"/>
    <w:rsid w:val="005604DE"/>
    <w:rsid w:val="0056050C"/>
    <w:rsid w:val="005605DA"/>
    <w:rsid w:val="00560643"/>
    <w:rsid w:val="00560761"/>
    <w:rsid w:val="0056078A"/>
    <w:rsid w:val="00560891"/>
    <w:rsid w:val="005608AB"/>
    <w:rsid w:val="00560946"/>
    <w:rsid w:val="00560A12"/>
    <w:rsid w:val="00560A9E"/>
    <w:rsid w:val="00560AA9"/>
    <w:rsid w:val="00560AD1"/>
    <w:rsid w:val="00560B0F"/>
    <w:rsid w:val="00560B13"/>
    <w:rsid w:val="00560B4F"/>
    <w:rsid w:val="00560C55"/>
    <w:rsid w:val="00560C63"/>
    <w:rsid w:val="00560D33"/>
    <w:rsid w:val="00560D3A"/>
    <w:rsid w:val="00560E3B"/>
    <w:rsid w:val="00560E3D"/>
    <w:rsid w:val="00560E97"/>
    <w:rsid w:val="00560ECD"/>
    <w:rsid w:val="00560EDC"/>
    <w:rsid w:val="00560F92"/>
    <w:rsid w:val="00561027"/>
    <w:rsid w:val="00561070"/>
    <w:rsid w:val="005610A2"/>
    <w:rsid w:val="005611EB"/>
    <w:rsid w:val="005611FC"/>
    <w:rsid w:val="00561329"/>
    <w:rsid w:val="005614CF"/>
    <w:rsid w:val="00561522"/>
    <w:rsid w:val="00561565"/>
    <w:rsid w:val="00561586"/>
    <w:rsid w:val="00561663"/>
    <w:rsid w:val="005616E8"/>
    <w:rsid w:val="005617A1"/>
    <w:rsid w:val="00561837"/>
    <w:rsid w:val="005618F7"/>
    <w:rsid w:val="00561A22"/>
    <w:rsid w:val="00561A39"/>
    <w:rsid w:val="00561AFA"/>
    <w:rsid w:val="00561BBC"/>
    <w:rsid w:val="00561C17"/>
    <w:rsid w:val="00561C76"/>
    <w:rsid w:val="00561D36"/>
    <w:rsid w:val="00561E10"/>
    <w:rsid w:val="00561EF3"/>
    <w:rsid w:val="00561F30"/>
    <w:rsid w:val="00561F40"/>
    <w:rsid w:val="00561FBE"/>
    <w:rsid w:val="00562037"/>
    <w:rsid w:val="0056203C"/>
    <w:rsid w:val="005620E7"/>
    <w:rsid w:val="00562131"/>
    <w:rsid w:val="00562139"/>
    <w:rsid w:val="00562192"/>
    <w:rsid w:val="005622A6"/>
    <w:rsid w:val="005622AE"/>
    <w:rsid w:val="00562314"/>
    <w:rsid w:val="00562319"/>
    <w:rsid w:val="0056232B"/>
    <w:rsid w:val="00562348"/>
    <w:rsid w:val="0056258F"/>
    <w:rsid w:val="005625DF"/>
    <w:rsid w:val="005625F7"/>
    <w:rsid w:val="0056261D"/>
    <w:rsid w:val="0056269B"/>
    <w:rsid w:val="005626B2"/>
    <w:rsid w:val="005626C6"/>
    <w:rsid w:val="00562763"/>
    <w:rsid w:val="00562764"/>
    <w:rsid w:val="00562965"/>
    <w:rsid w:val="005629B2"/>
    <w:rsid w:val="005629B5"/>
    <w:rsid w:val="00562A17"/>
    <w:rsid w:val="00562BC0"/>
    <w:rsid w:val="00562D57"/>
    <w:rsid w:val="00562D59"/>
    <w:rsid w:val="00562D99"/>
    <w:rsid w:val="00562E23"/>
    <w:rsid w:val="00562E37"/>
    <w:rsid w:val="00562F0D"/>
    <w:rsid w:val="00562FF2"/>
    <w:rsid w:val="005631D8"/>
    <w:rsid w:val="00563202"/>
    <w:rsid w:val="005632BB"/>
    <w:rsid w:val="00563387"/>
    <w:rsid w:val="0056339E"/>
    <w:rsid w:val="00563403"/>
    <w:rsid w:val="005634EF"/>
    <w:rsid w:val="0056351E"/>
    <w:rsid w:val="0056354F"/>
    <w:rsid w:val="0056356B"/>
    <w:rsid w:val="0056357F"/>
    <w:rsid w:val="00563597"/>
    <w:rsid w:val="0056362C"/>
    <w:rsid w:val="0056375C"/>
    <w:rsid w:val="005637A4"/>
    <w:rsid w:val="005637E5"/>
    <w:rsid w:val="005637F8"/>
    <w:rsid w:val="00563843"/>
    <w:rsid w:val="00563918"/>
    <w:rsid w:val="00563AA8"/>
    <w:rsid w:val="00563ABD"/>
    <w:rsid w:val="00563AD1"/>
    <w:rsid w:val="00563AFA"/>
    <w:rsid w:val="00563C3F"/>
    <w:rsid w:val="00563C5E"/>
    <w:rsid w:val="00563C9F"/>
    <w:rsid w:val="00563CAF"/>
    <w:rsid w:val="00563D6D"/>
    <w:rsid w:val="00563D78"/>
    <w:rsid w:val="00563DB0"/>
    <w:rsid w:val="00563EE9"/>
    <w:rsid w:val="00563F03"/>
    <w:rsid w:val="00564055"/>
    <w:rsid w:val="00564057"/>
    <w:rsid w:val="005640F6"/>
    <w:rsid w:val="0056411D"/>
    <w:rsid w:val="00564169"/>
    <w:rsid w:val="00564174"/>
    <w:rsid w:val="005641C0"/>
    <w:rsid w:val="005641E8"/>
    <w:rsid w:val="00564236"/>
    <w:rsid w:val="005642B2"/>
    <w:rsid w:val="005642BC"/>
    <w:rsid w:val="00564354"/>
    <w:rsid w:val="00564385"/>
    <w:rsid w:val="005643A3"/>
    <w:rsid w:val="0056440E"/>
    <w:rsid w:val="0056443A"/>
    <w:rsid w:val="00564459"/>
    <w:rsid w:val="00564587"/>
    <w:rsid w:val="00564607"/>
    <w:rsid w:val="00564611"/>
    <w:rsid w:val="00564681"/>
    <w:rsid w:val="0056469F"/>
    <w:rsid w:val="00564740"/>
    <w:rsid w:val="00564771"/>
    <w:rsid w:val="005647D5"/>
    <w:rsid w:val="005647F2"/>
    <w:rsid w:val="00564844"/>
    <w:rsid w:val="0056488F"/>
    <w:rsid w:val="00564996"/>
    <w:rsid w:val="005649AA"/>
    <w:rsid w:val="005649BF"/>
    <w:rsid w:val="00564A22"/>
    <w:rsid w:val="00564A23"/>
    <w:rsid w:val="00564A40"/>
    <w:rsid w:val="00564A84"/>
    <w:rsid w:val="00564BCF"/>
    <w:rsid w:val="00564C91"/>
    <w:rsid w:val="00564C9D"/>
    <w:rsid w:val="00564CDC"/>
    <w:rsid w:val="00564D60"/>
    <w:rsid w:val="00564DB2"/>
    <w:rsid w:val="00564ED2"/>
    <w:rsid w:val="00564F18"/>
    <w:rsid w:val="00564FD2"/>
    <w:rsid w:val="005650C2"/>
    <w:rsid w:val="00565173"/>
    <w:rsid w:val="00565188"/>
    <w:rsid w:val="005651AF"/>
    <w:rsid w:val="005651DB"/>
    <w:rsid w:val="00565279"/>
    <w:rsid w:val="005653E5"/>
    <w:rsid w:val="005653F8"/>
    <w:rsid w:val="00565426"/>
    <w:rsid w:val="0056543B"/>
    <w:rsid w:val="0056545B"/>
    <w:rsid w:val="0056549F"/>
    <w:rsid w:val="00565522"/>
    <w:rsid w:val="005655C0"/>
    <w:rsid w:val="00565795"/>
    <w:rsid w:val="005657C9"/>
    <w:rsid w:val="00565807"/>
    <w:rsid w:val="00565815"/>
    <w:rsid w:val="00565B88"/>
    <w:rsid w:val="00565C17"/>
    <w:rsid w:val="00565CC0"/>
    <w:rsid w:val="00565D01"/>
    <w:rsid w:val="00565D87"/>
    <w:rsid w:val="00565D9C"/>
    <w:rsid w:val="00565E01"/>
    <w:rsid w:val="00565E8C"/>
    <w:rsid w:val="00565F16"/>
    <w:rsid w:val="00565FB8"/>
    <w:rsid w:val="0056602E"/>
    <w:rsid w:val="0056606E"/>
    <w:rsid w:val="00566098"/>
    <w:rsid w:val="0056610E"/>
    <w:rsid w:val="00566179"/>
    <w:rsid w:val="00566183"/>
    <w:rsid w:val="0056619A"/>
    <w:rsid w:val="00566221"/>
    <w:rsid w:val="0056624C"/>
    <w:rsid w:val="0056638C"/>
    <w:rsid w:val="005663A1"/>
    <w:rsid w:val="00566410"/>
    <w:rsid w:val="00566437"/>
    <w:rsid w:val="005664C2"/>
    <w:rsid w:val="005664D2"/>
    <w:rsid w:val="00566510"/>
    <w:rsid w:val="0056659D"/>
    <w:rsid w:val="005665DB"/>
    <w:rsid w:val="00566601"/>
    <w:rsid w:val="00566631"/>
    <w:rsid w:val="00566650"/>
    <w:rsid w:val="00566692"/>
    <w:rsid w:val="005666DD"/>
    <w:rsid w:val="00566801"/>
    <w:rsid w:val="005668D6"/>
    <w:rsid w:val="005668F5"/>
    <w:rsid w:val="00566976"/>
    <w:rsid w:val="00566991"/>
    <w:rsid w:val="00566B33"/>
    <w:rsid w:val="00566BB7"/>
    <w:rsid w:val="00566C17"/>
    <w:rsid w:val="00566CDD"/>
    <w:rsid w:val="00566CFF"/>
    <w:rsid w:val="00566D23"/>
    <w:rsid w:val="00566DC2"/>
    <w:rsid w:val="00566DE8"/>
    <w:rsid w:val="00566E7D"/>
    <w:rsid w:val="00566EFA"/>
    <w:rsid w:val="00566FE0"/>
    <w:rsid w:val="0056705C"/>
    <w:rsid w:val="005670BF"/>
    <w:rsid w:val="005670DF"/>
    <w:rsid w:val="005671AB"/>
    <w:rsid w:val="005671D5"/>
    <w:rsid w:val="00567283"/>
    <w:rsid w:val="005672C2"/>
    <w:rsid w:val="005672F7"/>
    <w:rsid w:val="005673FF"/>
    <w:rsid w:val="00567451"/>
    <w:rsid w:val="005674A3"/>
    <w:rsid w:val="005674D6"/>
    <w:rsid w:val="005674FB"/>
    <w:rsid w:val="005675EE"/>
    <w:rsid w:val="00567606"/>
    <w:rsid w:val="00567619"/>
    <w:rsid w:val="005676C7"/>
    <w:rsid w:val="00567926"/>
    <w:rsid w:val="0056793F"/>
    <w:rsid w:val="0056797D"/>
    <w:rsid w:val="00567A72"/>
    <w:rsid w:val="00567B5A"/>
    <w:rsid w:val="00567B65"/>
    <w:rsid w:val="00567BAE"/>
    <w:rsid w:val="00567CAD"/>
    <w:rsid w:val="00567CDB"/>
    <w:rsid w:val="00567D49"/>
    <w:rsid w:val="00567E82"/>
    <w:rsid w:val="00567E93"/>
    <w:rsid w:val="00567EBE"/>
    <w:rsid w:val="00567F45"/>
    <w:rsid w:val="005700A3"/>
    <w:rsid w:val="005700DA"/>
    <w:rsid w:val="0057013D"/>
    <w:rsid w:val="0057015B"/>
    <w:rsid w:val="0057023C"/>
    <w:rsid w:val="005702BD"/>
    <w:rsid w:val="00570301"/>
    <w:rsid w:val="00570308"/>
    <w:rsid w:val="00570326"/>
    <w:rsid w:val="00570342"/>
    <w:rsid w:val="00570409"/>
    <w:rsid w:val="00570460"/>
    <w:rsid w:val="005704AC"/>
    <w:rsid w:val="005704DC"/>
    <w:rsid w:val="00570529"/>
    <w:rsid w:val="00570591"/>
    <w:rsid w:val="005705A6"/>
    <w:rsid w:val="00570652"/>
    <w:rsid w:val="005706C4"/>
    <w:rsid w:val="005706D0"/>
    <w:rsid w:val="00570823"/>
    <w:rsid w:val="0057082D"/>
    <w:rsid w:val="005708B0"/>
    <w:rsid w:val="00570950"/>
    <w:rsid w:val="00570983"/>
    <w:rsid w:val="00570AA2"/>
    <w:rsid w:val="00570B57"/>
    <w:rsid w:val="00570CE2"/>
    <w:rsid w:val="00570D36"/>
    <w:rsid w:val="00570D81"/>
    <w:rsid w:val="00570E0E"/>
    <w:rsid w:val="00570E3D"/>
    <w:rsid w:val="00570E56"/>
    <w:rsid w:val="00571029"/>
    <w:rsid w:val="0057103F"/>
    <w:rsid w:val="00571052"/>
    <w:rsid w:val="005710EF"/>
    <w:rsid w:val="005710F3"/>
    <w:rsid w:val="00571106"/>
    <w:rsid w:val="00571133"/>
    <w:rsid w:val="005711BF"/>
    <w:rsid w:val="005711F2"/>
    <w:rsid w:val="00571224"/>
    <w:rsid w:val="0057124E"/>
    <w:rsid w:val="005712E7"/>
    <w:rsid w:val="005712F3"/>
    <w:rsid w:val="00571301"/>
    <w:rsid w:val="00571344"/>
    <w:rsid w:val="00571481"/>
    <w:rsid w:val="00571592"/>
    <w:rsid w:val="005715AB"/>
    <w:rsid w:val="005715F6"/>
    <w:rsid w:val="00571609"/>
    <w:rsid w:val="00571656"/>
    <w:rsid w:val="00571671"/>
    <w:rsid w:val="005716A3"/>
    <w:rsid w:val="00571700"/>
    <w:rsid w:val="00571773"/>
    <w:rsid w:val="00571779"/>
    <w:rsid w:val="00571814"/>
    <w:rsid w:val="0057195E"/>
    <w:rsid w:val="005719D4"/>
    <w:rsid w:val="00571A0F"/>
    <w:rsid w:val="00571A77"/>
    <w:rsid w:val="00571B2C"/>
    <w:rsid w:val="00571B89"/>
    <w:rsid w:val="00571BCC"/>
    <w:rsid w:val="00571C4A"/>
    <w:rsid w:val="00571D32"/>
    <w:rsid w:val="00571D62"/>
    <w:rsid w:val="00571D68"/>
    <w:rsid w:val="00571D71"/>
    <w:rsid w:val="00571DEF"/>
    <w:rsid w:val="00571E2C"/>
    <w:rsid w:val="00571E86"/>
    <w:rsid w:val="00571EA9"/>
    <w:rsid w:val="00571F38"/>
    <w:rsid w:val="00571F5B"/>
    <w:rsid w:val="00571FB4"/>
    <w:rsid w:val="00571FE7"/>
    <w:rsid w:val="00571FEB"/>
    <w:rsid w:val="00572015"/>
    <w:rsid w:val="005720BC"/>
    <w:rsid w:val="005721EA"/>
    <w:rsid w:val="00572226"/>
    <w:rsid w:val="00572254"/>
    <w:rsid w:val="00572295"/>
    <w:rsid w:val="005722CF"/>
    <w:rsid w:val="0057231F"/>
    <w:rsid w:val="0057236D"/>
    <w:rsid w:val="005723C1"/>
    <w:rsid w:val="005723C7"/>
    <w:rsid w:val="005723EA"/>
    <w:rsid w:val="005724DA"/>
    <w:rsid w:val="0057253F"/>
    <w:rsid w:val="005725A4"/>
    <w:rsid w:val="005725E9"/>
    <w:rsid w:val="00572805"/>
    <w:rsid w:val="0057285E"/>
    <w:rsid w:val="005728A0"/>
    <w:rsid w:val="005728B3"/>
    <w:rsid w:val="005728D5"/>
    <w:rsid w:val="00572932"/>
    <w:rsid w:val="00572998"/>
    <w:rsid w:val="005729D6"/>
    <w:rsid w:val="00572A91"/>
    <w:rsid w:val="00572B53"/>
    <w:rsid w:val="00572BF8"/>
    <w:rsid w:val="00572CB4"/>
    <w:rsid w:val="00572D62"/>
    <w:rsid w:val="00572E07"/>
    <w:rsid w:val="00572E0E"/>
    <w:rsid w:val="00572E2E"/>
    <w:rsid w:val="00572E3C"/>
    <w:rsid w:val="00572E44"/>
    <w:rsid w:val="00572E6E"/>
    <w:rsid w:val="00572EC0"/>
    <w:rsid w:val="00572F0A"/>
    <w:rsid w:val="00572F3F"/>
    <w:rsid w:val="00572FE1"/>
    <w:rsid w:val="0057305C"/>
    <w:rsid w:val="00573066"/>
    <w:rsid w:val="005730AE"/>
    <w:rsid w:val="005730C5"/>
    <w:rsid w:val="00573135"/>
    <w:rsid w:val="005731EA"/>
    <w:rsid w:val="0057326D"/>
    <w:rsid w:val="0057329C"/>
    <w:rsid w:val="005732A7"/>
    <w:rsid w:val="00573321"/>
    <w:rsid w:val="005733E1"/>
    <w:rsid w:val="00573453"/>
    <w:rsid w:val="005734B7"/>
    <w:rsid w:val="005734E0"/>
    <w:rsid w:val="0057350C"/>
    <w:rsid w:val="0057350F"/>
    <w:rsid w:val="0057351A"/>
    <w:rsid w:val="0057352C"/>
    <w:rsid w:val="00573562"/>
    <w:rsid w:val="005735AD"/>
    <w:rsid w:val="005736A5"/>
    <w:rsid w:val="005736AA"/>
    <w:rsid w:val="0057373D"/>
    <w:rsid w:val="00573795"/>
    <w:rsid w:val="005737B4"/>
    <w:rsid w:val="005738D6"/>
    <w:rsid w:val="0057399C"/>
    <w:rsid w:val="005739EE"/>
    <w:rsid w:val="00573A42"/>
    <w:rsid w:val="00573A64"/>
    <w:rsid w:val="00573B05"/>
    <w:rsid w:val="00573B8C"/>
    <w:rsid w:val="00573C3A"/>
    <w:rsid w:val="00573C7F"/>
    <w:rsid w:val="00573CCB"/>
    <w:rsid w:val="00573D1A"/>
    <w:rsid w:val="00573D45"/>
    <w:rsid w:val="00573D79"/>
    <w:rsid w:val="00573D8A"/>
    <w:rsid w:val="00573DA7"/>
    <w:rsid w:val="00573DBD"/>
    <w:rsid w:val="00573E48"/>
    <w:rsid w:val="00573E74"/>
    <w:rsid w:val="00573E7E"/>
    <w:rsid w:val="00573F31"/>
    <w:rsid w:val="00573F8E"/>
    <w:rsid w:val="00573FEE"/>
    <w:rsid w:val="00574032"/>
    <w:rsid w:val="00574048"/>
    <w:rsid w:val="0057405A"/>
    <w:rsid w:val="0057408D"/>
    <w:rsid w:val="00574109"/>
    <w:rsid w:val="0057419C"/>
    <w:rsid w:val="005741A1"/>
    <w:rsid w:val="005741A2"/>
    <w:rsid w:val="00574232"/>
    <w:rsid w:val="00574245"/>
    <w:rsid w:val="00574249"/>
    <w:rsid w:val="005742A6"/>
    <w:rsid w:val="0057430E"/>
    <w:rsid w:val="005743EA"/>
    <w:rsid w:val="0057445E"/>
    <w:rsid w:val="00574491"/>
    <w:rsid w:val="005744EE"/>
    <w:rsid w:val="0057457F"/>
    <w:rsid w:val="005745E6"/>
    <w:rsid w:val="005747E3"/>
    <w:rsid w:val="005747E9"/>
    <w:rsid w:val="005748AE"/>
    <w:rsid w:val="0057494D"/>
    <w:rsid w:val="005749D0"/>
    <w:rsid w:val="005749F3"/>
    <w:rsid w:val="00574AC1"/>
    <w:rsid w:val="00574AC6"/>
    <w:rsid w:val="00574C19"/>
    <w:rsid w:val="00574C3B"/>
    <w:rsid w:val="00574C45"/>
    <w:rsid w:val="00574C8A"/>
    <w:rsid w:val="00574CA4"/>
    <w:rsid w:val="00574CB7"/>
    <w:rsid w:val="00574D4D"/>
    <w:rsid w:val="00574D50"/>
    <w:rsid w:val="00574D90"/>
    <w:rsid w:val="00574F16"/>
    <w:rsid w:val="00574F8D"/>
    <w:rsid w:val="00574FAB"/>
    <w:rsid w:val="00575062"/>
    <w:rsid w:val="00575063"/>
    <w:rsid w:val="005751D5"/>
    <w:rsid w:val="00575213"/>
    <w:rsid w:val="00575271"/>
    <w:rsid w:val="00575331"/>
    <w:rsid w:val="00575395"/>
    <w:rsid w:val="00575400"/>
    <w:rsid w:val="00575468"/>
    <w:rsid w:val="005754BD"/>
    <w:rsid w:val="005755CF"/>
    <w:rsid w:val="00575611"/>
    <w:rsid w:val="00575693"/>
    <w:rsid w:val="0057570D"/>
    <w:rsid w:val="00575718"/>
    <w:rsid w:val="005757AC"/>
    <w:rsid w:val="0057583A"/>
    <w:rsid w:val="005758BD"/>
    <w:rsid w:val="00575961"/>
    <w:rsid w:val="00575994"/>
    <w:rsid w:val="005759C0"/>
    <w:rsid w:val="005759D5"/>
    <w:rsid w:val="00575A4D"/>
    <w:rsid w:val="00575A51"/>
    <w:rsid w:val="00575A5D"/>
    <w:rsid w:val="00575A8D"/>
    <w:rsid w:val="00575A94"/>
    <w:rsid w:val="00575C67"/>
    <w:rsid w:val="00575C70"/>
    <w:rsid w:val="00575CF3"/>
    <w:rsid w:val="00575D4F"/>
    <w:rsid w:val="00575E15"/>
    <w:rsid w:val="00575E1A"/>
    <w:rsid w:val="00575E95"/>
    <w:rsid w:val="00575E96"/>
    <w:rsid w:val="00575EB2"/>
    <w:rsid w:val="00575F10"/>
    <w:rsid w:val="00575F3F"/>
    <w:rsid w:val="00575FDF"/>
    <w:rsid w:val="00575FE5"/>
    <w:rsid w:val="00576150"/>
    <w:rsid w:val="005762C9"/>
    <w:rsid w:val="005762E0"/>
    <w:rsid w:val="005762EF"/>
    <w:rsid w:val="005763D7"/>
    <w:rsid w:val="005763E3"/>
    <w:rsid w:val="00576468"/>
    <w:rsid w:val="0057647D"/>
    <w:rsid w:val="00576491"/>
    <w:rsid w:val="005764BF"/>
    <w:rsid w:val="0057651F"/>
    <w:rsid w:val="00576540"/>
    <w:rsid w:val="00576574"/>
    <w:rsid w:val="005765B1"/>
    <w:rsid w:val="005765BE"/>
    <w:rsid w:val="0057663E"/>
    <w:rsid w:val="00576644"/>
    <w:rsid w:val="00576668"/>
    <w:rsid w:val="00576698"/>
    <w:rsid w:val="005766DF"/>
    <w:rsid w:val="00576758"/>
    <w:rsid w:val="00576804"/>
    <w:rsid w:val="00576900"/>
    <w:rsid w:val="00576A75"/>
    <w:rsid w:val="00576B4C"/>
    <w:rsid w:val="00576BED"/>
    <w:rsid w:val="00576BF4"/>
    <w:rsid w:val="00576C02"/>
    <w:rsid w:val="00576C53"/>
    <w:rsid w:val="00576CD3"/>
    <w:rsid w:val="00576D13"/>
    <w:rsid w:val="00576DFD"/>
    <w:rsid w:val="00576DFE"/>
    <w:rsid w:val="00576E12"/>
    <w:rsid w:val="00576ED3"/>
    <w:rsid w:val="00576ED9"/>
    <w:rsid w:val="00576F91"/>
    <w:rsid w:val="0057706F"/>
    <w:rsid w:val="00577093"/>
    <w:rsid w:val="0057709C"/>
    <w:rsid w:val="005770F0"/>
    <w:rsid w:val="0057716C"/>
    <w:rsid w:val="00577171"/>
    <w:rsid w:val="00577412"/>
    <w:rsid w:val="00577461"/>
    <w:rsid w:val="005774AF"/>
    <w:rsid w:val="005774F7"/>
    <w:rsid w:val="0057755B"/>
    <w:rsid w:val="00577604"/>
    <w:rsid w:val="00577623"/>
    <w:rsid w:val="0057764D"/>
    <w:rsid w:val="0057765E"/>
    <w:rsid w:val="005776D9"/>
    <w:rsid w:val="00577755"/>
    <w:rsid w:val="00577789"/>
    <w:rsid w:val="005777D3"/>
    <w:rsid w:val="00577826"/>
    <w:rsid w:val="00577862"/>
    <w:rsid w:val="00577874"/>
    <w:rsid w:val="00577887"/>
    <w:rsid w:val="00577909"/>
    <w:rsid w:val="00577992"/>
    <w:rsid w:val="005779B4"/>
    <w:rsid w:val="005779BF"/>
    <w:rsid w:val="00577A7F"/>
    <w:rsid w:val="00577C5A"/>
    <w:rsid w:val="00577C98"/>
    <w:rsid w:val="00577D1A"/>
    <w:rsid w:val="00577D7D"/>
    <w:rsid w:val="00577D96"/>
    <w:rsid w:val="00577DB4"/>
    <w:rsid w:val="00577E15"/>
    <w:rsid w:val="00577E61"/>
    <w:rsid w:val="00577E96"/>
    <w:rsid w:val="00577ED8"/>
    <w:rsid w:val="00577F25"/>
    <w:rsid w:val="00577FAA"/>
    <w:rsid w:val="00578EE7"/>
    <w:rsid w:val="00580082"/>
    <w:rsid w:val="0058008A"/>
    <w:rsid w:val="005800FD"/>
    <w:rsid w:val="005801AD"/>
    <w:rsid w:val="005801C2"/>
    <w:rsid w:val="0058021D"/>
    <w:rsid w:val="00580285"/>
    <w:rsid w:val="00580320"/>
    <w:rsid w:val="005803ED"/>
    <w:rsid w:val="00580430"/>
    <w:rsid w:val="00580438"/>
    <w:rsid w:val="00580465"/>
    <w:rsid w:val="005806B9"/>
    <w:rsid w:val="0058077F"/>
    <w:rsid w:val="00580794"/>
    <w:rsid w:val="005807B6"/>
    <w:rsid w:val="005807D1"/>
    <w:rsid w:val="005807E9"/>
    <w:rsid w:val="005807EE"/>
    <w:rsid w:val="00580803"/>
    <w:rsid w:val="005808DD"/>
    <w:rsid w:val="005809E4"/>
    <w:rsid w:val="00580A06"/>
    <w:rsid w:val="00580A11"/>
    <w:rsid w:val="00580A15"/>
    <w:rsid w:val="00580A4E"/>
    <w:rsid w:val="00580B19"/>
    <w:rsid w:val="00580BAC"/>
    <w:rsid w:val="00580CA0"/>
    <w:rsid w:val="00580CB5"/>
    <w:rsid w:val="00580CEC"/>
    <w:rsid w:val="00580D05"/>
    <w:rsid w:val="00580D3B"/>
    <w:rsid w:val="00580DDF"/>
    <w:rsid w:val="00580E2E"/>
    <w:rsid w:val="00580EE9"/>
    <w:rsid w:val="00580EF1"/>
    <w:rsid w:val="00580F37"/>
    <w:rsid w:val="00581009"/>
    <w:rsid w:val="00581081"/>
    <w:rsid w:val="00581124"/>
    <w:rsid w:val="0058123E"/>
    <w:rsid w:val="005812B1"/>
    <w:rsid w:val="00581375"/>
    <w:rsid w:val="005813B9"/>
    <w:rsid w:val="0058141E"/>
    <w:rsid w:val="0058147B"/>
    <w:rsid w:val="005814C1"/>
    <w:rsid w:val="00581509"/>
    <w:rsid w:val="005815C6"/>
    <w:rsid w:val="0058161B"/>
    <w:rsid w:val="005816B8"/>
    <w:rsid w:val="005816D3"/>
    <w:rsid w:val="005816ED"/>
    <w:rsid w:val="00581761"/>
    <w:rsid w:val="00581938"/>
    <w:rsid w:val="0058195F"/>
    <w:rsid w:val="0058196E"/>
    <w:rsid w:val="00581978"/>
    <w:rsid w:val="00581A32"/>
    <w:rsid w:val="00581A46"/>
    <w:rsid w:val="00581A48"/>
    <w:rsid w:val="00581A73"/>
    <w:rsid w:val="00581A8A"/>
    <w:rsid w:val="00581A92"/>
    <w:rsid w:val="00581AB1"/>
    <w:rsid w:val="00581AC9"/>
    <w:rsid w:val="00581B3A"/>
    <w:rsid w:val="00581B62"/>
    <w:rsid w:val="00581D4D"/>
    <w:rsid w:val="00581D62"/>
    <w:rsid w:val="00581D9D"/>
    <w:rsid w:val="00581DC5"/>
    <w:rsid w:val="00581E37"/>
    <w:rsid w:val="00581F1E"/>
    <w:rsid w:val="00581F61"/>
    <w:rsid w:val="00581FB5"/>
    <w:rsid w:val="00581FCD"/>
    <w:rsid w:val="00582051"/>
    <w:rsid w:val="00582060"/>
    <w:rsid w:val="00582085"/>
    <w:rsid w:val="005820CF"/>
    <w:rsid w:val="005820FD"/>
    <w:rsid w:val="00582122"/>
    <w:rsid w:val="0058218E"/>
    <w:rsid w:val="005821E2"/>
    <w:rsid w:val="005821E4"/>
    <w:rsid w:val="0058224E"/>
    <w:rsid w:val="005822CD"/>
    <w:rsid w:val="00582333"/>
    <w:rsid w:val="005823DE"/>
    <w:rsid w:val="005824BA"/>
    <w:rsid w:val="005824DC"/>
    <w:rsid w:val="00582552"/>
    <w:rsid w:val="0058265C"/>
    <w:rsid w:val="00582696"/>
    <w:rsid w:val="0058282D"/>
    <w:rsid w:val="00582848"/>
    <w:rsid w:val="005828E3"/>
    <w:rsid w:val="0058292D"/>
    <w:rsid w:val="00582997"/>
    <w:rsid w:val="00582A8B"/>
    <w:rsid w:val="00582B04"/>
    <w:rsid w:val="00582B0C"/>
    <w:rsid w:val="00582B15"/>
    <w:rsid w:val="00582BE0"/>
    <w:rsid w:val="00582BFB"/>
    <w:rsid w:val="00582C08"/>
    <w:rsid w:val="00582C1C"/>
    <w:rsid w:val="00582C27"/>
    <w:rsid w:val="00582CE9"/>
    <w:rsid w:val="00582D0F"/>
    <w:rsid w:val="00582D2A"/>
    <w:rsid w:val="00582D34"/>
    <w:rsid w:val="00582D6A"/>
    <w:rsid w:val="00582DD7"/>
    <w:rsid w:val="00582E06"/>
    <w:rsid w:val="00582E2B"/>
    <w:rsid w:val="00582E2E"/>
    <w:rsid w:val="00582E49"/>
    <w:rsid w:val="00582E58"/>
    <w:rsid w:val="00582F51"/>
    <w:rsid w:val="00582FB0"/>
    <w:rsid w:val="00582FCD"/>
    <w:rsid w:val="005830AA"/>
    <w:rsid w:val="005830D0"/>
    <w:rsid w:val="00583110"/>
    <w:rsid w:val="0058327B"/>
    <w:rsid w:val="005832AE"/>
    <w:rsid w:val="005832CA"/>
    <w:rsid w:val="0058332A"/>
    <w:rsid w:val="00583375"/>
    <w:rsid w:val="005833A6"/>
    <w:rsid w:val="0058342D"/>
    <w:rsid w:val="00583436"/>
    <w:rsid w:val="00583466"/>
    <w:rsid w:val="005834F0"/>
    <w:rsid w:val="00583518"/>
    <w:rsid w:val="0058353A"/>
    <w:rsid w:val="005836E4"/>
    <w:rsid w:val="0058379E"/>
    <w:rsid w:val="00583868"/>
    <w:rsid w:val="005839A8"/>
    <w:rsid w:val="005839BC"/>
    <w:rsid w:val="005839FA"/>
    <w:rsid w:val="00583BA9"/>
    <w:rsid w:val="00583BF5"/>
    <w:rsid w:val="00583D19"/>
    <w:rsid w:val="00583DC2"/>
    <w:rsid w:val="00583E2A"/>
    <w:rsid w:val="00583ECB"/>
    <w:rsid w:val="00583EF0"/>
    <w:rsid w:val="00583F1E"/>
    <w:rsid w:val="00583F7A"/>
    <w:rsid w:val="00583F95"/>
    <w:rsid w:val="00583FE6"/>
    <w:rsid w:val="00584025"/>
    <w:rsid w:val="00584084"/>
    <w:rsid w:val="0058408F"/>
    <w:rsid w:val="005840E4"/>
    <w:rsid w:val="00584188"/>
    <w:rsid w:val="00584189"/>
    <w:rsid w:val="005842B4"/>
    <w:rsid w:val="005842E0"/>
    <w:rsid w:val="00584382"/>
    <w:rsid w:val="0058439E"/>
    <w:rsid w:val="005844A8"/>
    <w:rsid w:val="005844F7"/>
    <w:rsid w:val="00584521"/>
    <w:rsid w:val="005846E0"/>
    <w:rsid w:val="005847C4"/>
    <w:rsid w:val="005848E8"/>
    <w:rsid w:val="00584970"/>
    <w:rsid w:val="00584AE5"/>
    <w:rsid w:val="00584B5D"/>
    <w:rsid w:val="00584B93"/>
    <w:rsid w:val="00584BEF"/>
    <w:rsid w:val="00584BF8"/>
    <w:rsid w:val="00584C4B"/>
    <w:rsid w:val="00584C70"/>
    <w:rsid w:val="00584C7E"/>
    <w:rsid w:val="00584C88"/>
    <w:rsid w:val="00584CE5"/>
    <w:rsid w:val="00584D1D"/>
    <w:rsid w:val="00584D41"/>
    <w:rsid w:val="00584D45"/>
    <w:rsid w:val="00584D85"/>
    <w:rsid w:val="00584D9A"/>
    <w:rsid w:val="00584DFB"/>
    <w:rsid w:val="00584E95"/>
    <w:rsid w:val="00584EFD"/>
    <w:rsid w:val="00585112"/>
    <w:rsid w:val="005851D7"/>
    <w:rsid w:val="0058523B"/>
    <w:rsid w:val="00585242"/>
    <w:rsid w:val="0058525F"/>
    <w:rsid w:val="00585346"/>
    <w:rsid w:val="00585378"/>
    <w:rsid w:val="00585395"/>
    <w:rsid w:val="005854D5"/>
    <w:rsid w:val="005855B7"/>
    <w:rsid w:val="00585606"/>
    <w:rsid w:val="005856CE"/>
    <w:rsid w:val="00585740"/>
    <w:rsid w:val="0058576B"/>
    <w:rsid w:val="005857AB"/>
    <w:rsid w:val="005857AD"/>
    <w:rsid w:val="005857B3"/>
    <w:rsid w:val="0058583D"/>
    <w:rsid w:val="00585953"/>
    <w:rsid w:val="00585962"/>
    <w:rsid w:val="00585A94"/>
    <w:rsid w:val="00585A95"/>
    <w:rsid w:val="00585B64"/>
    <w:rsid w:val="00585B7A"/>
    <w:rsid w:val="00585B84"/>
    <w:rsid w:val="00585B8D"/>
    <w:rsid w:val="00585BBB"/>
    <w:rsid w:val="00585C08"/>
    <w:rsid w:val="00585E06"/>
    <w:rsid w:val="00585E08"/>
    <w:rsid w:val="00585E0B"/>
    <w:rsid w:val="00585EEF"/>
    <w:rsid w:val="00585EF1"/>
    <w:rsid w:val="00585F39"/>
    <w:rsid w:val="00585FA3"/>
    <w:rsid w:val="0058602E"/>
    <w:rsid w:val="0058609F"/>
    <w:rsid w:val="005861AF"/>
    <w:rsid w:val="005861C8"/>
    <w:rsid w:val="00586219"/>
    <w:rsid w:val="005862E8"/>
    <w:rsid w:val="00586379"/>
    <w:rsid w:val="005863AA"/>
    <w:rsid w:val="005863BB"/>
    <w:rsid w:val="005863F5"/>
    <w:rsid w:val="005864E0"/>
    <w:rsid w:val="00586519"/>
    <w:rsid w:val="005866D4"/>
    <w:rsid w:val="0058670A"/>
    <w:rsid w:val="0058672F"/>
    <w:rsid w:val="005867F2"/>
    <w:rsid w:val="00586823"/>
    <w:rsid w:val="005868C0"/>
    <w:rsid w:val="005868D2"/>
    <w:rsid w:val="00586919"/>
    <w:rsid w:val="00586952"/>
    <w:rsid w:val="00586974"/>
    <w:rsid w:val="005869E4"/>
    <w:rsid w:val="005869F2"/>
    <w:rsid w:val="00586A66"/>
    <w:rsid w:val="00586A93"/>
    <w:rsid w:val="00586B15"/>
    <w:rsid w:val="00586BC1"/>
    <w:rsid w:val="00586C03"/>
    <w:rsid w:val="00586C6A"/>
    <w:rsid w:val="00586D03"/>
    <w:rsid w:val="00586DDA"/>
    <w:rsid w:val="00586E23"/>
    <w:rsid w:val="00586F7F"/>
    <w:rsid w:val="005871BE"/>
    <w:rsid w:val="00587213"/>
    <w:rsid w:val="0058722B"/>
    <w:rsid w:val="0058725D"/>
    <w:rsid w:val="00587278"/>
    <w:rsid w:val="0058729B"/>
    <w:rsid w:val="00587335"/>
    <w:rsid w:val="00587348"/>
    <w:rsid w:val="005873A8"/>
    <w:rsid w:val="005873BF"/>
    <w:rsid w:val="00587426"/>
    <w:rsid w:val="00587496"/>
    <w:rsid w:val="005874B5"/>
    <w:rsid w:val="00587523"/>
    <w:rsid w:val="005876C4"/>
    <w:rsid w:val="005877A2"/>
    <w:rsid w:val="00587885"/>
    <w:rsid w:val="00587911"/>
    <w:rsid w:val="00587A13"/>
    <w:rsid w:val="00587A73"/>
    <w:rsid w:val="00587A78"/>
    <w:rsid w:val="00587AE1"/>
    <w:rsid w:val="00587BC9"/>
    <w:rsid w:val="00587BF3"/>
    <w:rsid w:val="00587CDD"/>
    <w:rsid w:val="00587D53"/>
    <w:rsid w:val="00587E4D"/>
    <w:rsid w:val="00587F29"/>
    <w:rsid w:val="00590124"/>
    <w:rsid w:val="0059012B"/>
    <w:rsid w:val="0059016E"/>
    <w:rsid w:val="0059018E"/>
    <w:rsid w:val="005901CB"/>
    <w:rsid w:val="005901DF"/>
    <w:rsid w:val="005901EA"/>
    <w:rsid w:val="0059021A"/>
    <w:rsid w:val="005902E3"/>
    <w:rsid w:val="00590310"/>
    <w:rsid w:val="00590342"/>
    <w:rsid w:val="00590385"/>
    <w:rsid w:val="00590421"/>
    <w:rsid w:val="00590441"/>
    <w:rsid w:val="00590477"/>
    <w:rsid w:val="005904D8"/>
    <w:rsid w:val="00590522"/>
    <w:rsid w:val="0059055F"/>
    <w:rsid w:val="005905C4"/>
    <w:rsid w:val="005905F6"/>
    <w:rsid w:val="00590635"/>
    <w:rsid w:val="00590637"/>
    <w:rsid w:val="00590687"/>
    <w:rsid w:val="00590696"/>
    <w:rsid w:val="005906A5"/>
    <w:rsid w:val="005906A6"/>
    <w:rsid w:val="00590734"/>
    <w:rsid w:val="005907DE"/>
    <w:rsid w:val="005907E1"/>
    <w:rsid w:val="00590859"/>
    <w:rsid w:val="00590872"/>
    <w:rsid w:val="00590874"/>
    <w:rsid w:val="00590884"/>
    <w:rsid w:val="00590A21"/>
    <w:rsid w:val="00590A53"/>
    <w:rsid w:val="00590AFF"/>
    <w:rsid w:val="00590B5F"/>
    <w:rsid w:val="00590B84"/>
    <w:rsid w:val="00590BCD"/>
    <w:rsid w:val="00590C34"/>
    <w:rsid w:val="00590C4C"/>
    <w:rsid w:val="00590C7C"/>
    <w:rsid w:val="00590CB8"/>
    <w:rsid w:val="00590CC8"/>
    <w:rsid w:val="00590CE1"/>
    <w:rsid w:val="00590CFC"/>
    <w:rsid w:val="00590D46"/>
    <w:rsid w:val="00590D60"/>
    <w:rsid w:val="00590DD4"/>
    <w:rsid w:val="00590E45"/>
    <w:rsid w:val="00590E4F"/>
    <w:rsid w:val="00590E76"/>
    <w:rsid w:val="00590F51"/>
    <w:rsid w:val="00590F61"/>
    <w:rsid w:val="00590F9C"/>
    <w:rsid w:val="00590FF3"/>
    <w:rsid w:val="00591027"/>
    <w:rsid w:val="005910AA"/>
    <w:rsid w:val="005911BD"/>
    <w:rsid w:val="00591288"/>
    <w:rsid w:val="005912B8"/>
    <w:rsid w:val="0059133C"/>
    <w:rsid w:val="0059138A"/>
    <w:rsid w:val="005913B4"/>
    <w:rsid w:val="005913FA"/>
    <w:rsid w:val="0059153D"/>
    <w:rsid w:val="00591563"/>
    <w:rsid w:val="00591631"/>
    <w:rsid w:val="0059164D"/>
    <w:rsid w:val="005916E8"/>
    <w:rsid w:val="0059172A"/>
    <w:rsid w:val="005917EE"/>
    <w:rsid w:val="0059183C"/>
    <w:rsid w:val="00591846"/>
    <w:rsid w:val="0059188A"/>
    <w:rsid w:val="00591893"/>
    <w:rsid w:val="005919FD"/>
    <w:rsid w:val="00591B14"/>
    <w:rsid w:val="00591B22"/>
    <w:rsid w:val="00591B9E"/>
    <w:rsid w:val="00591BD8"/>
    <w:rsid w:val="00591BFD"/>
    <w:rsid w:val="00591C75"/>
    <w:rsid w:val="00591C95"/>
    <w:rsid w:val="00591CAE"/>
    <w:rsid w:val="00591D3E"/>
    <w:rsid w:val="00591D78"/>
    <w:rsid w:val="00591DD1"/>
    <w:rsid w:val="00591DD6"/>
    <w:rsid w:val="00591E6C"/>
    <w:rsid w:val="00591FB4"/>
    <w:rsid w:val="00591FDB"/>
    <w:rsid w:val="00592226"/>
    <w:rsid w:val="005923CB"/>
    <w:rsid w:val="005923D4"/>
    <w:rsid w:val="005923FD"/>
    <w:rsid w:val="00592465"/>
    <w:rsid w:val="005924D8"/>
    <w:rsid w:val="00592582"/>
    <w:rsid w:val="0059258C"/>
    <w:rsid w:val="00592612"/>
    <w:rsid w:val="0059267C"/>
    <w:rsid w:val="00592689"/>
    <w:rsid w:val="0059269F"/>
    <w:rsid w:val="0059272E"/>
    <w:rsid w:val="005927AC"/>
    <w:rsid w:val="005927BE"/>
    <w:rsid w:val="005927E9"/>
    <w:rsid w:val="0059284B"/>
    <w:rsid w:val="00592859"/>
    <w:rsid w:val="0059288A"/>
    <w:rsid w:val="00592895"/>
    <w:rsid w:val="005929AE"/>
    <w:rsid w:val="00592A7A"/>
    <w:rsid w:val="00592ABE"/>
    <w:rsid w:val="00592B43"/>
    <w:rsid w:val="00592BE1"/>
    <w:rsid w:val="00592CC4"/>
    <w:rsid w:val="00592CE2"/>
    <w:rsid w:val="00592D08"/>
    <w:rsid w:val="00592D47"/>
    <w:rsid w:val="00592D53"/>
    <w:rsid w:val="00592E19"/>
    <w:rsid w:val="00592E6E"/>
    <w:rsid w:val="00592E96"/>
    <w:rsid w:val="00592F2A"/>
    <w:rsid w:val="00592F5E"/>
    <w:rsid w:val="00592F8D"/>
    <w:rsid w:val="00592FE2"/>
    <w:rsid w:val="0059306A"/>
    <w:rsid w:val="00593125"/>
    <w:rsid w:val="0059314A"/>
    <w:rsid w:val="0059327C"/>
    <w:rsid w:val="005933E9"/>
    <w:rsid w:val="00593480"/>
    <w:rsid w:val="005934A1"/>
    <w:rsid w:val="00593533"/>
    <w:rsid w:val="0059355C"/>
    <w:rsid w:val="00593618"/>
    <w:rsid w:val="00593666"/>
    <w:rsid w:val="0059379B"/>
    <w:rsid w:val="005937AC"/>
    <w:rsid w:val="00593A25"/>
    <w:rsid w:val="00593A47"/>
    <w:rsid w:val="00593A70"/>
    <w:rsid w:val="00593A71"/>
    <w:rsid w:val="00593A8A"/>
    <w:rsid w:val="00593AB1"/>
    <w:rsid w:val="00593AC7"/>
    <w:rsid w:val="00593AEA"/>
    <w:rsid w:val="00593B27"/>
    <w:rsid w:val="00593B3E"/>
    <w:rsid w:val="00593B64"/>
    <w:rsid w:val="00593BA4"/>
    <w:rsid w:val="00593BE8"/>
    <w:rsid w:val="00593C13"/>
    <w:rsid w:val="00593C1A"/>
    <w:rsid w:val="00593D58"/>
    <w:rsid w:val="00593D70"/>
    <w:rsid w:val="00593E2F"/>
    <w:rsid w:val="00593E4D"/>
    <w:rsid w:val="00593E75"/>
    <w:rsid w:val="00593E7E"/>
    <w:rsid w:val="00593EAF"/>
    <w:rsid w:val="00593F4B"/>
    <w:rsid w:val="00593F56"/>
    <w:rsid w:val="00593F84"/>
    <w:rsid w:val="00593FC1"/>
    <w:rsid w:val="005940DB"/>
    <w:rsid w:val="00594130"/>
    <w:rsid w:val="00594198"/>
    <w:rsid w:val="00594209"/>
    <w:rsid w:val="0059424C"/>
    <w:rsid w:val="005942C7"/>
    <w:rsid w:val="005944AD"/>
    <w:rsid w:val="005945A4"/>
    <w:rsid w:val="00594738"/>
    <w:rsid w:val="005947D5"/>
    <w:rsid w:val="0059483B"/>
    <w:rsid w:val="00594943"/>
    <w:rsid w:val="005949D4"/>
    <w:rsid w:val="00594A52"/>
    <w:rsid w:val="00594B4C"/>
    <w:rsid w:val="00594C72"/>
    <w:rsid w:val="00594CBF"/>
    <w:rsid w:val="00594CC8"/>
    <w:rsid w:val="00594D5C"/>
    <w:rsid w:val="00594E0B"/>
    <w:rsid w:val="00594E6F"/>
    <w:rsid w:val="00594F19"/>
    <w:rsid w:val="00594F8C"/>
    <w:rsid w:val="00594FEB"/>
    <w:rsid w:val="0059500D"/>
    <w:rsid w:val="00595052"/>
    <w:rsid w:val="005950AB"/>
    <w:rsid w:val="0059513D"/>
    <w:rsid w:val="005951F5"/>
    <w:rsid w:val="00595333"/>
    <w:rsid w:val="005953F6"/>
    <w:rsid w:val="00595414"/>
    <w:rsid w:val="005954FF"/>
    <w:rsid w:val="00595735"/>
    <w:rsid w:val="0059573D"/>
    <w:rsid w:val="00595894"/>
    <w:rsid w:val="0059589D"/>
    <w:rsid w:val="005958B0"/>
    <w:rsid w:val="005958D2"/>
    <w:rsid w:val="00595A4D"/>
    <w:rsid w:val="00595ADA"/>
    <w:rsid w:val="00595B4D"/>
    <w:rsid w:val="00595B71"/>
    <w:rsid w:val="00595B7A"/>
    <w:rsid w:val="00595C08"/>
    <w:rsid w:val="00595C36"/>
    <w:rsid w:val="00595C50"/>
    <w:rsid w:val="00595CA6"/>
    <w:rsid w:val="00595DF8"/>
    <w:rsid w:val="00595E9C"/>
    <w:rsid w:val="00595EDA"/>
    <w:rsid w:val="00595F0B"/>
    <w:rsid w:val="00595F77"/>
    <w:rsid w:val="00595F7F"/>
    <w:rsid w:val="00595FA2"/>
    <w:rsid w:val="00595FC4"/>
    <w:rsid w:val="00596048"/>
    <w:rsid w:val="00596137"/>
    <w:rsid w:val="00596144"/>
    <w:rsid w:val="005961A6"/>
    <w:rsid w:val="005961AA"/>
    <w:rsid w:val="005961CF"/>
    <w:rsid w:val="00596366"/>
    <w:rsid w:val="00596427"/>
    <w:rsid w:val="005964AD"/>
    <w:rsid w:val="005964CF"/>
    <w:rsid w:val="0059656A"/>
    <w:rsid w:val="005965B8"/>
    <w:rsid w:val="0059662B"/>
    <w:rsid w:val="0059664C"/>
    <w:rsid w:val="00596772"/>
    <w:rsid w:val="0059678C"/>
    <w:rsid w:val="005967B9"/>
    <w:rsid w:val="005968AE"/>
    <w:rsid w:val="00596AB4"/>
    <w:rsid w:val="00596AE5"/>
    <w:rsid w:val="00596BA6"/>
    <w:rsid w:val="00596BA8"/>
    <w:rsid w:val="00596BD5"/>
    <w:rsid w:val="00596C6C"/>
    <w:rsid w:val="00596CBB"/>
    <w:rsid w:val="00596D77"/>
    <w:rsid w:val="00596EBA"/>
    <w:rsid w:val="00596EBE"/>
    <w:rsid w:val="00596F14"/>
    <w:rsid w:val="00596F57"/>
    <w:rsid w:val="00596F72"/>
    <w:rsid w:val="00596FD6"/>
    <w:rsid w:val="00597009"/>
    <w:rsid w:val="005970A3"/>
    <w:rsid w:val="005970AF"/>
    <w:rsid w:val="005970DC"/>
    <w:rsid w:val="00597148"/>
    <w:rsid w:val="0059715E"/>
    <w:rsid w:val="00597196"/>
    <w:rsid w:val="005971B7"/>
    <w:rsid w:val="005971D1"/>
    <w:rsid w:val="0059723B"/>
    <w:rsid w:val="00597248"/>
    <w:rsid w:val="00597269"/>
    <w:rsid w:val="0059728A"/>
    <w:rsid w:val="0059733B"/>
    <w:rsid w:val="005973D1"/>
    <w:rsid w:val="00597506"/>
    <w:rsid w:val="00597534"/>
    <w:rsid w:val="00597586"/>
    <w:rsid w:val="00597672"/>
    <w:rsid w:val="005976E3"/>
    <w:rsid w:val="00597721"/>
    <w:rsid w:val="005977BB"/>
    <w:rsid w:val="005978B3"/>
    <w:rsid w:val="0059796E"/>
    <w:rsid w:val="00597A98"/>
    <w:rsid w:val="00597AFD"/>
    <w:rsid w:val="00597B12"/>
    <w:rsid w:val="00597CC3"/>
    <w:rsid w:val="00597CCE"/>
    <w:rsid w:val="00597DE2"/>
    <w:rsid w:val="00597DEF"/>
    <w:rsid w:val="00597FF9"/>
    <w:rsid w:val="005A0026"/>
    <w:rsid w:val="005A00AE"/>
    <w:rsid w:val="005A015E"/>
    <w:rsid w:val="005A017C"/>
    <w:rsid w:val="005A01D4"/>
    <w:rsid w:val="005A01EB"/>
    <w:rsid w:val="005A020B"/>
    <w:rsid w:val="005A0230"/>
    <w:rsid w:val="005A023B"/>
    <w:rsid w:val="005A026A"/>
    <w:rsid w:val="005A0347"/>
    <w:rsid w:val="005A035A"/>
    <w:rsid w:val="005A0396"/>
    <w:rsid w:val="005A03A1"/>
    <w:rsid w:val="005A03AA"/>
    <w:rsid w:val="005A0408"/>
    <w:rsid w:val="005A0484"/>
    <w:rsid w:val="005A055F"/>
    <w:rsid w:val="005A05DA"/>
    <w:rsid w:val="005A063A"/>
    <w:rsid w:val="005A0679"/>
    <w:rsid w:val="005A068D"/>
    <w:rsid w:val="005A069F"/>
    <w:rsid w:val="005A06FF"/>
    <w:rsid w:val="005A070C"/>
    <w:rsid w:val="005A0776"/>
    <w:rsid w:val="005A0A00"/>
    <w:rsid w:val="005A0A84"/>
    <w:rsid w:val="005A0AAE"/>
    <w:rsid w:val="005A0AC8"/>
    <w:rsid w:val="005A0B47"/>
    <w:rsid w:val="005A0B4B"/>
    <w:rsid w:val="005A0BE7"/>
    <w:rsid w:val="005A0C0A"/>
    <w:rsid w:val="005A0C4E"/>
    <w:rsid w:val="005A0C8B"/>
    <w:rsid w:val="005A0D0C"/>
    <w:rsid w:val="005A0D24"/>
    <w:rsid w:val="005A0D4C"/>
    <w:rsid w:val="005A0DE1"/>
    <w:rsid w:val="005A0E58"/>
    <w:rsid w:val="005A0E6A"/>
    <w:rsid w:val="005A0EEB"/>
    <w:rsid w:val="005A0FF6"/>
    <w:rsid w:val="005A1005"/>
    <w:rsid w:val="005A103A"/>
    <w:rsid w:val="005A105F"/>
    <w:rsid w:val="005A1067"/>
    <w:rsid w:val="005A108D"/>
    <w:rsid w:val="005A1185"/>
    <w:rsid w:val="005A11AF"/>
    <w:rsid w:val="005A11FF"/>
    <w:rsid w:val="005A1263"/>
    <w:rsid w:val="005A1264"/>
    <w:rsid w:val="005A12ED"/>
    <w:rsid w:val="005A1301"/>
    <w:rsid w:val="005A1340"/>
    <w:rsid w:val="005A14AB"/>
    <w:rsid w:val="005A14DD"/>
    <w:rsid w:val="005A150D"/>
    <w:rsid w:val="005A1611"/>
    <w:rsid w:val="005A161E"/>
    <w:rsid w:val="005A1682"/>
    <w:rsid w:val="005A168F"/>
    <w:rsid w:val="005A16E7"/>
    <w:rsid w:val="005A17A6"/>
    <w:rsid w:val="005A17CA"/>
    <w:rsid w:val="005A1848"/>
    <w:rsid w:val="005A18BE"/>
    <w:rsid w:val="005A18E8"/>
    <w:rsid w:val="005A19FC"/>
    <w:rsid w:val="005A1A70"/>
    <w:rsid w:val="005A1B20"/>
    <w:rsid w:val="005A1BE3"/>
    <w:rsid w:val="005A1C18"/>
    <w:rsid w:val="005A1CEC"/>
    <w:rsid w:val="005A1D37"/>
    <w:rsid w:val="005A1D38"/>
    <w:rsid w:val="005A1D3C"/>
    <w:rsid w:val="005A1D7C"/>
    <w:rsid w:val="005A1ED8"/>
    <w:rsid w:val="005A1EDA"/>
    <w:rsid w:val="005A1F46"/>
    <w:rsid w:val="005A1FD8"/>
    <w:rsid w:val="005A208A"/>
    <w:rsid w:val="005A20CF"/>
    <w:rsid w:val="005A20E6"/>
    <w:rsid w:val="005A2126"/>
    <w:rsid w:val="005A21E7"/>
    <w:rsid w:val="005A2212"/>
    <w:rsid w:val="005A223F"/>
    <w:rsid w:val="005A224D"/>
    <w:rsid w:val="005A226B"/>
    <w:rsid w:val="005A22AA"/>
    <w:rsid w:val="005A22DA"/>
    <w:rsid w:val="005A2320"/>
    <w:rsid w:val="005A23B5"/>
    <w:rsid w:val="005A23DC"/>
    <w:rsid w:val="005A24B8"/>
    <w:rsid w:val="005A2516"/>
    <w:rsid w:val="005A2579"/>
    <w:rsid w:val="005A264F"/>
    <w:rsid w:val="005A2713"/>
    <w:rsid w:val="005A2725"/>
    <w:rsid w:val="005A2767"/>
    <w:rsid w:val="005A2884"/>
    <w:rsid w:val="005A2977"/>
    <w:rsid w:val="005A29EE"/>
    <w:rsid w:val="005A2A02"/>
    <w:rsid w:val="005A2B45"/>
    <w:rsid w:val="005A2BBF"/>
    <w:rsid w:val="005A2C06"/>
    <w:rsid w:val="005A2C43"/>
    <w:rsid w:val="005A2C6A"/>
    <w:rsid w:val="005A2CB6"/>
    <w:rsid w:val="005A2CC1"/>
    <w:rsid w:val="005A2D0D"/>
    <w:rsid w:val="005A2D2B"/>
    <w:rsid w:val="005A2D53"/>
    <w:rsid w:val="005A2E08"/>
    <w:rsid w:val="005A2E1A"/>
    <w:rsid w:val="005A2E72"/>
    <w:rsid w:val="005A2E99"/>
    <w:rsid w:val="005A2F54"/>
    <w:rsid w:val="005A2F5E"/>
    <w:rsid w:val="005A2FC5"/>
    <w:rsid w:val="005A301A"/>
    <w:rsid w:val="005A302B"/>
    <w:rsid w:val="005A307B"/>
    <w:rsid w:val="005A3081"/>
    <w:rsid w:val="005A3121"/>
    <w:rsid w:val="005A3151"/>
    <w:rsid w:val="005A319D"/>
    <w:rsid w:val="005A31F4"/>
    <w:rsid w:val="005A3216"/>
    <w:rsid w:val="005A3284"/>
    <w:rsid w:val="005A32D7"/>
    <w:rsid w:val="005A3320"/>
    <w:rsid w:val="005A339C"/>
    <w:rsid w:val="005A33A7"/>
    <w:rsid w:val="005A33C5"/>
    <w:rsid w:val="005A348F"/>
    <w:rsid w:val="005A355D"/>
    <w:rsid w:val="005A36B5"/>
    <w:rsid w:val="005A37A9"/>
    <w:rsid w:val="005A3865"/>
    <w:rsid w:val="005A38B9"/>
    <w:rsid w:val="005A394E"/>
    <w:rsid w:val="005A3ADF"/>
    <w:rsid w:val="005A3AF3"/>
    <w:rsid w:val="005A3BB9"/>
    <w:rsid w:val="005A3C39"/>
    <w:rsid w:val="005A3E3C"/>
    <w:rsid w:val="005A3E8A"/>
    <w:rsid w:val="005A3FF2"/>
    <w:rsid w:val="005A4126"/>
    <w:rsid w:val="005A4155"/>
    <w:rsid w:val="005A41BA"/>
    <w:rsid w:val="005A41EC"/>
    <w:rsid w:val="005A41F3"/>
    <w:rsid w:val="005A421E"/>
    <w:rsid w:val="005A4276"/>
    <w:rsid w:val="005A4299"/>
    <w:rsid w:val="005A4377"/>
    <w:rsid w:val="005A43B9"/>
    <w:rsid w:val="005A44FF"/>
    <w:rsid w:val="005A4629"/>
    <w:rsid w:val="005A4670"/>
    <w:rsid w:val="005A46A2"/>
    <w:rsid w:val="005A47EC"/>
    <w:rsid w:val="005A487E"/>
    <w:rsid w:val="005A491C"/>
    <w:rsid w:val="005A4984"/>
    <w:rsid w:val="005A4A3B"/>
    <w:rsid w:val="005A4AB6"/>
    <w:rsid w:val="005A4ADE"/>
    <w:rsid w:val="005A4B11"/>
    <w:rsid w:val="005A4B54"/>
    <w:rsid w:val="005A4B81"/>
    <w:rsid w:val="005A4C24"/>
    <w:rsid w:val="005A4C37"/>
    <w:rsid w:val="005A4D5E"/>
    <w:rsid w:val="005A4D65"/>
    <w:rsid w:val="005A4DB2"/>
    <w:rsid w:val="005A4EA4"/>
    <w:rsid w:val="005A4EAE"/>
    <w:rsid w:val="005A4FB0"/>
    <w:rsid w:val="005A4FDC"/>
    <w:rsid w:val="005A4FE6"/>
    <w:rsid w:val="005A5074"/>
    <w:rsid w:val="005A50B7"/>
    <w:rsid w:val="005A50C9"/>
    <w:rsid w:val="005A50EA"/>
    <w:rsid w:val="005A50F7"/>
    <w:rsid w:val="005A50F9"/>
    <w:rsid w:val="005A5137"/>
    <w:rsid w:val="005A516C"/>
    <w:rsid w:val="005A51E1"/>
    <w:rsid w:val="005A5259"/>
    <w:rsid w:val="005A52C0"/>
    <w:rsid w:val="005A5322"/>
    <w:rsid w:val="005A5382"/>
    <w:rsid w:val="005A538C"/>
    <w:rsid w:val="005A542E"/>
    <w:rsid w:val="005A549A"/>
    <w:rsid w:val="005A54DC"/>
    <w:rsid w:val="005A552F"/>
    <w:rsid w:val="005A55E1"/>
    <w:rsid w:val="005A5669"/>
    <w:rsid w:val="005A5715"/>
    <w:rsid w:val="005A57E5"/>
    <w:rsid w:val="005A57F0"/>
    <w:rsid w:val="005A57F6"/>
    <w:rsid w:val="005A5803"/>
    <w:rsid w:val="005A5832"/>
    <w:rsid w:val="005A5836"/>
    <w:rsid w:val="005A5840"/>
    <w:rsid w:val="005A586E"/>
    <w:rsid w:val="005A58EF"/>
    <w:rsid w:val="005A593C"/>
    <w:rsid w:val="005A5A7C"/>
    <w:rsid w:val="005A5A82"/>
    <w:rsid w:val="005A5AE0"/>
    <w:rsid w:val="005A5B12"/>
    <w:rsid w:val="005A5B25"/>
    <w:rsid w:val="005A5B3A"/>
    <w:rsid w:val="005A5C7F"/>
    <w:rsid w:val="005A5D46"/>
    <w:rsid w:val="005A5D4A"/>
    <w:rsid w:val="005A5D77"/>
    <w:rsid w:val="005A5DDC"/>
    <w:rsid w:val="005A5DFC"/>
    <w:rsid w:val="005A5E1B"/>
    <w:rsid w:val="005A5E35"/>
    <w:rsid w:val="005A5E4B"/>
    <w:rsid w:val="005A5ED4"/>
    <w:rsid w:val="005A5F79"/>
    <w:rsid w:val="005A5FCC"/>
    <w:rsid w:val="005A6034"/>
    <w:rsid w:val="005A6056"/>
    <w:rsid w:val="005A60E5"/>
    <w:rsid w:val="005A6129"/>
    <w:rsid w:val="005A6150"/>
    <w:rsid w:val="005A616B"/>
    <w:rsid w:val="005A6171"/>
    <w:rsid w:val="005A61F3"/>
    <w:rsid w:val="005A6208"/>
    <w:rsid w:val="005A6219"/>
    <w:rsid w:val="005A622C"/>
    <w:rsid w:val="005A62C6"/>
    <w:rsid w:val="005A6403"/>
    <w:rsid w:val="005A6438"/>
    <w:rsid w:val="005A6461"/>
    <w:rsid w:val="005A656F"/>
    <w:rsid w:val="005A65FD"/>
    <w:rsid w:val="005A664A"/>
    <w:rsid w:val="005A673A"/>
    <w:rsid w:val="005A6809"/>
    <w:rsid w:val="005A6872"/>
    <w:rsid w:val="005A689A"/>
    <w:rsid w:val="005A691E"/>
    <w:rsid w:val="005A69D2"/>
    <w:rsid w:val="005A6A11"/>
    <w:rsid w:val="005A6A4D"/>
    <w:rsid w:val="005A6B6F"/>
    <w:rsid w:val="005A6BE9"/>
    <w:rsid w:val="005A6DD7"/>
    <w:rsid w:val="005A6DF9"/>
    <w:rsid w:val="005A6E2F"/>
    <w:rsid w:val="005A6E4C"/>
    <w:rsid w:val="005A6F4B"/>
    <w:rsid w:val="005A6FC1"/>
    <w:rsid w:val="005A6FEF"/>
    <w:rsid w:val="005A6FF1"/>
    <w:rsid w:val="005A7016"/>
    <w:rsid w:val="005A7072"/>
    <w:rsid w:val="005A70A7"/>
    <w:rsid w:val="005A71CC"/>
    <w:rsid w:val="005A7295"/>
    <w:rsid w:val="005A73C9"/>
    <w:rsid w:val="005A74D2"/>
    <w:rsid w:val="005A75C9"/>
    <w:rsid w:val="005A761D"/>
    <w:rsid w:val="005A761F"/>
    <w:rsid w:val="005A7725"/>
    <w:rsid w:val="005A77B4"/>
    <w:rsid w:val="005A77B8"/>
    <w:rsid w:val="005A77C8"/>
    <w:rsid w:val="005A77F5"/>
    <w:rsid w:val="005A7886"/>
    <w:rsid w:val="005A78A5"/>
    <w:rsid w:val="005A78DA"/>
    <w:rsid w:val="005A79A2"/>
    <w:rsid w:val="005A7A74"/>
    <w:rsid w:val="005A7B84"/>
    <w:rsid w:val="005A7BBF"/>
    <w:rsid w:val="005A7BEE"/>
    <w:rsid w:val="005A7CD7"/>
    <w:rsid w:val="005A7CE4"/>
    <w:rsid w:val="005A7E70"/>
    <w:rsid w:val="005A7F4F"/>
    <w:rsid w:val="005A7F9E"/>
    <w:rsid w:val="005A7FF1"/>
    <w:rsid w:val="005A7FFC"/>
    <w:rsid w:val="005B0065"/>
    <w:rsid w:val="005B0096"/>
    <w:rsid w:val="005B00C4"/>
    <w:rsid w:val="005B00FF"/>
    <w:rsid w:val="005B01B7"/>
    <w:rsid w:val="005B0295"/>
    <w:rsid w:val="005B03F7"/>
    <w:rsid w:val="005B0410"/>
    <w:rsid w:val="005B0427"/>
    <w:rsid w:val="005B045C"/>
    <w:rsid w:val="005B04F9"/>
    <w:rsid w:val="005B0735"/>
    <w:rsid w:val="005B074E"/>
    <w:rsid w:val="005B07C3"/>
    <w:rsid w:val="005B07F7"/>
    <w:rsid w:val="005B081A"/>
    <w:rsid w:val="005B0872"/>
    <w:rsid w:val="005B0950"/>
    <w:rsid w:val="005B096E"/>
    <w:rsid w:val="005B0A42"/>
    <w:rsid w:val="005B0A77"/>
    <w:rsid w:val="005B0AB6"/>
    <w:rsid w:val="005B0AD2"/>
    <w:rsid w:val="005B0AD8"/>
    <w:rsid w:val="005B0B27"/>
    <w:rsid w:val="005B0B33"/>
    <w:rsid w:val="005B0C5C"/>
    <w:rsid w:val="005B0E6A"/>
    <w:rsid w:val="005B0F32"/>
    <w:rsid w:val="005B1011"/>
    <w:rsid w:val="005B1019"/>
    <w:rsid w:val="005B106E"/>
    <w:rsid w:val="005B107F"/>
    <w:rsid w:val="005B10AF"/>
    <w:rsid w:val="005B1192"/>
    <w:rsid w:val="005B1209"/>
    <w:rsid w:val="005B1218"/>
    <w:rsid w:val="005B121A"/>
    <w:rsid w:val="005B12BF"/>
    <w:rsid w:val="005B1331"/>
    <w:rsid w:val="005B1361"/>
    <w:rsid w:val="005B14B2"/>
    <w:rsid w:val="005B14E7"/>
    <w:rsid w:val="005B1559"/>
    <w:rsid w:val="005B1670"/>
    <w:rsid w:val="005B1681"/>
    <w:rsid w:val="005B172E"/>
    <w:rsid w:val="005B1795"/>
    <w:rsid w:val="005B17EC"/>
    <w:rsid w:val="005B182B"/>
    <w:rsid w:val="005B195C"/>
    <w:rsid w:val="005B1A4A"/>
    <w:rsid w:val="005B1A9E"/>
    <w:rsid w:val="005B1B23"/>
    <w:rsid w:val="005B1B5F"/>
    <w:rsid w:val="005B1B85"/>
    <w:rsid w:val="005B1BEC"/>
    <w:rsid w:val="005B1CA1"/>
    <w:rsid w:val="005B1CAB"/>
    <w:rsid w:val="005B1CBB"/>
    <w:rsid w:val="005B1D1A"/>
    <w:rsid w:val="005B1D27"/>
    <w:rsid w:val="005B1DEF"/>
    <w:rsid w:val="005B1E33"/>
    <w:rsid w:val="005B1E49"/>
    <w:rsid w:val="005B1E72"/>
    <w:rsid w:val="005B1E87"/>
    <w:rsid w:val="005B1E90"/>
    <w:rsid w:val="005B1EAC"/>
    <w:rsid w:val="005B1EE7"/>
    <w:rsid w:val="005B1F8C"/>
    <w:rsid w:val="005B2016"/>
    <w:rsid w:val="005B2056"/>
    <w:rsid w:val="005B205E"/>
    <w:rsid w:val="005B20E0"/>
    <w:rsid w:val="005B21EC"/>
    <w:rsid w:val="005B2246"/>
    <w:rsid w:val="005B22EA"/>
    <w:rsid w:val="005B23CD"/>
    <w:rsid w:val="005B23CE"/>
    <w:rsid w:val="005B2428"/>
    <w:rsid w:val="005B24CD"/>
    <w:rsid w:val="005B25B2"/>
    <w:rsid w:val="005B2636"/>
    <w:rsid w:val="005B265F"/>
    <w:rsid w:val="005B2735"/>
    <w:rsid w:val="005B27E3"/>
    <w:rsid w:val="005B2854"/>
    <w:rsid w:val="005B28FE"/>
    <w:rsid w:val="005B28FF"/>
    <w:rsid w:val="005B29E4"/>
    <w:rsid w:val="005B2A3F"/>
    <w:rsid w:val="005B2A54"/>
    <w:rsid w:val="005B2A5F"/>
    <w:rsid w:val="005B2BE9"/>
    <w:rsid w:val="005B2BEE"/>
    <w:rsid w:val="005B2CE2"/>
    <w:rsid w:val="005B2D09"/>
    <w:rsid w:val="005B2E01"/>
    <w:rsid w:val="005B2E56"/>
    <w:rsid w:val="005B2EFC"/>
    <w:rsid w:val="005B2F14"/>
    <w:rsid w:val="005B2F24"/>
    <w:rsid w:val="005B2F32"/>
    <w:rsid w:val="005B2F55"/>
    <w:rsid w:val="005B2F90"/>
    <w:rsid w:val="005B30EC"/>
    <w:rsid w:val="005B318F"/>
    <w:rsid w:val="005B31DE"/>
    <w:rsid w:val="005B3322"/>
    <w:rsid w:val="005B33EE"/>
    <w:rsid w:val="005B3412"/>
    <w:rsid w:val="005B3572"/>
    <w:rsid w:val="005B3604"/>
    <w:rsid w:val="005B3612"/>
    <w:rsid w:val="005B3614"/>
    <w:rsid w:val="005B3632"/>
    <w:rsid w:val="005B3654"/>
    <w:rsid w:val="005B36BD"/>
    <w:rsid w:val="005B36C3"/>
    <w:rsid w:val="005B3731"/>
    <w:rsid w:val="005B3807"/>
    <w:rsid w:val="005B3891"/>
    <w:rsid w:val="005B38B2"/>
    <w:rsid w:val="005B38D3"/>
    <w:rsid w:val="005B38D9"/>
    <w:rsid w:val="005B394E"/>
    <w:rsid w:val="005B3B80"/>
    <w:rsid w:val="005B3B9C"/>
    <w:rsid w:val="005B3C29"/>
    <w:rsid w:val="005B3C69"/>
    <w:rsid w:val="005B3CDA"/>
    <w:rsid w:val="005B3D5A"/>
    <w:rsid w:val="005B3D9F"/>
    <w:rsid w:val="005B3E59"/>
    <w:rsid w:val="005B3F18"/>
    <w:rsid w:val="005B3F4E"/>
    <w:rsid w:val="005B3F9E"/>
    <w:rsid w:val="005B3FDB"/>
    <w:rsid w:val="005B4059"/>
    <w:rsid w:val="005B4062"/>
    <w:rsid w:val="005B40A2"/>
    <w:rsid w:val="005B418B"/>
    <w:rsid w:val="005B41CA"/>
    <w:rsid w:val="005B4210"/>
    <w:rsid w:val="005B43ED"/>
    <w:rsid w:val="005B444A"/>
    <w:rsid w:val="005B4467"/>
    <w:rsid w:val="005B448F"/>
    <w:rsid w:val="005B44DA"/>
    <w:rsid w:val="005B44EC"/>
    <w:rsid w:val="005B44F5"/>
    <w:rsid w:val="005B452C"/>
    <w:rsid w:val="005B4633"/>
    <w:rsid w:val="005B4731"/>
    <w:rsid w:val="005B477A"/>
    <w:rsid w:val="005B481C"/>
    <w:rsid w:val="005B4851"/>
    <w:rsid w:val="005B4867"/>
    <w:rsid w:val="005B48D2"/>
    <w:rsid w:val="005B4901"/>
    <w:rsid w:val="005B494A"/>
    <w:rsid w:val="005B4A13"/>
    <w:rsid w:val="005B4BBB"/>
    <w:rsid w:val="005B4BF8"/>
    <w:rsid w:val="005B4BFE"/>
    <w:rsid w:val="005B4CDA"/>
    <w:rsid w:val="005B4D07"/>
    <w:rsid w:val="005B4D0E"/>
    <w:rsid w:val="005B4D16"/>
    <w:rsid w:val="005B4D6D"/>
    <w:rsid w:val="005B4E07"/>
    <w:rsid w:val="005B4E66"/>
    <w:rsid w:val="005B4FC4"/>
    <w:rsid w:val="005B5024"/>
    <w:rsid w:val="005B50E8"/>
    <w:rsid w:val="005B50F2"/>
    <w:rsid w:val="005B5113"/>
    <w:rsid w:val="005B5137"/>
    <w:rsid w:val="005B519F"/>
    <w:rsid w:val="005B52BA"/>
    <w:rsid w:val="005B52F9"/>
    <w:rsid w:val="005B530C"/>
    <w:rsid w:val="005B5326"/>
    <w:rsid w:val="005B532D"/>
    <w:rsid w:val="005B538F"/>
    <w:rsid w:val="005B545C"/>
    <w:rsid w:val="005B54EB"/>
    <w:rsid w:val="005B555A"/>
    <w:rsid w:val="005B55B9"/>
    <w:rsid w:val="005B55F4"/>
    <w:rsid w:val="005B5628"/>
    <w:rsid w:val="005B5696"/>
    <w:rsid w:val="005B573B"/>
    <w:rsid w:val="005B5746"/>
    <w:rsid w:val="005B57C4"/>
    <w:rsid w:val="005B57D2"/>
    <w:rsid w:val="005B57E7"/>
    <w:rsid w:val="005B58F5"/>
    <w:rsid w:val="005B5901"/>
    <w:rsid w:val="005B5955"/>
    <w:rsid w:val="005B596B"/>
    <w:rsid w:val="005B599D"/>
    <w:rsid w:val="005B59C9"/>
    <w:rsid w:val="005B59E1"/>
    <w:rsid w:val="005B59F0"/>
    <w:rsid w:val="005B5B17"/>
    <w:rsid w:val="005B5B40"/>
    <w:rsid w:val="005B5B67"/>
    <w:rsid w:val="005B5BA0"/>
    <w:rsid w:val="005B5D64"/>
    <w:rsid w:val="005B5DFC"/>
    <w:rsid w:val="005B5E14"/>
    <w:rsid w:val="005B5E4B"/>
    <w:rsid w:val="005B5E56"/>
    <w:rsid w:val="005B5E70"/>
    <w:rsid w:val="005B5F0E"/>
    <w:rsid w:val="005B5F12"/>
    <w:rsid w:val="005B5F49"/>
    <w:rsid w:val="005B5FA9"/>
    <w:rsid w:val="005B6016"/>
    <w:rsid w:val="005B607C"/>
    <w:rsid w:val="005B6102"/>
    <w:rsid w:val="005B619D"/>
    <w:rsid w:val="005B624E"/>
    <w:rsid w:val="005B625D"/>
    <w:rsid w:val="005B628F"/>
    <w:rsid w:val="005B62B4"/>
    <w:rsid w:val="005B62E1"/>
    <w:rsid w:val="005B6335"/>
    <w:rsid w:val="005B63CF"/>
    <w:rsid w:val="005B64C2"/>
    <w:rsid w:val="005B653D"/>
    <w:rsid w:val="005B658E"/>
    <w:rsid w:val="005B65D7"/>
    <w:rsid w:val="005B6651"/>
    <w:rsid w:val="005B6666"/>
    <w:rsid w:val="005B6716"/>
    <w:rsid w:val="005B6733"/>
    <w:rsid w:val="005B673D"/>
    <w:rsid w:val="005B674A"/>
    <w:rsid w:val="005B678B"/>
    <w:rsid w:val="005B6812"/>
    <w:rsid w:val="005B683D"/>
    <w:rsid w:val="005B6862"/>
    <w:rsid w:val="005B6884"/>
    <w:rsid w:val="005B68BA"/>
    <w:rsid w:val="005B68D6"/>
    <w:rsid w:val="005B699C"/>
    <w:rsid w:val="005B69A1"/>
    <w:rsid w:val="005B69D7"/>
    <w:rsid w:val="005B6A03"/>
    <w:rsid w:val="005B6A2C"/>
    <w:rsid w:val="005B6A44"/>
    <w:rsid w:val="005B6A66"/>
    <w:rsid w:val="005B6AF1"/>
    <w:rsid w:val="005B6BB9"/>
    <w:rsid w:val="005B6BD0"/>
    <w:rsid w:val="005B6C99"/>
    <w:rsid w:val="005B6D6B"/>
    <w:rsid w:val="005B6DF8"/>
    <w:rsid w:val="005B6E0F"/>
    <w:rsid w:val="005B6E23"/>
    <w:rsid w:val="005B6E3E"/>
    <w:rsid w:val="005B6E7C"/>
    <w:rsid w:val="005B6FC3"/>
    <w:rsid w:val="005B6FE3"/>
    <w:rsid w:val="005B702C"/>
    <w:rsid w:val="005B710D"/>
    <w:rsid w:val="005B7125"/>
    <w:rsid w:val="005B7145"/>
    <w:rsid w:val="005B71D7"/>
    <w:rsid w:val="005B7280"/>
    <w:rsid w:val="005B7298"/>
    <w:rsid w:val="005B72F2"/>
    <w:rsid w:val="005B7347"/>
    <w:rsid w:val="005B73A9"/>
    <w:rsid w:val="005B7460"/>
    <w:rsid w:val="005B75CE"/>
    <w:rsid w:val="005B767E"/>
    <w:rsid w:val="005B76E1"/>
    <w:rsid w:val="005B77A1"/>
    <w:rsid w:val="005B77CA"/>
    <w:rsid w:val="005B77F1"/>
    <w:rsid w:val="005B782D"/>
    <w:rsid w:val="005B7833"/>
    <w:rsid w:val="005B7843"/>
    <w:rsid w:val="005B7927"/>
    <w:rsid w:val="005B7A0D"/>
    <w:rsid w:val="005B7A38"/>
    <w:rsid w:val="005B7BEC"/>
    <w:rsid w:val="005B7BED"/>
    <w:rsid w:val="005B7BF7"/>
    <w:rsid w:val="005B7CE8"/>
    <w:rsid w:val="005B7E43"/>
    <w:rsid w:val="005B7E88"/>
    <w:rsid w:val="005B7EBF"/>
    <w:rsid w:val="005B7EE6"/>
    <w:rsid w:val="005B7F34"/>
    <w:rsid w:val="005C0008"/>
    <w:rsid w:val="005C0052"/>
    <w:rsid w:val="005C00AB"/>
    <w:rsid w:val="005C00C2"/>
    <w:rsid w:val="005C010B"/>
    <w:rsid w:val="005C0196"/>
    <w:rsid w:val="005C02C2"/>
    <w:rsid w:val="005C02E7"/>
    <w:rsid w:val="005C037F"/>
    <w:rsid w:val="005C042B"/>
    <w:rsid w:val="005C04E8"/>
    <w:rsid w:val="005C05CF"/>
    <w:rsid w:val="005C05DA"/>
    <w:rsid w:val="005C05FB"/>
    <w:rsid w:val="005C0616"/>
    <w:rsid w:val="005C0646"/>
    <w:rsid w:val="005C06BE"/>
    <w:rsid w:val="005C0707"/>
    <w:rsid w:val="005C0836"/>
    <w:rsid w:val="005C0903"/>
    <w:rsid w:val="005C0997"/>
    <w:rsid w:val="005C09A5"/>
    <w:rsid w:val="005C09E8"/>
    <w:rsid w:val="005C0A42"/>
    <w:rsid w:val="005C0B15"/>
    <w:rsid w:val="005C0C1D"/>
    <w:rsid w:val="005C0D26"/>
    <w:rsid w:val="005C0E58"/>
    <w:rsid w:val="005C0FC0"/>
    <w:rsid w:val="005C101B"/>
    <w:rsid w:val="005C1024"/>
    <w:rsid w:val="005C1039"/>
    <w:rsid w:val="005C10C2"/>
    <w:rsid w:val="005C10E8"/>
    <w:rsid w:val="005C11F5"/>
    <w:rsid w:val="005C12C6"/>
    <w:rsid w:val="005C1381"/>
    <w:rsid w:val="005C14F7"/>
    <w:rsid w:val="005C1513"/>
    <w:rsid w:val="005C151A"/>
    <w:rsid w:val="005C1570"/>
    <w:rsid w:val="005C15E8"/>
    <w:rsid w:val="005C15EC"/>
    <w:rsid w:val="005C168D"/>
    <w:rsid w:val="005C16B2"/>
    <w:rsid w:val="005C16C0"/>
    <w:rsid w:val="005C1712"/>
    <w:rsid w:val="005C173A"/>
    <w:rsid w:val="005C17C4"/>
    <w:rsid w:val="005C181C"/>
    <w:rsid w:val="005C184F"/>
    <w:rsid w:val="005C188A"/>
    <w:rsid w:val="005C18B1"/>
    <w:rsid w:val="005C18BF"/>
    <w:rsid w:val="005C1901"/>
    <w:rsid w:val="005C19DE"/>
    <w:rsid w:val="005C19FF"/>
    <w:rsid w:val="005C1AE2"/>
    <w:rsid w:val="005C1B23"/>
    <w:rsid w:val="005C1BF2"/>
    <w:rsid w:val="005C1CDD"/>
    <w:rsid w:val="005C1D2E"/>
    <w:rsid w:val="005C1D43"/>
    <w:rsid w:val="005C1D5F"/>
    <w:rsid w:val="005C1D7D"/>
    <w:rsid w:val="005C1DB3"/>
    <w:rsid w:val="005C1E4A"/>
    <w:rsid w:val="005C1E56"/>
    <w:rsid w:val="005C1E6C"/>
    <w:rsid w:val="005C1E9B"/>
    <w:rsid w:val="005C1FE5"/>
    <w:rsid w:val="005C2097"/>
    <w:rsid w:val="005C209D"/>
    <w:rsid w:val="005C2115"/>
    <w:rsid w:val="005C2145"/>
    <w:rsid w:val="005C2158"/>
    <w:rsid w:val="005C22A1"/>
    <w:rsid w:val="005C22B3"/>
    <w:rsid w:val="005C22E6"/>
    <w:rsid w:val="005C2320"/>
    <w:rsid w:val="005C2358"/>
    <w:rsid w:val="005C236B"/>
    <w:rsid w:val="005C2405"/>
    <w:rsid w:val="005C2428"/>
    <w:rsid w:val="005C253A"/>
    <w:rsid w:val="005C2542"/>
    <w:rsid w:val="005C2549"/>
    <w:rsid w:val="005C2579"/>
    <w:rsid w:val="005C2648"/>
    <w:rsid w:val="005C2686"/>
    <w:rsid w:val="005C26BD"/>
    <w:rsid w:val="005C2707"/>
    <w:rsid w:val="005C2743"/>
    <w:rsid w:val="005C27D5"/>
    <w:rsid w:val="005C27EB"/>
    <w:rsid w:val="005C281E"/>
    <w:rsid w:val="005C283A"/>
    <w:rsid w:val="005C2866"/>
    <w:rsid w:val="005C28F7"/>
    <w:rsid w:val="005C2913"/>
    <w:rsid w:val="005C29B2"/>
    <w:rsid w:val="005C29CA"/>
    <w:rsid w:val="005C2A23"/>
    <w:rsid w:val="005C2A69"/>
    <w:rsid w:val="005C2AA4"/>
    <w:rsid w:val="005C2AF1"/>
    <w:rsid w:val="005C2B89"/>
    <w:rsid w:val="005C2BB1"/>
    <w:rsid w:val="005C2C17"/>
    <w:rsid w:val="005C2C23"/>
    <w:rsid w:val="005C2D08"/>
    <w:rsid w:val="005C2DB6"/>
    <w:rsid w:val="005C2DE9"/>
    <w:rsid w:val="005C2E19"/>
    <w:rsid w:val="005C2E3D"/>
    <w:rsid w:val="005C2F43"/>
    <w:rsid w:val="005C303D"/>
    <w:rsid w:val="005C3144"/>
    <w:rsid w:val="005C3229"/>
    <w:rsid w:val="005C3231"/>
    <w:rsid w:val="005C3292"/>
    <w:rsid w:val="005C32F0"/>
    <w:rsid w:val="005C3355"/>
    <w:rsid w:val="005C33D6"/>
    <w:rsid w:val="005C33E6"/>
    <w:rsid w:val="005C33F8"/>
    <w:rsid w:val="005C3477"/>
    <w:rsid w:val="005C34F8"/>
    <w:rsid w:val="005C353F"/>
    <w:rsid w:val="005C354A"/>
    <w:rsid w:val="005C35A8"/>
    <w:rsid w:val="005C35DF"/>
    <w:rsid w:val="005C3607"/>
    <w:rsid w:val="005C36AA"/>
    <w:rsid w:val="005C3712"/>
    <w:rsid w:val="005C376F"/>
    <w:rsid w:val="005C3805"/>
    <w:rsid w:val="005C3816"/>
    <w:rsid w:val="005C3832"/>
    <w:rsid w:val="005C386C"/>
    <w:rsid w:val="005C387B"/>
    <w:rsid w:val="005C38B7"/>
    <w:rsid w:val="005C3965"/>
    <w:rsid w:val="005C399E"/>
    <w:rsid w:val="005C3A28"/>
    <w:rsid w:val="005C3A8A"/>
    <w:rsid w:val="005C3B3D"/>
    <w:rsid w:val="005C3C4C"/>
    <w:rsid w:val="005C3CB8"/>
    <w:rsid w:val="005C3D91"/>
    <w:rsid w:val="005C3DC7"/>
    <w:rsid w:val="005C3E11"/>
    <w:rsid w:val="005C3E73"/>
    <w:rsid w:val="005C3E7B"/>
    <w:rsid w:val="005C3EC1"/>
    <w:rsid w:val="005C3ED4"/>
    <w:rsid w:val="005C3ED7"/>
    <w:rsid w:val="005C3F64"/>
    <w:rsid w:val="005C4162"/>
    <w:rsid w:val="005C4193"/>
    <w:rsid w:val="005C4201"/>
    <w:rsid w:val="005C42AB"/>
    <w:rsid w:val="005C42EA"/>
    <w:rsid w:val="005C4313"/>
    <w:rsid w:val="005C433A"/>
    <w:rsid w:val="005C4374"/>
    <w:rsid w:val="005C43A2"/>
    <w:rsid w:val="005C43A8"/>
    <w:rsid w:val="005C43C2"/>
    <w:rsid w:val="005C43D1"/>
    <w:rsid w:val="005C4497"/>
    <w:rsid w:val="005C4526"/>
    <w:rsid w:val="005C4680"/>
    <w:rsid w:val="005C471D"/>
    <w:rsid w:val="005C478C"/>
    <w:rsid w:val="005C48A6"/>
    <w:rsid w:val="005C48C8"/>
    <w:rsid w:val="005C48E1"/>
    <w:rsid w:val="005C49AE"/>
    <w:rsid w:val="005C4A1F"/>
    <w:rsid w:val="005C4B22"/>
    <w:rsid w:val="005C4B2C"/>
    <w:rsid w:val="005C4C26"/>
    <w:rsid w:val="005C4D0B"/>
    <w:rsid w:val="005C4D5F"/>
    <w:rsid w:val="005C504A"/>
    <w:rsid w:val="005C5134"/>
    <w:rsid w:val="005C51F5"/>
    <w:rsid w:val="005C51FB"/>
    <w:rsid w:val="005C52A4"/>
    <w:rsid w:val="005C530C"/>
    <w:rsid w:val="005C5333"/>
    <w:rsid w:val="005C53D8"/>
    <w:rsid w:val="005C5490"/>
    <w:rsid w:val="005C54DB"/>
    <w:rsid w:val="005C5531"/>
    <w:rsid w:val="005C5586"/>
    <w:rsid w:val="005C55F5"/>
    <w:rsid w:val="005C5639"/>
    <w:rsid w:val="005C5667"/>
    <w:rsid w:val="005C56AE"/>
    <w:rsid w:val="005C5784"/>
    <w:rsid w:val="005C5786"/>
    <w:rsid w:val="005C5A5A"/>
    <w:rsid w:val="005C5B18"/>
    <w:rsid w:val="005C5B1F"/>
    <w:rsid w:val="005C5B69"/>
    <w:rsid w:val="005C5B8D"/>
    <w:rsid w:val="005C5C35"/>
    <w:rsid w:val="005C5C7C"/>
    <w:rsid w:val="005C5C91"/>
    <w:rsid w:val="005C5D91"/>
    <w:rsid w:val="005C5DB3"/>
    <w:rsid w:val="005C5E4E"/>
    <w:rsid w:val="005C5E86"/>
    <w:rsid w:val="005C5F0F"/>
    <w:rsid w:val="005C5F6F"/>
    <w:rsid w:val="005C5FAE"/>
    <w:rsid w:val="005C6034"/>
    <w:rsid w:val="005C6040"/>
    <w:rsid w:val="005C60F0"/>
    <w:rsid w:val="005C6103"/>
    <w:rsid w:val="005C6121"/>
    <w:rsid w:val="005C6173"/>
    <w:rsid w:val="005C6195"/>
    <w:rsid w:val="005C6254"/>
    <w:rsid w:val="005C6255"/>
    <w:rsid w:val="005C6273"/>
    <w:rsid w:val="005C62B1"/>
    <w:rsid w:val="005C63E1"/>
    <w:rsid w:val="005C6438"/>
    <w:rsid w:val="005C64EC"/>
    <w:rsid w:val="005C6522"/>
    <w:rsid w:val="005C6534"/>
    <w:rsid w:val="005C6595"/>
    <w:rsid w:val="005C65A7"/>
    <w:rsid w:val="005C6616"/>
    <w:rsid w:val="005C6673"/>
    <w:rsid w:val="005C671C"/>
    <w:rsid w:val="005C676D"/>
    <w:rsid w:val="005C67A9"/>
    <w:rsid w:val="005C67AE"/>
    <w:rsid w:val="005C67D8"/>
    <w:rsid w:val="005C67E5"/>
    <w:rsid w:val="005C6839"/>
    <w:rsid w:val="005C684E"/>
    <w:rsid w:val="005C688C"/>
    <w:rsid w:val="005C6891"/>
    <w:rsid w:val="005C6903"/>
    <w:rsid w:val="005C69D3"/>
    <w:rsid w:val="005C69DB"/>
    <w:rsid w:val="005C69FC"/>
    <w:rsid w:val="005C6A12"/>
    <w:rsid w:val="005C6AD6"/>
    <w:rsid w:val="005C6AF9"/>
    <w:rsid w:val="005C6B74"/>
    <w:rsid w:val="005C6C3C"/>
    <w:rsid w:val="005C6DC8"/>
    <w:rsid w:val="005C6E1B"/>
    <w:rsid w:val="005C6FAE"/>
    <w:rsid w:val="005C6FE1"/>
    <w:rsid w:val="005C7031"/>
    <w:rsid w:val="005C707F"/>
    <w:rsid w:val="005C7100"/>
    <w:rsid w:val="005C7146"/>
    <w:rsid w:val="005C7175"/>
    <w:rsid w:val="005C735D"/>
    <w:rsid w:val="005C7463"/>
    <w:rsid w:val="005C74C1"/>
    <w:rsid w:val="005C7565"/>
    <w:rsid w:val="005C761D"/>
    <w:rsid w:val="005C7655"/>
    <w:rsid w:val="005C76CA"/>
    <w:rsid w:val="005C76D0"/>
    <w:rsid w:val="005C78BE"/>
    <w:rsid w:val="005C7910"/>
    <w:rsid w:val="005C799B"/>
    <w:rsid w:val="005C79DC"/>
    <w:rsid w:val="005C7A4F"/>
    <w:rsid w:val="005C7B20"/>
    <w:rsid w:val="005C7B3E"/>
    <w:rsid w:val="005C7B64"/>
    <w:rsid w:val="005C7BE1"/>
    <w:rsid w:val="005C7C08"/>
    <w:rsid w:val="005C7C49"/>
    <w:rsid w:val="005C7CF3"/>
    <w:rsid w:val="005C7D43"/>
    <w:rsid w:val="005C7E04"/>
    <w:rsid w:val="005C7E11"/>
    <w:rsid w:val="005C7E65"/>
    <w:rsid w:val="005C7EFB"/>
    <w:rsid w:val="005C7F66"/>
    <w:rsid w:val="005C7FAA"/>
    <w:rsid w:val="005C7FE4"/>
    <w:rsid w:val="005D006B"/>
    <w:rsid w:val="005D00B5"/>
    <w:rsid w:val="005D00F2"/>
    <w:rsid w:val="005D0100"/>
    <w:rsid w:val="005D0113"/>
    <w:rsid w:val="005D0137"/>
    <w:rsid w:val="005D0241"/>
    <w:rsid w:val="005D0249"/>
    <w:rsid w:val="005D0351"/>
    <w:rsid w:val="005D0492"/>
    <w:rsid w:val="005D050D"/>
    <w:rsid w:val="005D0545"/>
    <w:rsid w:val="005D05B4"/>
    <w:rsid w:val="005D0668"/>
    <w:rsid w:val="005D06CA"/>
    <w:rsid w:val="005D06F6"/>
    <w:rsid w:val="005D07EE"/>
    <w:rsid w:val="005D093A"/>
    <w:rsid w:val="005D0946"/>
    <w:rsid w:val="005D099E"/>
    <w:rsid w:val="005D09F1"/>
    <w:rsid w:val="005D0AFC"/>
    <w:rsid w:val="005D0B49"/>
    <w:rsid w:val="005D0BBC"/>
    <w:rsid w:val="005D0C72"/>
    <w:rsid w:val="005D0CB2"/>
    <w:rsid w:val="005D0D01"/>
    <w:rsid w:val="005D0D48"/>
    <w:rsid w:val="005D0DFA"/>
    <w:rsid w:val="005D0E49"/>
    <w:rsid w:val="005D0EBC"/>
    <w:rsid w:val="005D0F80"/>
    <w:rsid w:val="005D0FDB"/>
    <w:rsid w:val="005D1049"/>
    <w:rsid w:val="005D1163"/>
    <w:rsid w:val="005D1166"/>
    <w:rsid w:val="005D12C3"/>
    <w:rsid w:val="005D13F6"/>
    <w:rsid w:val="005D158E"/>
    <w:rsid w:val="005D15B8"/>
    <w:rsid w:val="005D15D4"/>
    <w:rsid w:val="005D15E3"/>
    <w:rsid w:val="005D1608"/>
    <w:rsid w:val="005D1622"/>
    <w:rsid w:val="005D1626"/>
    <w:rsid w:val="005D1656"/>
    <w:rsid w:val="005D17B5"/>
    <w:rsid w:val="005D17E4"/>
    <w:rsid w:val="005D1807"/>
    <w:rsid w:val="005D183F"/>
    <w:rsid w:val="005D18BE"/>
    <w:rsid w:val="005D18DD"/>
    <w:rsid w:val="005D19A1"/>
    <w:rsid w:val="005D1A59"/>
    <w:rsid w:val="005D1A97"/>
    <w:rsid w:val="005D1B50"/>
    <w:rsid w:val="005D1BAB"/>
    <w:rsid w:val="005D1BC3"/>
    <w:rsid w:val="005D1C3E"/>
    <w:rsid w:val="005D1C67"/>
    <w:rsid w:val="005D1CA7"/>
    <w:rsid w:val="005D1DCA"/>
    <w:rsid w:val="005D1DE4"/>
    <w:rsid w:val="005D1E62"/>
    <w:rsid w:val="005D1F6F"/>
    <w:rsid w:val="005D1F85"/>
    <w:rsid w:val="005D200A"/>
    <w:rsid w:val="005D201F"/>
    <w:rsid w:val="005D209D"/>
    <w:rsid w:val="005D2125"/>
    <w:rsid w:val="005D218A"/>
    <w:rsid w:val="005D21BB"/>
    <w:rsid w:val="005D22A9"/>
    <w:rsid w:val="005D22BB"/>
    <w:rsid w:val="005D238A"/>
    <w:rsid w:val="005D23A5"/>
    <w:rsid w:val="005D23CE"/>
    <w:rsid w:val="005D2412"/>
    <w:rsid w:val="005D24B8"/>
    <w:rsid w:val="005D24BB"/>
    <w:rsid w:val="005D2532"/>
    <w:rsid w:val="005D25CD"/>
    <w:rsid w:val="005D2642"/>
    <w:rsid w:val="005D2709"/>
    <w:rsid w:val="005D27D0"/>
    <w:rsid w:val="005D2819"/>
    <w:rsid w:val="005D2870"/>
    <w:rsid w:val="005D28C2"/>
    <w:rsid w:val="005D28F7"/>
    <w:rsid w:val="005D295A"/>
    <w:rsid w:val="005D2A17"/>
    <w:rsid w:val="005D2A2C"/>
    <w:rsid w:val="005D2A52"/>
    <w:rsid w:val="005D2AA3"/>
    <w:rsid w:val="005D2AB3"/>
    <w:rsid w:val="005D2AB7"/>
    <w:rsid w:val="005D2C53"/>
    <w:rsid w:val="005D2C7F"/>
    <w:rsid w:val="005D2C82"/>
    <w:rsid w:val="005D2D1F"/>
    <w:rsid w:val="005D2D50"/>
    <w:rsid w:val="005D2DD5"/>
    <w:rsid w:val="005D2E7E"/>
    <w:rsid w:val="005D2F28"/>
    <w:rsid w:val="005D2F85"/>
    <w:rsid w:val="005D2FE7"/>
    <w:rsid w:val="005D3023"/>
    <w:rsid w:val="005D307E"/>
    <w:rsid w:val="005D3191"/>
    <w:rsid w:val="005D321D"/>
    <w:rsid w:val="005D322B"/>
    <w:rsid w:val="005D3273"/>
    <w:rsid w:val="005D3274"/>
    <w:rsid w:val="005D3340"/>
    <w:rsid w:val="005D34D8"/>
    <w:rsid w:val="005D353E"/>
    <w:rsid w:val="005D3590"/>
    <w:rsid w:val="005D3595"/>
    <w:rsid w:val="005D35B8"/>
    <w:rsid w:val="005D363D"/>
    <w:rsid w:val="005D364A"/>
    <w:rsid w:val="005D368A"/>
    <w:rsid w:val="005D3782"/>
    <w:rsid w:val="005D378B"/>
    <w:rsid w:val="005D378C"/>
    <w:rsid w:val="005D37F4"/>
    <w:rsid w:val="005D382C"/>
    <w:rsid w:val="005D385D"/>
    <w:rsid w:val="005D3884"/>
    <w:rsid w:val="005D3954"/>
    <w:rsid w:val="005D39CC"/>
    <w:rsid w:val="005D39F9"/>
    <w:rsid w:val="005D3AB9"/>
    <w:rsid w:val="005D3BBC"/>
    <w:rsid w:val="005D3C31"/>
    <w:rsid w:val="005D3C4B"/>
    <w:rsid w:val="005D3CF5"/>
    <w:rsid w:val="005D3DA5"/>
    <w:rsid w:val="005D3E62"/>
    <w:rsid w:val="005D3EAB"/>
    <w:rsid w:val="005D3F24"/>
    <w:rsid w:val="005D3FC0"/>
    <w:rsid w:val="005D3FE6"/>
    <w:rsid w:val="005D4088"/>
    <w:rsid w:val="005D4124"/>
    <w:rsid w:val="005D4289"/>
    <w:rsid w:val="005D433D"/>
    <w:rsid w:val="005D43C8"/>
    <w:rsid w:val="005D444C"/>
    <w:rsid w:val="005D445A"/>
    <w:rsid w:val="005D44CD"/>
    <w:rsid w:val="005D4517"/>
    <w:rsid w:val="005D4537"/>
    <w:rsid w:val="005D45AF"/>
    <w:rsid w:val="005D4658"/>
    <w:rsid w:val="005D4662"/>
    <w:rsid w:val="005D4666"/>
    <w:rsid w:val="005D46A4"/>
    <w:rsid w:val="005D46C0"/>
    <w:rsid w:val="005D46C7"/>
    <w:rsid w:val="005D4758"/>
    <w:rsid w:val="005D4760"/>
    <w:rsid w:val="005D47E0"/>
    <w:rsid w:val="005D4834"/>
    <w:rsid w:val="005D4978"/>
    <w:rsid w:val="005D49D4"/>
    <w:rsid w:val="005D4A30"/>
    <w:rsid w:val="005D4A34"/>
    <w:rsid w:val="005D4A6B"/>
    <w:rsid w:val="005D4A7B"/>
    <w:rsid w:val="005D4B3A"/>
    <w:rsid w:val="005D4B5B"/>
    <w:rsid w:val="005D4BBC"/>
    <w:rsid w:val="005D4CDF"/>
    <w:rsid w:val="005D4D25"/>
    <w:rsid w:val="005D4DBE"/>
    <w:rsid w:val="005D4F0C"/>
    <w:rsid w:val="005D4F92"/>
    <w:rsid w:val="005D4FBC"/>
    <w:rsid w:val="005D4FF9"/>
    <w:rsid w:val="005D5029"/>
    <w:rsid w:val="005D5051"/>
    <w:rsid w:val="005D50D2"/>
    <w:rsid w:val="005D510F"/>
    <w:rsid w:val="005D51B5"/>
    <w:rsid w:val="005D5260"/>
    <w:rsid w:val="005D52F8"/>
    <w:rsid w:val="005D5319"/>
    <w:rsid w:val="005D54DC"/>
    <w:rsid w:val="005D54F0"/>
    <w:rsid w:val="005D5520"/>
    <w:rsid w:val="005D554E"/>
    <w:rsid w:val="005D5570"/>
    <w:rsid w:val="005D557A"/>
    <w:rsid w:val="005D55A8"/>
    <w:rsid w:val="005D55C7"/>
    <w:rsid w:val="005D561D"/>
    <w:rsid w:val="005D5657"/>
    <w:rsid w:val="005D5674"/>
    <w:rsid w:val="005D5738"/>
    <w:rsid w:val="005D573D"/>
    <w:rsid w:val="005D5789"/>
    <w:rsid w:val="005D57DC"/>
    <w:rsid w:val="005D5860"/>
    <w:rsid w:val="005D586A"/>
    <w:rsid w:val="005D5905"/>
    <w:rsid w:val="005D59E3"/>
    <w:rsid w:val="005D5B62"/>
    <w:rsid w:val="005D5BB2"/>
    <w:rsid w:val="005D5BD7"/>
    <w:rsid w:val="005D5C29"/>
    <w:rsid w:val="005D5C7F"/>
    <w:rsid w:val="005D5C89"/>
    <w:rsid w:val="005D5CA7"/>
    <w:rsid w:val="005D5D8F"/>
    <w:rsid w:val="005D5DD7"/>
    <w:rsid w:val="005D5EBD"/>
    <w:rsid w:val="005D5F20"/>
    <w:rsid w:val="005D5F8F"/>
    <w:rsid w:val="005D6214"/>
    <w:rsid w:val="005D6263"/>
    <w:rsid w:val="005D62F6"/>
    <w:rsid w:val="005D6342"/>
    <w:rsid w:val="005D6377"/>
    <w:rsid w:val="005D63B2"/>
    <w:rsid w:val="005D63B8"/>
    <w:rsid w:val="005D63D0"/>
    <w:rsid w:val="005D6408"/>
    <w:rsid w:val="005D64E3"/>
    <w:rsid w:val="005D6552"/>
    <w:rsid w:val="005D6560"/>
    <w:rsid w:val="005D6668"/>
    <w:rsid w:val="005D66B3"/>
    <w:rsid w:val="005D6714"/>
    <w:rsid w:val="005D672C"/>
    <w:rsid w:val="005D67B1"/>
    <w:rsid w:val="005D67E7"/>
    <w:rsid w:val="005D6824"/>
    <w:rsid w:val="005D69EA"/>
    <w:rsid w:val="005D6AC7"/>
    <w:rsid w:val="005D6B39"/>
    <w:rsid w:val="005D6B80"/>
    <w:rsid w:val="005D6B9D"/>
    <w:rsid w:val="005D6D4D"/>
    <w:rsid w:val="005D6E4C"/>
    <w:rsid w:val="005D6F26"/>
    <w:rsid w:val="005D707F"/>
    <w:rsid w:val="005D71C6"/>
    <w:rsid w:val="005D722D"/>
    <w:rsid w:val="005D7230"/>
    <w:rsid w:val="005D72F3"/>
    <w:rsid w:val="005D732C"/>
    <w:rsid w:val="005D73D3"/>
    <w:rsid w:val="005D7419"/>
    <w:rsid w:val="005D74C8"/>
    <w:rsid w:val="005D751B"/>
    <w:rsid w:val="005D7542"/>
    <w:rsid w:val="005D767C"/>
    <w:rsid w:val="005D76C6"/>
    <w:rsid w:val="005D7745"/>
    <w:rsid w:val="005D778A"/>
    <w:rsid w:val="005D7838"/>
    <w:rsid w:val="005D78F1"/>
    <w:rsid w:val="005D790D"/>
    <w:rsid w:val="005D7941"/>
    <w:rsid w:val="005D7945"/>
    <w:rsid w:val="005D7999"/>
    <w:rsid w:val="005D7A65"/>
    <w:rsid w:val="005D7B06"/>
    <w:rsid w:val="005D7B71"/>
    <w:rsid w:val="005D7B85"/>
    <w:rsid w:val="005D7B9E"/>
    <w:rsid w:val="005D7C2C"/>
    <w:rsid w:val="005D7DC6"/>
    <w:rsid w:val="005D7E08"/>
    <w:rsid w:val="005D7E6E"/>
    <w:rsid w:val="005D7EC4"/>
    <w:rsid w:val="005D7ED7"/>
    <w:rsid w:val="005D7F18"/>
    <w:rsid w:val="005E001F"/>
    <w:rsid w:val="005E006F"/>
    <w:rsid w:val="005E007C"/>
    <w:rsid w:val="005E013A"/>
    <w:rsid w:val="005E0169"/>
    <w:rsid w:val="005E016D"/>
    <w:rsid w:val="005E017D"/>
    <w:rsid w:val="005E018D"/>
    <w:rsid w:val="005E02B0"/>
    <w:rsid w:val="005E034B"/>
    <w:rsid w:val="005E034F"/>
    <w:rsid w:val="005E0387"/>
    <w:rsid w:val="005E0454"/>
    <w:rsid w:val="005E0456"/>
    <w:rsid w:val="005E04F2"/>
    <w:rsid w:val="005E056B"/>
    <w:rsid w:val="005E05B4"/>
    <w:rsid w:val="005E0656"/>
    <w:rsid w:val="005E065B"/>
    <w:rsid w:val="005E06D6"/>
    <w:rsid w:val="005E0702"/>
    <w:rsid w:val="005E0863"/>
    <w:rsid w:val="005E0916"/>
    <w:rsid w:val="005E09E0"/>
    <w:rsid w:val="005E0A9F"/>
    <w:rsid w:val="005E0BCC"/>
    <w:rsid w:val="005E0C4A"/>
    <w:rsid w:val="005E0C90"/>
    <w:rsid w:val="005E0D8D"/>
    <w:rsid w:val="005E0D8E"/>
    <w:rsid w:val="005E0DA5"/>
    <w:rsid w:val="005E0DA7"/>
    <w:rsid w:val="005E0DE5"/>
    <w:rsid w:val="005E0E68"/>
    <w:rsid w:val="005E0F6B"/>
    <w:rsid w:val="005E106C"/>
    <w:rsid w:val="005E10FF"/>
    <w:rsid w:val="005E1145"/>
    <w:rsid w:val="005E1167"/>
    <w:rsid w:val="005E11C2"/>
    <w:rsid w:val="005E1247"/>
    <w:rsid w:val="005E1265"/>
    <w:rsid w:val="005E131A"/>
    <w:rsid w:val="005E13A4"/>
    <w:rsid w:val="005E13CA"/>
    <w:rsid w:val="005E13ED"/>
    <w:rsid w:val="005E141C"/>
    <w:rsid w:val="005E1455"/>
    <w:rsid w:val="005E153E"/>
    <w:rsid w:val="005E15DD"/>
    <w:rsid w:val="005E1661"/>
    <w:rsid w:val="005E169E"/>
    <w:rsid w:val="005E16AD"/>
    <w:rsid w:val="005E16DB"/>
    <w:rsid w:val="005E17C7"/>
    <w:rsid w:val="005E1884"/>
    <w:rsid w:val="005E1975"/>
    <w:rsid w:val="005E1A16"/>
    <w:rsid w:val="005E1A3C"/>
    <w:rsid w:val="005E1A9C"/>
    <w:rsid w:val="005E1AFD"/>
    <w:rsid w:val="005E1BF6"/>
    <w:rsid w:val="005E1C80"/>
    <w:rsid w:val="005E1D02"/>
    <w:rsid w:val="005E1D7E"/>
    <w:rsid w:val="005E1D8F"/>
    <w:rsid w:val="005E1DF2"/>
    <w:rsid w:val="005E1E24"/>
    <w:rsid w:val="005E1EAC"/>
    <w:rsid w:val="005E1EF7"/>
    <w:rsid w:val="005E1F3C"/>
    <w:rsid w:val="005E1F7C"/>
    <w:rsid w:val="005E1FE4"/>
    <w:rsid w:val="005E1FF1"/>
    <w:rsid w:val="005E2047"/>
    <w:rsid w:val="005E2101"/>
    <w:rsid w:val="005E2201"/>
    <w:rsid w:val="005E2232"/>
    <w:rsid w:val="005E22FF"/>
    <w:rsid w:val="005E239D"/>
    <w:rsid w:val="005E23B8"/>
    <w:rsid w:val="005E24E2"/>
    <w:rsid w:val="005E25DC"/>
    <w:rsid w:val="005E25E1"/>
    <w:rsid w:val="005E2602"/>
    <w:rsid w:val="005E2634"/>
    <w:rsid w:val="005E2640"/>
    <w:rsid w:val="005E26B0"/>
    <w:rsid w:val="005E26DA"/>
    <w:rsid w:val="005E276E"/>
    <w:rsid w:val="005E2802"/>
    <w:rsid w:val="005E2853"/>
    <w:rsid w:val="005E2892"/>
    <w:rsid w:val="005E28CE"/>
    <w:rsid w:val="005E28FD"/>
    <w:rsid w:val="005E2911"/>
    <w:rsid w:val="005E2929"/>
    <w:rsid w:val="005E2A86"/>
    <w:rsid w:val="005E2AB9"/>
    <w:rsid w:val="005E2ADC"/>
    <w:rsid w:val="005E2C0F"/>
    <w:rsid w:val="005E2C57"/>
    <w:rsid w:val="005E2C62"/>
    <w:rsid w:val="005E2C90"/>
    <w:rsid w:val="005E2CAE"/>
    <w:rsid w:val="005E2D04"/>
    <w:rsid w:val="005E2D4A"/>
    <w:rsid w:val="005E2D5B"/>
    <w:rsid w:val="005E2D84"/>
    <w:rsid w:val="005E2E0D"/>
    <w:rsid w:val="005E2E4A"/>
    <w:rsid w:val="005E2E68"/>
    <w:rsid w:val="005E2EAF"/>
    <w:rsid w:val="005E2F26"/>
    <w:rsid w:val="005E2F2F"/>
    <w:rsid w:val="005E2F62"/>
    <w:rsid w:val="005E2F7B"/>
    <w:rsid w:val="005E312A"/>
    <w:rsid w:val="005E312E"/>
    <w:rsid w:val="005E3200"/>
    <w:rsid w:val="005E3224"/>
    <w:rsid w:val="005E328B"/>
    <w:rsid w:val="005E3417"/>
    <w:rsid w:val="005E3447"/>
    <w:rsid w:val="005E350A"/>
    <w:rsid w:val="005E355A"/>
    <w:rsid w:val="005E3610"/>
    <w:rsid w:val="005E36BA"/>
    <w:rsid w:val="005E36BC"/>
    <w:rsid w:val="005E36D6"/>
    <w:rsid w:val="005E3728"/>
    <w:rsid w:val="005E3736"/>
    <w:rsid w:val="005E373E"/>
    <w:rsid w:val="005E37A6"/>
    <w:rsid w:val="005E37C0"/>
    <w:rsid w:val="005E382E"/>
    <w:rsid w:val="005E3925"/>
    <w:rsid w:val="005E3A2E"/>
    <w:rsid w:val="005E3A3C"/>
    <w:rsid w:val="005E3BF5"/>
    <w:rsid w:val="005E3C3D"/>
    <w:rsid w:val="005E3C87"/>
    <w:rsid w:val="005E3CC7"/>
    <w:rsid w:val="005E3CD5"/>
    <w:rsid w:val="005E3DAF"/>
    <w:rsid w:val="005E3DBD"/>
    <w:rsid w:val="005E3DE1"/>
    <w:rsid w:val="005E3E0E"/>
    <w:rsid w:val="005E3E40"/>
    <w:rsid w:val="005E3EBE"/>
    <w:rsid w:val="005E3EC4"/>
    <w:rsid w:val="005E3F24"/>
    <w:rsid w:val="005E3F2E"/>
    <w:rsid w:val="005E3FDF"/>
    <w:rsid w:val="005E4016"/>
    <w:rsid w:val="005E4034"/>
    <w:rsid w:val="005E4036"/>
    <w:rsid w:val="005E4055"/>
    <w:rsid w:val="005E4151"/>
    <w:rsid w:val="005E4170"/>
    <w:rsid w:val="005E4188"/>
    <w:rsid w:val="005E427D"/>
    <w:rsid w:val="005E4280"/>
    <w:rsid w:val="005E42BB"/>
    <w:rsid w:val="005E4341"/>
    <w:rsid w:val="005E4359"/>
    <w:rsid w:val="005E43E5"/>
    <w:rsid w:val="005E440D"/>
    <w:rsid w:val="005E445D"/>
    <w:rsid w:val="005E4494"/>
    <w:rsid w:val="005E451D"/>
    <w:rsid w:val="005E47F9"/>
    <w:rsid w:val="005E47FC"/>
    <w:rsid w:val="005E4809"/>
    <w:rsid w:val="005E48A8"/>
    <w:rsid w:val="005E48BF"/>
    <w:rsid w:val="005E48D3"/>
    <w:rsid w:val="005E497A"/>
    <w:rsid w:val="005E4A23"/>
    <w:rsid w:val="005E4A36"/>
    <w:rsid w:val="005E4A5F"/>
    <w:rsid w:val="005E4A90"/>
    <w:rsid w:val="005E4AB4"/>
    <w:rsid w:val="005E4CA8"/>
    <w:rsid w:val="005E4D33"/>
    <w:rsid w:val="005E4EC8"/>
    <w:rsid w:val="005E4ED1"/>
    <w:rsid w:val="005E4EEE"/>
    <w:rsid w:val="005E4EFA"/>
    <w:rsid w:val="005E4F34"/>
    <w:rsid w:val="005E4FC2"/>
    <w:rsid w:val="005E502A"/>
    <w:rsid w:val="005E50C8"/>
    <w:rsid w:val="005E511F"/>
    <w:rsid w:val="005E5160"/>
    <w:rsid w:val="005E517F"/>
    <w:rsid w:val="005E51BA"/>
    <w:rsid w:val="005E51C2"/>
    <w:rsid w:val="005E5210"/>
    <w:rsid w:val="005E5266"/>
    <w:rsid w:val="005E52A3"/>
    <w:rsid w:val="005E52C8"/>
    <w:rsid w:val="005E5315"/>
    <w:rsid w:val="005E5345"/>
    <w:rsid w:val="005E5456"/>
    <w:rsid w:val="005E5491"/>
    <w:rsid w:val="005E5603"/>
    <w:rsid w:val="005E560D"/>
    <w:rsid w:val="005E5624"/>
    <w:rsid w:val="005E5845"/>
    <w:rsid w:val="005E5888"/>
    <w:rsid w:val="005E58EB"/>
    <w:rsid w:val="005E58F3"/>
    <w:rsid w:val="005E59A7"/>
    <w:rsid w:val="005E5A3D"/>
    <w:rsid w:val="005E5B78"/>
    <w:rsid w:val="005E5BC8"/>
    <w:rsid w:val="005E5C50"/>
    <w:rsid w:val="005E5CAE"/>
    <w:rsid w:val="005E5DD2"/>
    <w:rsid w:val="005E5EB5"/>
    <w:rsid w:val="005E5EC6"/>
    <w:rsid w:val="005E5F27"/>
    <w:rsid w:val="005E5F6A"/>
    <w:rsid w:val="005E6098"/>
    <w:rsid w:val="005E6249"/>
    <w:rsid w:val="005E625D"/>
    <w:rsid w:val="005E62BB"/>
    <w:rsid w:val="005E62DE"/>
    <w:rsid w:val="005E6307"/>
    <w:rsid w:val="005E63AB"/>
    <w:rsid w:val="005E65E6"/>
    <w:rsid w:val="005E66A3"/>
    <w:rsid w:val="005E66A5"/>
    <w:rsid w:val="005E6707"/>
    <w:rsid w:val="005E6788"/>
    <w:rsid w:val="005E680E"/>
    <w:rsid w:val="005E689F"/>
    <w:rsid w:val="005E68F4"/>
    <w:rsid w:val="005E6970"/>
    <w:rsid w:val="005E6984"/>
    <w:rsid w:val="005E69CD"/>
    <w:rsid w:val="005E6B47"/>
    <w:rsid w:val="005E6B90"/>
    <w:rsid w:val="005E6BCA"/>
    <w:rsid w:val="005E6CEB"/>
    <w:rsid w:val="005E6D2B"/>
    <w:rsid w:val="005E6D9B"/>
    <w:rsid w:val="005E6E32"/>
    <w:rsid w:val="005E6E59"/>
    <w:rsid w:val="005E6ECD"/>
    <w:rsid w:val="005E6EFC"/>
    <w:rsid w:val="005E6F1B"/>
    <w:rsid w:val="005E6FD2"/>
    <w:rsid w:val="005E704E"/>
    <w:rsid w:val="005E7078"/>
    <w:rsid w:val="005E7087"/>
    <w:rsid w:val="005E71BF"/>
    <w:rsid w:val="005E71F0"/>
    <w:rsid w:val="005E7227"/>
    <w:rsid w:val="005E746F"/>
    <w:rsid w:val="005E74EE"/>
    <w:rsid w:val="005E7541"/>
    <w:rsid w:val="005E76A2"/>
    <w:rsid w:val="005E76B2"/>
    <w:rsid w:val="005E76E5"/>
    <w:rsid w:val="005E7856"/>
    <w:rsid w:val="005E78AA"/>
    <w:rsid w:val="005E78BE"/>
    <w:rsid w:val="005E791C"/>
    <w:rsid w:val="005E7995"/>
    <w:rsid w:val="005E79B4"/>
    <w:rsid w:val="005E7BE3"/>
    <w:rsid w:val="005E7BE8"/>
    <w:rsid w:val="005E7C64"/>
    <w:rsid w:val="005E7C6D"/>
    <w:rsid w:val="005E7CA4"/>
    <w:rsid w:val="005E7DAA"/>
    <w:rsid w:val="005E7DAE"/>
    <w:rsid w:val="005E7E08"/>
    <w:rsid w:val="005E7F61"/>
    <w:rsid w:val="005E7F9E"/>
    <w:rsid w:val="005F0054"/>
    <w:rsid w:val="005F0285"/>
    <w:rsid w:val="005F0312"/>
    <w:rsid w:val="005F03C8"/>
    <w:rsid w:val="005F0403"/>
    <w:rsid w:val="005F0470"/>
    <w:rsid w:val="005F048B"/>
    <w:rsid w:val="005F0529"/>
    <w:rsid w:val="005F0555"/>
    <w:rsid w:val="005F068D"/>
    <w:rsid w:val="005F06A0"/>
    <w:rsid w:val="005F0761"/>
    <w:rsid w:val="005F0772"/>
    <w:rsid w:val="005F07AF"/>
    <w:rsid w:val="005F0915"/>
    <w:rsid w:val="005F0929"/>
    <w:rsid w:val="005F09B9"/>
    <w:rsid w:val="005F0A84"/>
    <w:rsid w:val="005F0A9D"/>
    <w:rsid w:val="005F0B0A"/>
    <w:rsid w:val="005F0B34"/>
    <w:rsid w:val="005F0B36"/>
    <w:rsid w:val="005F0B46"/>
    <w:rsid w:val="005F0BD0"/>
    <w:rsid w:val="005F0C3E"/>
    <w:rsid w:val="005F0D17"/>
    <w:rsid w:val="005F0D65"/>
    <w:rsid w:val="005F0D7E"/>
    <w:rsid w:val="005F0EB7"/>
    <w:rsid w:val="005F0EB9"/>
    <w:rsid w:val="005F0F08"/>
    <w:rsid w:val="005F0F19"/>
    <w:rsid w:val="005F0F46"/>
    <w:rsid w:val="005F1073"/>
    <w:rsid w:val="005F10DE"/>
    <w:rsid w:val="005F1105"/>
    <w:rsid w:val="005F1183"/>
    <w:rsid w:val="005F1214"/>
    <w:rsid w:val="005F1228"/>
    <w:rsid w:val="005F126E"/>
    <w:rsid w:val="005F12A2"/>
    <w:rsid w:val="005F130E"/>
    <w:rsid w:val="005F1375"/>
    <w:rsid w:val="005F144E"/>
    <w:rsid w:val="005F14C3"/>
    <w:rsid w:val="005F14D3"/>
    <w:rsid w:val="005F150B"/>
    <w:rsid w:val="005F1512"/>
    <w:rsid w:val="005F1568"/>
    <w:rsid w:val="005F158C"/>
    <w:rsid w:val="005F159C"/>
    <w:rsid w:val="005F15E8"/>
    <w:rsid w:val="005F163D"/>
    <w:rsid w:val="005F1692"/>
    <w:rsid w:val="005F16E2"/>
    <w:rsid w:val="005F1793"/>
    <w:rsid w:val="005F179D"/>
    <w:rsid w:val="005F17BC"/>
    <w:rsid w:val="005F17C3"/>
    <w:rsid w:val="005F1843"/>
    <w:rsid w:val="005F19B0"/>
    <w:rsid w:val="005F19D2"/>
    <w:rsid w:val="005F1A21"/>
    <w:rsid w:val="005F1B02"/>
    <w:rsid w:val="005F1B2E"/>
    <w:rsid w:val="005F1B3C"/>
    <w:rsid w:val="005F1BEC"/>
    <w:rsid w:val="005F1C53"/>
    <w:rsid w:val="005F1CAE"/>
    <w:rsid w:val="005F1D6F"/>
    <w:rsid w:val="005F1DA1"/>
    <w:rsid w:val="005F1E61"/>
    <w:rsid w:val="005F1ED1"/>
    <w:rsid w:val="005F1EF7"/>
    <w:rsid w:val="005F1F0B"/>
    <w:rsid w:val="005F1F30"/>
    <w:rsid w:val="005F1FB5"/>
    <w:rsid w:val="005F2066"/>
    <w:rsid w:val="005F21AD"/>
    <w:rsid w:val="005F21DE"/>
    <w:rsid w:val="005F2232"/>
    <w:rsid w:val="005F22D2"/>
    <w:rsid w:val="005F23A0"/>
    <w:rsid w:val="005F23A6"/>
    <w:rsid w:val="005F23B4"/>
    <w:rsid w:val="005F23D9"/>
    <w:rsid w:val="005F23E3"/>
    <w:rsid w:val="005F23E9"/>
    <w:rsid w:val="005F2428"/>
    <w:rsid w:val="005F24C8"/>
    <w:rsid w:val="005F24D6"/>
    <w:rsid w:val="005F2559"/>
    <w:rsid w:val="005F257F"/>
    <w:rsid w:val="005F25B1"/>
    <w:rsid w:val="005F2641"/>
    <w:rsid w:val="005F2698"/>
    <w:rsid w:val="005F26FC"/>
    <w:rsid w:val="005F2727"/>
    <w:rsid w:val="005F276C"/>
    <w:rsid w:val="005F282C"/>
    <w:rsid w:val="005F28C8"/>
    <w:rsid w:val="005F2906"/>
    <w:rsid w:val="005F2929"/>
    <w:rsid w:val="005F2B4C"/>
    <w:rsid w:val="005F2B54"/>
    <w:rsid w:val="005F2B63"/>
    <w:rsid w:val="005F2B67"/>
    <w:rsid w:val="005F2BD3"/>
    <w:rsid w:val="005F2BE1"/>
    <w:rsid w:val="005F2C46"/>
    <w:rsid w:val="005F2C69"/>
    <w:rsid w:val="005F2D96"/>
    <w:rsid w:val="005F2DD4"/>
    <w:rsid w:val="005F2DE0"/>
    <w:rsid w:val="005F2DEA"/>
    <w:rsid w:val="005F2E2E"/>
    <w:rsid w:val="005F2E4C"/>
    <w:rsid w:val="005F2E74"/>
    <w:rsid w:val="005F2E83"/>
    <w:rsid w:val="005F2EAD"/>
    <w:rsid w:val="005F2F0D"/>
    <w:rsid w:val="005F3124"/>
    <w:rsid w:val="005F3130"/>
    <w:rsid w:val="005F314B"/>
    <w:rsid w:val="005F31A8"/>
    <w:rsid w:val="005F3216"/>
    <w:rsid w:val="005F32AC"/>
    <w:rsid w:val="005F333D"/>
    <w:rsid w:val="005F3430"/>
    <w:rsid w:val="005F3452"/>
    <w:rsid w:val="005F34B0"/>
    <w:rsid w:val="005F34DC"/>
    <w:rsid w:val="005F352C"/>
    <w:rsid w:val="005F359A"/>
    <w:rsid w:val="005F359F"/>
    <w:rsid w:val="005F35D4"/>
    <w:rsid w:val="005F35F9"/>
    <w:rsid w:val="005F3629"/>
    <w:rsid w:val="005F36D4"/>
    <w:rsid w:val="005F36E9"/>
    <w:rsid w:val="005F374E"/>
    <w:rsid w:val="005F37B0"/>
    <w:rsid w:val="005F3833"/>
    <w:rsid w:val="005F38AC"/>
    <w:rsid w:val="005F391B"/>
    <w:rsid w:val="005F39B4"/>
    <w:rsid w:val="005F39DF"/>
    <w:rsid w:val="005F39FD"/>
    <w:rsid w:val="005F3A0E"/>
    <w:rsid w:val="005F3A25"/>
    <w:rsid w:val="005F3A48"/>
    <w:rsid w:val="005F3A69"/>
    <w:rsid w:val="005F3B2C"/>
    <w:rsid w:val="005F3B97"/>
    <w:rsid w:val="005F3BDC"/>
    <w:rsid w:val="005F3C3E"/>
    <w:rsid w:val="005F3C75"/>
    <w:rsid w:val="005F3D24"/>
    <w:rsid w:val="005F3D39"/>
    <w:rsid w:val="005F3D46"/>
    <w:rsid w:val="005F3E09"/>
    <w:rsid w:val="005F3E0F"/>
    <w:rsid w:val="005F3E3F"/>
    <w:rsid w:val="005F3E98"/>
    <w:rsid w:val="005F3F55"/>
    <w:rsid w:val="005F3FB7"/>
    <w:rsid w:val="005F404F"/>
    <w:rsid w:val="005F4077"/>
    <w:rsid w:val="005F4079"/>
    <w:rsid w:val="005F40B1"/>
    <w:rsid w:val="005F40E3"/>
    <w:rsid w:val="005F4139"/>
    <w:rsid w:val="005F413B"/>
    <w:rsid w:val="005F41AF"/>
    <w:rsid w:val="005F420D"/>
    <w:rsid w:val="005F428B"/>
    <w:rsid w:val="005F435A"/>
    <w:rsid w:val="005F4388"/>
    <w:rsid w:val="005F4429"/>
    <w:rsid w:val="005F4438"/>
    <w:rsid w:val="005F45C7"/>
    <w:rsid w:val="005F461B"/>
    <w:rsid w:val="005F46B3"/>
    <w:rsid w:val="005F4712"/>
    <w:rsid w:val="005F4721"/>
    <w:rsid w:val="005F47AE"/>
    <w:rsid w:val="005F481C"/>
    <w:rsid w:val="005F4857"/>
    <w:rsid w:val="005F4894"/>
    <w:rsid w:val="005F4909"/>
    <w:rsid w:val="005F4923"/>
    <w:rsid w:val="005F4929"/>
    <w:rsid w:val="005F4937"/>
    <w:rsid w:val="005F4977"/>
    <w:rsid w:val="005F497B"/>
    <w:rsid w:val="005F4990"/>
    <w:rsid w:val="005F49A7"/>
    <w:rsid w:val="005F49EA"/>
    <w:rsid w:val="005F4A48"/>
    <w:rsid w:val="005F4AEE"/>
    <w:rsid w:val="005F4B70"/>
    <w:rsid w:val="005F4C3A"/>
    <w:rsid w:val="005F4C4E"/>
    <w:rsid w:val="005F4CAD"/>
    <w:rsid w:val="005F4CF0"/>
    <w:rsid w:val="005F4D61"/>
    <w:rsid w:val="005F4DDD"/>
    <w:rsid w:val="005F4DE0"/>
    <w:rsid w:val="005F4DFE"/>
    <w:rsid w:val="005F4E4A"/>
    <w:rsid w:val="005F4E5A"/>
    <w:rsid w:val="005F4EC4"/>
    <w:rsid w:val="005F4EF4"/>
    <w:rsid w:val="005F4F6D"/>
    <w:rsid w:val="005F4FAE"/>
    <w:rsid w:val="005F4FD4"/>
    <w:rsid w:val="005F501D"/>
    <w:rsid w:val="005F50C9"/>
    <w:rsid w:val="005F514A"/>
    <w:rsid w:val="005F519D"/>
    <w:rsid w:val="005F51AB"/>
    <w:rsid w:val="005F51BF"/>
    <w:rsid w:val="005F530E"/>
    <w:rsid w:val="005F5336"/>
    <w:rsid w:val="005F5465"/>
    <w:rsid w:val="005F54AE"/>
    <w:rsid w:val="005F550B"/>
    <w:rsid w:val="005F55CB"/>
    <w:rsid w:val="005F5611"/>
    <w:rsid w:val="005F561B"/>
    <w:rsid w:val="005F565B"/>
    <w:rsid w:val="005F5670"/>
    <w:rsid w:val="005F56A1"/>
    <w:rsid w:val="005F56CA"/>
    <w:rsid w:val="005F57E0"/>
    <w:rsid w:val="005F5806"/>
    <w:rsid w:val="005F5829"/>
    <w:rsid w:val="005F5858"/>
    <w:rsid w:val="005F5899"/>
    <w:rsid w:val="005F5AA6"/>
    <w:rsid w:val="005F5AAE"/>
    <w:rsid w:val="005F5B1C"/>
    <w:rsid w:val="005F5B32"/>
    <w:rsid w:val="005F5B99"/>
    <w:rsid w:val="005F5CE3"/>
    <w:rsid w:val="005F5D38"/>
    <w:rsid w:val="005F5D7F"/>
    <w:rsid w:val="005F5E40"/>
    <w:rsid w:val="005F5E98"/>
    <w:rsid w:val="005F5E9F"/>
    <w:rsid w:val="005F5EE8"/>
    <w:rsid w:val="005F605C"/>
    <w:rsid w:val="005F60DA"/>
    <w:rsid w:val="005F6131"/>
    <w:rsid w:val="005F6236"/>
    <w:rsid w:val="005F6289"/>
    <w:rsid w:val="005F6302"/>
    <w:rsid w:val="005F6308"/>
    <w:rsid w:val="005F6371"/>
    <w:rsid w:val="005F6408"/>
    <w:rsid w:val="005F6421"/>
    <w:rsid w:val="005F66A5"/>
    <w:rsid w:val="005F66CA"/>
    <w:rsid w:val="005F6799"/>
    <w:rsid w:val="005F6891"/>
    <w:rsid w:val="005F69BE"/>
    <w:rsid w:val="005F6A19"/>
    <w:rsid w:val="005F6A8C"/>
    <w:rsid w:val="005F6A92"/>
    <w:rsid w:val="005F6AE2"/>
    <w:rsid w:val="005F6B05"/>
    <w:rsid w:val="005F6B6F"/>
    <w:rsid w:val="005F6C3C"/>
    <w:rsid w:val="005F6CA9"/>
    <w:rsid w:val="005F6DD2"/>
    <w:rsid w:val="005F6E2B"/>
    <w:rsid w:val="005F6E33"/>
    <w:rsid w:val="005F6E36"/>
    <w:rsid w:val="005F6E45"/>
    <w:rsid w:val="005F6EB5"/>
    <w:rsid w:val="005F6EBE"/>
    <w:rsid w:val="005F6EF9"/>
    <w:rsid w:val="005F6F0D"/>
    <w:rsid w:val="005F6F1E"/>
    <w:rsid w:val="005F6F79"/>
    <w:rsid w:val="005F7014"/>
    <w:rsid w:val="005F7052"/>
    <w:rsid w:val="005F7073"/>
    <w:rsid w:val="005F7109"/>
    <w:rsid w:val="005F710C"/>
    <w:rsid w:val="005F7116"/>
    <w:rsid w:val="005F713D"/>
    <w:rsid w:val="005F71F0"/>
    <w:rsid w:val="005F7256"/>
    <w:rsid w:val="005F730E"/>
    <w:rsid w:val="005F7321"/>
    <w:rsid w:val="005F7510"/>
    <w:rsid w:val="005F7520"/>
    <w:rsid w:val="005F7541"/>
    <w:rsid w:val="005F7614"/>
    <w:rsid w:val="005F776B"/>
    <w:rsid w:val="005F7775"/>
    <w:rsid w:val="005F77A1"/>
    <w:rsid w:val="005F78CA"/>
    <w:rsid w:val="005F78EE"/>
    <w:rsid w:val="005F7935"/>
    <w:rsid w:val="005F7967"/>
    <w:rsid w:val="005F7A38"/>
    <w:rsid w:val="005F7A3A"/>
    <w:rsid w:val="005F7CA5"/>
    <w:rsid w:val="005F7D6D"/>
    <w:rsid w:val="005F7D82"/>
    <w:rsid w:val="005F7EC3"/>
    <w:rsid w:val="005F7F28"/>
    <w:rsid w:val="005F7F45"/>
    <w:rsid w:val="006000BD"/>
    <w:rsid w:val="006000CB"/>
    <w:rsid w:val="006000E6"/>
    <w:rsid w:val="00600163"/>
    <w:rsid w:val="0060019C"/>
    <w:rsid w:val="0060023F"/>
    <w:rsid w:val="00600359"/>
    <w:rsid w:val="00600369"/>
    <w:rsid w:val="0060039F"/>
    <w:rsid w:val="006003D8"/>
    <w:rsid w:val="0060041C"/>
    <w:rsid w:val="0060048C"/>
    <w:rsid w:val="006004AA"/>
    <w:rsid w:val="006004C1"/>
    <w:rsid w:val="006004E6"/>
    <w:rsid w:val="006004F9"/>
    <w:rsid w:val="00600557"/>
    <w:rsid w:val="006005A9"/>
    <w:rsid w:val="006005E3"/>
    <w:rsid w:val="00600728"/>
    <w:rsid w:val="00600737"/>
    <w:rsid w:val="0060081E"/>
    <w:rsid w:val="00600828"/>
    <w:rsid w:val="0060089A"/>
    <w:rsid w:val="006008B3"/>
    <w:rsid w:val="0060092D"/>
    <w:rsid w:val="0060094F"/>
    <w:rsid w:val="006009F6"/>
    <w:rsid w:val="00600A45"/>
    <w:rsid w:val="00600AE8"/>
    <w:rsid w:val="00600AF5"/>
    <w:rsid w:val="00600B26"/>
    <w:rsid w:val="00600BF1"/>
    <w:rsid w:val="00600CA2"/>
    <w:rsid w:val="00600CE6"/>
    <w:rsid w:val="00600DC7"/>
    <w:rsid w:val="00600E68"/>
    <w:rsid w:val="00600E90"/>
    <w:rsid w:val="00600EC1"/>
    <w:rsid w:val="00600F05"/>
    <w:rsid w:val="00600FB8"/>
    <w:rsid w:val="00600FD1"/>
    <w:rsid w:val="00601057"/>
    <w:rsid w:val="006011D6"/>
    <w:rsid w:val="006011FD"/>
    <w:rsid w:val="0060135C"/>
    <w:rsid w:val="0060136A"/>
    <w:rsid w:val="00601373"/>
    <w:rsid w:val="0060140A"/>
    <w:rsid w:val="0060143A"/>
    <w:rsid w:val="0060148E"/>
    <w:rsid w:val="006014C6"/>
    <w:rsid w:val="00601505"/>
    <w:rsid w:val="006015B5"/>
    <w:rsid w:val="00601617"/>
    <w:rsid w:val="0060168F"/>
    <w:rsid w:val="0060173A"/>
    <w:rsid w:val="00601775"/>
    <w:rsid w:val="0060177F"/>
    <w:rsid w:val="00601791"/>
    <w:rsid w:val="006017C4"/>
    <w:rsid w:val="0060180A"/>
    <w:rsid w:val="00601849"/>
    <w:rsid w:val="00601894"/>
    <w:rsid w:val="0060193E"/>
    <w:rsid w:val="00601A7B"/>
    <w:rsid w:val="00601AE7"/>
    <w:rsid w:val="00601B88"/>
    <w:rsid w:val="00601C2D"/>
    <w:rsid w:val="00601C68"/>
    <w:rsid w:val="00601D9F"/>
    <w:rsid w:val="00601E52"/>
    <w:rsid w:val="00601EC6"/>
    <w:rsid w:val="00601FC3"/>
    <w:rsid w:val="00602019"/>
    <w:rsid w:val="0060205A"/>
    <w:rsid w:val="0060211A"/>
    <w:rsid w:val="0060216C"/>
    <w:rsid w:val="00602275"/>
    <w:rsid w:val="0060227C"/>
    <w:rsid w:val="006022C7"/>
    <w:rsid w:val="006023B7"/>
    <w:rsid w:val="006023E6"/>
    <w:rsid w:val="006023EF"/>
    <w:rsid w:val="006023FF"/>
    <w:rsid w:val="006024A9"/>
    <w:rsid w:val="0060261E"/>
    <w:rsid w:val="00602742"/>
    <w:rsid w:val="0060275C"/>
    <w:rsid w:val="0060276D"/>
    <w:rsid w:val="0060279A"/>
    <w:rsid w:val="0060285E"/>
    <w:rsid w:val="00602897"/>
    <w:rsid w:val="006028BF"/>
    <w:rsid w:val="00602936"/>
    <w:rsid w:val="00602979"/>
    <w:rsid w:val="006029C1"/>
    <w:rsid w:val="006029DB"/>
    <w:rsid w:val="00602AA4"/>
    <w:rsid w:val="00602B85"/>
    <w:rsid w:val="00602BD2"/>
    <w:rsid w:val="00602C67"/>
    <w:rsid w:val="00602CDC"/>
    <w:rsid w:val="00602D9C"/>
    <w:rsid w:val="00602DDD"/>
    <w:rsid w:val="00602DE6"/>
    <w:rsid w:val="00602F02"/>
    <w:rsid w:val="00602F2A"/>
    <w:rsid w:val="00602F55"/>
    <w:rsid w:val="00602F5D"/>
    <w:rsid w:val="00602FE2"/>
    <w:rsid w:val="006030DC"/>
    <w:rsid w:val="00603127"/>
    <w:rsid w:val="006031BB"/>
    <w:rsid w:val="006031D0"/>
    <w:rsid w:val="006031EA"/>
    <w:rsid w:val="006032C5"/>
    <w:rsid w:val="0060330D"/>
    <w:rsid w:val="00603337"/>
    <w:rsid w:val="00603390"/>
    <w:rsid w:val="00603417"/>
    <w:rsid w:val="006034C4"/>
    <w:rsid w:val="00603538"/>
    <w:rsid w:val="00603563"/>
    <w:rsid w:val="0060359E"/>
    <w:rsid w:val="006036A1"/>
    <w:rsid w:val="00603706"/>
    <w:rsid w:val="00603739"/>
    <w:rsid w:val="0060376C"/>
    <w:rsid w:val="00603844"/>
    <w:rsid w:val="006038B8"/>
    <w:rsid w:val="006038CA"/>
    <w:rsid w:val="0060398A"/>
    <w:rsid w:val="006039F6"/>
    <w:rsid w:val="00603A0A"/>
    <w:rsid w:val="00603A4C"/>
    <w:rsid w:val="00603B59"/>
    <w:rsid w:val="00603C88"/>
    <w:rsid w:val="00603C8C"/>
    <w:rsid w:val="00603D1B"/>
    <w:rsid w:val="00603D1E"/>
    <w:rsid w:val="00603DDB"/>
    <w:rsid w:val="00603DF7"/>
    <w:rsid w:val="00603E32"/>
    <w:rsid w:val="00603E3F"/>
    <w:rsid w:val="00603E7B"/>
    <w:rsid w:val="00603F2C"/>
    <w:rsid w:val="00603F6C"/>
    <w:rsid w:val="0060409B"/>
    <w:rsid w:val="00604108"/>
    <w:rsid w:val="006041BF"/>
    <w:rsid w:val="0060420E"/>
    <w:rsid w:val="00604226"/>
    <w:rsid w:val="00604308"/>
    <w:rsid w:val="00604331"/>
    <w:rsid w:val="00604351"/>
    <w:rsid w:val="00604367"/>
    <w:rsid w:val="0060438C"/>
    <w:rsid w:val="006043A8"/>
    <w:rsid w:val="006044C0"/>
    <w:rsid w:val="00604519"/>
    <w:rsid w:val="0060468C"/>
    <w:rsid w:val="006046FF"/>
    <w:rsid w:val="00604740"/>
    <w:rsid w:val="0060482A"/>
    <w:rsid w:val="0060493E"/>
    <w:rsid w:val="0060498A"/>
    <w:rsid w:val="0060498E"/>
    <w:rsid w:val="006049DD"/>
    <w:rsid w:val="00604A77"/>
    <w:rsid w:val="00604AA3"/>
    <w:rsid w:val="00604AA9"/>
    <w:rsid w:val="00604B76"/>
    <w:rsid w:val="00604BEF"/>
    <w:rsid w:val="00604CA0"/>
    <w:rsid w:val="00604CA1"/>
    <w:rsid w:val="00604CBE"/>
    <w:rsid w:val="00604DE0"/>
    <w:rsid w:val="00604DED"/>
    <w:rsid w:val="00604F50"/>
    <w:rsid w:val="00604F68"/>
    <w:rsid w:val="00604F79"/>
    <w:rsid w:val="0060500E"/>
    <w:rsid w:val="006050B9"/>
    <w:rsid w:val="006050C1"/>
    <w:rsid w:val="006051CF"/>
    <w:rsid w:val="00605205"/>
    <w:rsid w:val="0060528A"/>
    <w:rsid w:val="00605313"/>
    <w:rsid w:val="00605391"/>
    <w:rsid w:val="006053CB"/>
    <w:rsid w:val="006054B6"/>
    <w:rsid w:val="00605508"/>
    <w:rsid w:val="006056EA"/>
    <w:rsid w:val="00605758"/>
    <w:rsid w:val="0060576E"/>
    <w:rsid w:val="00605772"/>
    <w:rsid w:val="0060578B"/>
    <w:rsid w:val="00605819"/>
    <w:rsid w:val="0060586A"/>
    <w:rsid w:val="0060589C"/>
    <w:rsid w:val="00605905"/>
    <w:rsid w:val="00605C1A"/>
    <w:rsid w:val="00605C34"/>
    <w:rsid w:val="00605C51"/>
    <w:rsid w:val="00605D2F"/>
    <w:rsid w:val="00605D88"/>
    <w:rsid w:val="00605DA2"/>
    <w:rsid w:val="00605DB2"/>
    <w:rsid w:val="00605DC7"/>
    <w:rsid w:val="00605EA7"/>
    <w:rsid w:val="00605ECF"/>
    <w:rsid w:val="00605F75"/>
    <w:rsid w:val="00605FBA"/>
    <w:rsid w:val="00606027"/>
    <w:rsid w:val="006060CA"/>
    <w:rsid w:val="006061B8"/>
    <w:rsid w:val="006062F4"/>
    <w:rsid w:val="006062F5"/>
    <w:rsid w:val="0060630C"/>
    <w:rsid w:val="006063A0"/>
    <w:rsid w:val="006063DD"/>
    <w:rsid w:val="0060641B"/>
    <w:rsid w:val="006064AF"/>
    <w:rsid w:val="006065C0"/>
    <w:rsid w:val="00606704"/>
    <w:rsid w:val="00606709"/>
    <w:rsid w:val="00606790"/>
    <w:rsid w:val="0060681F"/>
    <w:rsid w:val="006068A9"/>
    <w:rsid w:val="0060696F"/>
    <w:rsid w:val="00606A07"/>
    <w:rsid w:val="00606AE7"/>
    <w:rsid w:val="00606B65"/>
    <w:rsid w:val="00606C1E"/>
    <w:rsid w:val="00606C96"/>
    <w:rsid w:val="00606CB1"/>
    <w:rsid w:val="00606CD9"/>
    <w:rsid w:val="00606CE4"/>
    <w:rsid w:val="00606D0C"/>
    <w:rsid w:val="00606D22"/>
    <w:rsid w:val="00606D97"/>
    <w:rsid w:val="00606E0B"/>
    <w:rsid w:val="00606E1C"/>
    <w:rsid w:val="00606EBA"/>
    <w:rsid w:val="00606F14"/>
    <w:rsid w:val="00606F52"/>
    <w:rsid w:val="00606F6F"/>
    <w:rsid w:val="0060705E"/>
    <w:rsid w:val="00607083"/>
    <w:rsid w:val="006071B7"/>
    <w:rsid w:val="006071DA"/>
    <w:rsid w:val="0060721D"/>
    <w:rsid w:val="00607252"/>
    <w:rsid w:val="00607278"/>
    <w:rsid w:val="006072FD"/>
    <w:rsid w:val="00607352"/>
    <w:rsid w:val="006073A3"/>
    <w:rsid w:val="00607403"/>
    <w:rsid w:val="0060740C"/>
    <w:rsid w:val="00607499"/>
    <w:rsid w:val="0060749A"/>
    <w:rsid w:val="006074D4"/>
    <w:rsid w:val="006074E8"/>
    <w:rsid w:val="0060764D"/>
    <w:rsid w:val="00607721"/>
    <w:rsid w:val="0060774E"/>
    <w:rsid w:val="006077A3"/>
    <w:rsid w:val="0060781B"/>
    <w:rsid w:val="0060783A"/>
    <w:rsid w:val="006078B3"/>
    <w:rsid w:val="00607921"/>
    <w:rsid w:val="0060799E"/>
    <w:rsid w:val="006079C5"/>
    <w:rsid w:val="006079DC"/>
    <w:rsid w:val="00607A0F"/>
    <w:rsid w:val="00607B3F"/>
    <w:rsid w:val="00607B75"/>
    <w:rsid w:val="00607BF8"/>
    <w:rsid w:val="00607CF4"/>
    <w:rsid w:val="00607D06"/>
    <w:rsid w:val="00607D76"/>
    <w:rsid w:val="00607F06"/>
    <w:rsid w:val="00607F24"/>
    <w:rsid w:val="00607F4F"/>
    <w:rsid w:val="00607F8D"/>
    <w:rsid w:val="00607FC4"/>
    <w:rsid w:val="00610040"/>
    <w:rsid w:val="0061007C"/>
    <w:rsid w:val="00610083"/>
    <w:rsid w:val="0061017D"/>
    <w:rsid w:val="006101A3"/>
    <w:rsid w:val="006101AA"/>
    <w:rsid w:val="006101B6"/>
    <w:rsid w:val="006101DA"/>
    <w:rsid w:val="00610231"/>
    <w:rsid w:val="00610260"/>
    <w:rsid w:val="00610292"/>
    <w:rsid w:val="006102A7"/>
    <w:rsid w:val="006102BC"/>
    <w:rsid w:val="0061034E"/>
    <w:rsid w:val="00610378"/>
    <w:rsid w:val="006103D7"/>
    <w:rsid w:val="00610456"/>
    <w:rsid w:val="00610476"/>
    <w:rsid w:val="00610530"/>
    <w:rsid w:val="00610624"/>
    <w:rsid w:val="006106A2"/>
    <w:rsid w:val="00610771"/>
    <w:rsid w:val="00610772"/>
    <w:rsid w:val="006107AD"/>
    <w:rsid w:val="006107D3"/>
    <w:rsid w:val="0061085E"/>
    <w:rsid w:val="00610896"/>
    <w:rsid w:val="006108AE"/>
    <w:rsid w:val="006108C6"/>
    <w:rsid w:val="0061093F"/>
    <w:rsid w:val="00610944"/>
    <w:rsid w:val="00610957"/>
    <w:rsid w:val="0061097A"/>
    <w:rsid w:val="0061097F"/>
    <w:rsid w:val="00610A0B"/>
    <w:rsid w:val="00610A34"/>
    <w:rsid w:val="00610BA9"/>
    <w:rsid w:val="00610BB1"/>
    <w:rsid w:val="00610C7D"/>
    <w:rsid w:val="00610CFA"/>
    <w:rsid w:val="00610E09"/>
    <w:rsid w:val="00610E5F"/>
    <w:rsid w:val="00610E9A"/>
    <w:rsid w:val="00610EBC"/>
    <w:rsid w:val="00610F25"/>
    <w:rsid w:val="00610F54"/>
    <w:rsid w:val="00610FBE"/>
    <w:rsid w:val="00610FF7"/>
    <w:rsid w:val="00611021"/>
    <w:rsid w:val="0061105E"/>
    <w:rsid w:val="0061109B"/>
    <w:rsid w:val="006110FE"/>
    <w:rsid w:val="00611229"/>
    <w:rsid w:val="00611265"/>
    <w:rsid w:val="00611438"/>
    <w:rsid w:val="00611515"/>
    <w:rsid w:val="00611665"/>
    <w:rsid w:val="006116C0"/>
    <w:rsid w:val="006116CF"/>
    <w:rsid w:val="0061179B"/>
    <w:rsid w:val="006117B8"/>
    <w:rsid w:val="006117C7"/>
    <w:rsid w:val="00611867"/>
    <w:rsid w:val="0061194E"/>
    <w:rsid w:val="0061195C"/>
    <w:rsid w:val="00611988"/>
    <w:rsid w:val="00611AA2"/>
    <w:rsid w:val="00611AE4"/>
    <w:rsid w:val="00611AF3"/>
    <w:rsid w:val="00611B54"/>
    <w:rsid w:val="00611BC0"/>
    <w:rsid w:val="00611D6B"/>
    <w:rsid w:val="00611D76"/>
    <w:rsid w:val="00611D85"/>
    <w:rsid w:val="00611D86"/>
    <w:rsid w:val="00611DB8"/>
    <w:rsid w:val="00611DFA"/>
    <w:rsid w:val="00611EBD"/>
    <w:rsid w:val="00611ED0"/>
    <w:rsid w:val="00611EF3"/>
    <w:rsid w:val="00611F2B"/>
    <w:rsid w:val="00612041"/>
    <w:rsid w:val="0061206B"/>
    <w:rsid w:val="006120A3"/>
    <w:rsid w:val="006120E6"/>
    <w:rsid w:val="00612159"/>
    <w:rsid w:val="0061216A"/>
    <w:rsid w:val="0061218D"/>
    <w:rsid w:val="006121BB"/>
    <w:rsid w:val="006121C7"/>
    <w:rsid w:val="00612212"/>
    <w:rsid w:val="0061225E"/>
    <w:rsid w:val="006122E9"/>
    <w:rsid w:val="00612361"/>
    <w:rsid w:val="0061236C"/>
    <w:rsid w:val="006123D2"/>
    <w:rsid w:val="006123F1"/>
    <w:rsid w:val="0061246C"/>
    <w:rsid w:val="0061250D"/>
    <w:rsid w:val="00612522"/>
    <w:rsid w:val="00612523"/>
    <w:rsid w:val="00612554"/>
    <w:rsid w:val="0061258B"/>
    <w:rsid w:val="006125F9"/>
    <w:rsid w:val="00612618"/>
    <w:rsid w:val="0061264B"/>
    <w:rsid w:val="00612653"/>
    <w:rsid w:val="006126B1"/>
    <w:rsid w:val="0061270A"/>
    <w:rsid w:val="006127D1"/>
    <w:rsid w:val="00612820"/>
    <w:rsid w:val="006128F2"/>
    <w:rsid w:val="00612A12"/>
    <w:rsid w:val="00612A2C"/>
    <w:rsid w:val="00612A5C"/>
    <w:rsid w:val="00612B24"/>
    <w:rsid w:val="00612B51"/>
    <w:rsid w:val="00612B8A"/>
    <w:rsid w:val="00612C8E"/>
    <w:rsid w:val="00612CEB"/>
    <w:rsid w:val="00612D0B"/>
    <w:rsid w:val="00612E51"/>
    <w:rsid w:val="00612EA7"/>
    <w:rsid w:val="00612EE0"/>
    <w:rsid w:val="00612EEE"/>
    <w:rsid w:val="00612F4D"/>
    <w:rsid w:val="00613029"/>
    <w:rsid w:val="006130E5"/>
    <w:rsid w:val="00613170"/>
    <w:rsid w:val="0061318B"/>
    <w:rsid w:val="0061318F"/>
    <w:rsid w:val="0061326A"/>
    <w:rsid w:val="006132EF"/>
    <w:rsid w:val="0061337A"/>
    <w:rsid w:val="006133EC"/>
    <w:rsid w:val="0061340F"/>
    <w:rsid w:val="0061341D"/>
    <w:rsid w:val="00613438"/>
    <w:rsid w:val="00613488"/>
    <w:rsid w:val="006134A1"/>
    <w:rsid w:val="006134A6"/>
    <w:rsid w:val="006134F3"/>
    <w:rsid w:val="00613572"/>
    <w:rsid w:val="00613580"/>
    <w:rsid w:val="00613696"/>
    <w:rsid w:val="006136B2"/>
    <w:rsid w:val="006136BE"/>
    <w:rsid w:val="00613740"/>
    <w:rsid w:val="0061378D"/>
    <w:rsid w:val="00613836"/>
    <w:rsid w:val="00613882"/>
    <w:rsid w:val="00613895"/>
    <w:rsid w:val="00613912"/>
    <w:rsid w:val="00613928"/>
    <w:rsid w:val="00613967"/>
    <w:rsid w:val="00613973"/>
    <w:rsid w:val="006139AD"/>
    <w:rsid w:val="006139B3"/>
    <w:rsid w:val="006139B6"/>
    <w:rsid w:val="00613A13"/>
    <w:rsid w:val="00613AB8"/>
    <w:rsid w:val="00613AD5"/>
    <w:rsid w:val="00613B6B"/>
    <w:rsid w:val="00613B85"/>
    <w:rsid w:val="00613BE5"/>
    <w:rsid w:val="00613C17"/>
    <w:rsid w:val="00613C23"/>
    <w:rsid w:val="00613D36"/>
    <w:rsid w:val="00613E10"/>
    <w:rsid w:val="00613E2E"/>
    <w:rsid w:val="00613E5F"/>
    <w:rsid w:val="00613ED2"/>
    <w:rsid w:val="00613EFC"/>
    <w:rsid w:val="00613F48"/>
    <w:rsid w:val="00613FCB"/>
    <w:rsid w:val="00614039"/>
    <w:rsid w:val="00614237"/>
    <w:rsid w:val="00614272"/>
    <w:rsid w:val="00614340"/>
    <w:rsid w:val="0061446B"/>
    <w:rsid w:val="0061463E"/>
    <w:rsid w:val="0061464C"/>
    <w:rsid w:val="00614656"/>
    <w:rsid w:val="00614699"/>
    <w:rsid w:val="006146C4"/>
    <w:rsid w:val="0061478D"/>
    <w:rsid w:val="006147CA"/>
    <w:rsid w:val="006147DF"/>
    <w:rsid w:val="006147E0"/>
    <w:rsid w:val="006147E1"/>
    <w:rsid w:val="006148ED"/>
    <w:rsid w:val="006149C6"/>
    <w:rsid w:val="00614A3D"/>
    <w:rsid w:val="00614A44"/>
    <w:rsid w:val="00614A7D"/>
    <w:rsid w:val="00614A9D"/>
    <w:rsid w:val="00614ACC"/>
    <w:rsid w:val="00614B69"/>
    <w:rsid w:val="00614C37"/>
    <w:rsid w:val="00614C96"/>
    <w:rsid w:val="00614CEF"/>
    <w:rsid w:val="00614D44"/>
    <w:rsid w:val="00614DC1"/>
    <w:rsid w:val="00614DD6"/>
    <w:rsid w:val="00614E14"/>
    <w:rsid w:val="00614EF8"/>
    <w:rsid w:val="00614EFF"/>
    <w:rsid w:val="00614FDF"/>
    <w:rsid w:val="00614FE3"/>
    <w:rsid w:val="00615003"/>
    <w:rsid w:val="0061500A"/>
    <w:rsid w:val="006150A1"/>
    <w:rsid w:val="00615119"/>
    <w:rsid w:val="006151EE"/>
    <w:rsid w:val="006152A9"/>
    <w:rsid w:val="006153B0"/>
    <w:rsid w:val="006153F6"/>
    <w:rsid w:val="0061540F"/>
    <w:rsid w:val="00615422"/>
    <w:rsid w:val="0061543F"/>
    <w:rsid w:val="00615582"/>
    <w:rsid w:val="00615642"/>
    <w:rsid w:val="00615674"/>
    <w:rsid w:val="00615678"/>
    <w:rsid w:val="006156CF"/>
    <w:rsid w:val="006156E7"/>
    <w:rsid w:val="0061570B"/>
    <w:rsid w:val="0061573D"/>
    <w:rsid w:val="0061573E"/>
    <w:rsid w:val="00615774"/>
    <w:rsid w:val="006157AA"/>
    <w:rsid w:val="0061585D"/>
    <w:rsid w:val="00615861"/>
    <w:rsid w:val="006158A9"/>
    <w:rsid w:val="006158B9"/>
    <w:rsid w:val="006158C8"/>
    <w:rsid w:val="0061595D"/>
    <w:rsid w:val="00615A08"/>
    <w:rsid w:val="00615A3D"/>
    <w:rsid w:val="00615A40"/>
    <w:rsid w:val="00615A99"/>
    <w:rsid w:val="00615B11"/>
    <w:rsid w:val="00615C33"/>
    <w:rsid w:val="00615C66"/>
    <w:rsid w:val="00615C6B"/>
    <w:rsid w:val="00615D72"/>
    <w:rsid w:val="00615DDB"/>
    <w:rsid w:val="00615E08"/>
    <w:rsid w:val="00615E17"/>
    <w:rsid w:val="00615E82"/>
    <w:rsid w:val="00615E8C"/>
    <w:rsid w:val="00615E9F"/>
    <w:rsid w:val="00615EBC"/>
    <w:rsid w:val="00615EE3"/>
    <w:rsid w:val="00615F56"/>
    <w:rsid w:val="00615F84"/>
    <w:rsid w:val="00615FB7"/>
    <w:rsid w:val="00615FDA"/>
    <w:rsid w:val="00616035"/>
    <w:rsid w:val="00616057"/>
    <w:rsid w:val="0061615E"/>
    <w:rsid w:val="00616162"/>
    <w:rsid w:val="0061622A"/>
    <w:rsid w:val="006162CE"/>
    <w:rsid w:val="006162E8"/>
    <w:rsid w:val="00616335"/>
    <w:rsid w:val="00616363"/>
    <w:rsid w:val="006163A5"/>
    <w:rsid w:val="0061642B"/>
    <w:rsid w:val="00616435"/>
    <w:rsid w:val="00616438"/>
    <w:rsid w:val="00616497"/>
    <w:rsid w:val="00616563"/>
    <w:rsid w:val="006165A0"/>
    <w:rsid w:val="00616622"/>
    <w:rsid w:val="0061662B"/>
    <w:rsid w:val="00616655"/>
    <w:rsid w:val="00616697"/>
    <w:rsid w:val="006166AB"/>
    <w:rsid w:val="006166AF"/>
    <w:rsid w:val="00616744"/>
    <w:rsid w:val="006167D0"/>
    <w:rsid w:val="006167FD"/>
    <w:rsid w:val="0061685E"/>
    <w:rsid w:val="00616883"/>
    <w:rsid w:val="006168D3"/>
    <w:rsid w:val="0061696E"/>
    <w:rsid w:val="0061698F"/>
    <w:rsid w:val="006169B0"/>
    <w:rsid w:val="006169D8"/>
    <w:rsid w:val="00616A8C"/>
    <w:rsid w:val="00616B2F"/>
    <w:rsid w:val="00616C75"/>
    <w:rsid w:val="00616CC5"/>
    <w:rsid w:val="00616CFA"/>
    <w:rsid w:val="00616DF1"/>
    <w:rsid w:val="00616E06"/>
    <w:rsid w:val="00616E26"/>
    <w:rsid w:val="00616EA4"/>
    <w:rsid w:val="00616EA7"/>
    <w:rsid w:val="00616F34"/>
    <w:rsid w:val="00616F4C"/>
    <w:rsid w:val="0061709F"/>
    <w:rsid w:val="00617148"/>
    <w:rsid w:val="006171CB"/>
    <w:rsid w:val="006171D0"/>
    <w:rsid w:val="006171E0"/>
    <w:rsid w:val="00617251"/>
    <w:rsid w:val="0061727D"/>
    <w:rsid w:val="00617337"/>
    <w:rsid w:val="00617413"/>
    <w:rsid w:val="00617432"/>
    <w:rsid w:val="00617587"/>
    <w:rsid w:val="006175AF"/>
    <w:rsid w:val="00617649"/>
    <w:rsid w:val="006176AE"/>
    <w:rsid w:val="0061774B"/>
    <w:rsid w:val="006177B2"/>
    <w:rsid w:val="006177ED"/>
    <w:rsid w:val="00617A05"/>
    <w:rsid w:val="00617AAC"/>
    <w:rsid w:val="00617B71"/>
    <w:rsid w:val="00617B80"/>
    <w:rsid w:val="00617C0D"/>
    <w:rsid w:val="00617C10"/>
    <w:rsid w:val="00617C35"/>
    <w:rsid w:val="00617C3B"/>
    <w:rsid w:val="00617C45"/>
    <w:rsid w:val="00617CCB"/>
    <w:rsid w:val="00617D3C"/>
    <w:rsid w:val="00617D69"/>
    <w:rsid w:val="00617DD4"/>
    <w:rsid w:val="00617E05"/>
    <w:rsid w:val="00617E09"/>
    <w:rsid w:val="00617E3F"/>
    <w:rsid w:val="00617E97"/>
    <w:rsid w:val="00617EF6"/>
    <w:rsid w:val="00617F18"/>
    <w:rsid w:val="00617FEC"/>
    <w:rsid w:val="0062000D"/>
    <w:rsid w:val="00620019"/>
    <w:rsid w:val="0062006B"/>
    <w:rsid w:val="00620084"/>
    <w:rsid w:val="0062012D"/>
    <w:rsid w:val="00620138"/>
    <w:rsid w:val="00620177"/>
    <w:rsid w:val="006201FA"/>
    <w:rsid w:val="006201FC"/>
    <w:rsid w:val="006202F0"/>
    <w:rsid w:val="00620346"/>
    <w:rsid w:val="00620414"/>
    <w:rsid w:val="00620511"/>
    <w:rsid w:val="00620559"/>
    <w:rsid w:val="00620583"/>
    <w:rsid w:val="0062059C"/>
    <w:rsid w:val="006205CF"/>
    <w:rsid w:val="00620657"/>
    <w:rsid w:val="00620682"/>
    <w:rsid w:val="006206F9"/>
    <w:rsid w:val="00620724"/>
    <w:rsid w:val="0062073B"/>
    <w:rsid w:val="00620755"/>
    <w:rsid w:val="0062075B"/>
    <w:rsid w:val="00620867"/>
    <w:rsid w:val="0062097B"/>
    <w:rsid w:val="00620A95"/>
    <w:rsid w:val="00620B57"/>
    <w:rsid w:val="00620B6C"/>
    <w:rsid w:val="00620D0D"/>
    <w:rsid w:val="00620D97"/>
    <w:rsid w:val="00620DA7"/>
    <w:rsid w:val="00620DBB"/>
    <w:rsid w:val="00620DD9"/>
    <w:rsid w:val="00620EE3"/>
    <w:rsid w:val="00620FAA"/>
    <w:rsid w:val="00621087"/>
    <w:rsid w:val="00621135"/>
    <w:rsid w:val="00621186"/>
    <w:rsid w:val="00621197"/>
    <w:rsid w:val="006211A0"/>
    <w:rsid w:val="00621295"/>
    <w:rsid w:val="006212B1"/>
    <w:rsid w:val="00621450"/>
    <w:rsid w:val="006214EF"/>
    <w:rsid w:val="006215A9"/>
    <w:rsid w:val="006215DC"/>
    <w:rsid w:val="00621665"/>
    <w:rsid w:val="00621705"/>
    <w:rsid w:val="006217AA"/>
    <w:rsid w:val="006217D0"/>
    <w:rsid w:val="006218AE"/>
    <w:rsid w:val="006218F8"/>
    <w:rsid w:val="00621912"/>
    <w:rsid w:val="00621959"/>
    <w:rsid w:val="00621987"/>
    <w:rsid w:val="00621A12"/>
    <w:rsid w:val="00621A1B"/>
    <w:rsid w:val="00621A6F"/>
    <w:rsid w:val="00621AC7"/>
    <w:rsid w:val="00621C01"/>
    <w:rsid w:val="00621C51"/>
    <w:rsid w:val="00621C70"/>
    <w:rsid w:val="00621D6F"/>
    <w:rsid w:val="00621D8A"/>
    <w:rsid w:val="00621DA9"/>
    <w:rsid w:val="00622039"/>
    <w:rsid w:val="006221AA"/>
    <w:rsid w:val="00622237"/>
    <w:rsid w:val="00622249"/>
    <w:rsid w:val="00622296"/>
    <w:rsid w:val="006222A7"/>
    <w:rsid w:val="006222D4"/>
    <w:rsid w:val="0062230E"/>
    <w:rsid w:val="00622377"/>
    <w:rsid w:val="00622382"/>
    <w:rsid w:val="006223EC"/>
    <w:rsid w:val="00622449"/>
    <w:rsid w:val="0062247D"/>
    <w:rsid w:val="00622482"/>
    <w:rsid w:val="006224D9"/>
    <w:rsid w:val="00622535"/>
    <w:rsid w:val="00622590"/>
    <w:rsid w:val="00622608"/>
    <w:rsid w:val="0062260C"/>
    <w:rsid w:val="00622645"/>
    <w:rsid w:val="006227C3"/>
    <w:rsid w:val="006227C8"/>
    <w:rsid w:val="0062283F"/>
    <w:rsid w:val="00622937"/>
    <w:rsid w:val="006229BF"/>
    <w:rsid w:val="00622A67"/>
    <w:rsid w:val="00622AC0"/>
    <w:rsid w:val="00622AF2"/>
    <w:rsid w:val="00622AF8"/>
    <w:rsid w:val="00622B21"/>
    <w:rsid w:val="00622B53"/>
    <w:rsid w:val="00622B66"/>
    <w:rsid w:val="00622BA7"/>
    <w:rsid w:val="00622C04"/>
    <w:rsid w:val="00622C1F"/>
    <w:rsid w:val="00622C3D"/>
    <w:rsid w:val="00622C5C"/>
    <w:rsid w:val="00622C78"/>
    <w:rsid w:val="00622CE2"/>
    <w:rsid w:val="00622D73"/>
    <w:rsid w:val="00622D91"/>
    <w:rsid w:val="00622EE9"/>
    <w:rsid w:val="00622F7F"/>
    <w:rsid w:val="00622FE9"/>
    <w:rsid w:val="00623019"/>
    <w:rsid w:val="00623097"/>
    <w:rsid w:val="0062310E"/>
    <w:rsid w:val="006231C2"/>
    <w:rsid w:val="006231DA"/>
    <w:rsid w:val="00623284"/>
    <w:rsid w:val="00623304"/>
    <w:rsid w:val="00623335"/>
    <w:rsid w:val="00623470"/>
    <w:rsid w:val="00623573"/>
    <w:rsid w:val="00623581"/>
    <w:rsid w:val="0062358B"/>
    <w:rsid w:val="006235EF"/>
    <w:rsid w:val="00623640"/>
    <w:rsid w:val="006236F0"/>
    <w:rsid w:val="00623801"/>
    <w:rsid w:val="00623808"/>
    <w:rsid w:val="006238C2"/>
    <w:rsid w:val="00623914"/>
    <w:rsid w:val="00623951"/>
    <w:rsid w:val="00623AD2"/>
    <w:rsid w:val="00623C0F"/>
    <w:rsid w:val="00623C9D"/>
    <w:rsid w:val="00623CD4"/>
    <w:rsid w:val="00623D40"/>
    <w:rsid w:val="00623DB2"/>
    <w:rsid w:val="00623E25"/>
    <w:rsid w:val="00623E70"/>
    <w:rsid w:val="00623EEC"/>
    <w:rsid w:val="00623F13"/>
    <w:rsid w:val="00623F3B"/>
    <w:rsid w:val="0062417E"/>
    <w:rsid w:val="006241E0"/>
    <w:rsid w:val="00624218"/>
    <w:rsid w:val="0062422D"/>
    <w:rsid w:val="006242B0"/>
    <w:rsid w:val="00624315"/>
    <w:rsid w:val="00624350"/>
    <w:rsid w:val="006244EB"/>
    <w:rsid w:val="00624540"/>
    <w:rsid w:val="00624544"/>
    <w:rsid w:val="006245E7"/>
    <w:rsid w:val="00624692"/>
    <w:rsid w:val="006246AC"/>
    <w:rsid w:val="006246FE"/>
    <w:rsid w:val="00624769"/>
    <w:rsid w:val="00624791"/>
    <w:rsid w:val="006247AD"/>
    <w:rsid w:val="00624823"/>
    <w:rsid w:val="00624868"/>
    <w:rsid w:val="0062498A"/>
    <w:rsid w:val="006249AB"/>
    <w:rsid w:val="006249AD"/>
    <w:rsid w:val="006249CD"/>
    <w:rsid w:val="00624A3B"/>
    <w:rsid w:val="00624A4A"/>
    <w:rsid w:val="00624A56"/>
    <w:rsid w:val="00624B8C"/>
    <w:rsid w:val="00624D20"/>
    <w:rsid w:val="00624D3E"/>
    <w:rsid w:val="00624D76"/>
    <w:rsid w:val="00624E1A"/>
    <w:rsid w:val="00624E1E"/>
    <w:rsid w:val="00624EB3"/>
    <w:rsid w:val="00624EDD"/>
    <w:rsid w:val="00624F27"/>
    <w:rsid w:val="00624FF0"/>
    <w:rsid w:val="00625074"/>
    <w:rsid w:val="00625099"/>
    <w:rsid w:val="00625140"/>
    <w:rsid w:val="0062514F"/>
    <w:rsid w:val="006251AB"/>
    <w:rsid w:val="006251B1"/>
    <w:rsid w:val="006251C0"/>
    <w:rsid w:val="006251EF"/>
    <w:rsid w:val="00625209"/>
    <w:rsid w:val="0062531E"/>
    <w:rsid w:val="0062539B"/>
    <w:rsid w:val="006253C8"/>
    <w:rsid w:val="00625443"/>
    <w:rsid w:val="006255B6"/>
    <w:rsid w:val="00625761"/>
    <w:rsid w:val="006257CF"/>
    <w:rsid w:val="006257FD"/>
    <w:rsid w:val="00625867"/>
    <w:rsid w:val="00625907"/>
    <w:rsid w:val="0062592A"/>
    <w:rsid w:val="00625976"/>
    <w:rsid w:val="00625989"/>
    <w:rsid w:val="006259CA"/>
    <w:rsid w:val="00625A2A"/>
    <w:rsid w:val="00625A80"/>
    <w:rsid w:val="00625A88"/>
    <w:rsid w:val="00625A89"/>
    <w:rsid w:val="00625AB2"/>
    <w:rsid w:val="00625AF5"/>
    <w:rsid w:val="00625B07"/>
    <w:rsid w:val="00625B3A"/>
    <w:rsid w:val="00625B4C"/>
    <w:rsid w:val="00625BD4"/>
    <w:rsid w:val="00625CA1"/>
    <w:rsid w:val="00625CED"/>
    <w:rsid w:val="00625CFE"/>
    <w:rsid w:val="00625E8D"/>
    <w:rsid w:val="00625ED7"/>
    <w:rsid w:val="00625F04"/>
    <w:rsid w:val="00625F96"/>
    <w:rsid w:val="0062602F"/>
    <w:rsid w:val="00626077"/>
    <w:rsid w:val="006260C7"/>
    <w:rsid w:val="0062612E"/>
    <w:rsid w:val="0062613D"/>
    <w:rsid w:val="006261AF"/>
    <w:rsid w:val="006261D3"/>
    <w:rsid w:val="006261E4"/>
    <w:rsid w:val="006261EF"/>
    <w:rsid w:val="006263AB"/>
    <w:rsid w:val="006263E9"/>
    <w:rsid w:val="0062645C"/>
    <w:rsid w:val="0062647C"/>
    <w:rsid w:val="006264C6"/>
    <w:rsid w:val="00626599"/>
    <w:rsid w:val="006265E2"/>
    <w:rsid w:val="00626606"/>
    <w:rsid w:val="00626622"/>
    <w:rsid w:val="006266CA"/>
    <w:rsid w:val="006267BA"/>
    <w:rsid w:val="00626858"/>
    <w:rsid w:val="006268BF"/>
    <w:rsid w:val="00626962"/>
    <w:rsid w:val="0062698D"/>
    <w:rsid w:val="006269E2"/>
    <w:rsid w:val="00626A0F"/>
    <w:rsid w:val="00626A12"/>
    <w:rsid w:val="00626A21"/>
    <w:rsid w:val="00626B6F"/>
    <w:rsid w:val="00626BFD"/>
    <w:rsid w:val="00626C3E"/>
    <w:rsid w:val="00626C83"/>
    <w:rsid w:val="00626CC5"/>
    <w:rsid w:val="00626CC7"/>
    <w:rsid w:val="00626DBB"/>
    <w:rsid w:val="00626E33"/>
    <w:rsid w:val="00626E50"/>
    <w:rsid w:val="00626F3B"/>
    <w:rsid w:val="00626F85"/>
    <w:rsid w:val="0062702F"/>
    <w:rsid w:val="00627122"/>
    <w:rsid w:val="00627138"/>
    <w:rsid w:val="006271CC"/>
    <w:rsid w:val="00627253"/>
    <w:rsid w:val="0062734B"/>
    <w:rsid w:val="0062735D"/>
    <w:rsid w:val="006273F4"/>
    <w:rsid w:val="0062757B"/>
    <w:rsid w:val="006275ED"/>
    <w:rsid w:val="0062765A"/>
    <w:rsid w:val="006276BD"/>
    <w:rsid w:val="00627704"/>
    <w:rsid w:val="00627708"/>
    <w:rsid w:val="00627718"/>
    <w:rsid w:val="00627816"/>
    <w:rsid w:val="006278B2"/>
    <w:rsid w:val="00627AF6"/>
    <w:rsid w:val="00627C2B"/>
    <w:rsid w:val="00627C62"/>
    <w:rsid w:val="00627C95"/>
    <w:rsid w:val="00627DF9"/>
    <w:rsid w:val="00627EBB"/>
    <w:rsid w:val="00627F27"/>
    <w:rsid w:val="0063001C"/>
    <w:rsid w:val="00630120"/>
    <w:rsid w:val="00630132"/>
    <w:rsid w:val="00630199"/>
    <w:rsid w:val="0063021A"/>
    <w:rsid w:val="0063021B"/>
    <w:rsid w:val="006303BB"/>
    <w:rsid w:val="006303FB"/>
    <w:rsid w:val="00630441"/>
    <w:rsid w:val="00630472"/>
    <w:rsid w:val="006304D9"/>
    <w:rsid w:val="0063060F"/>
    <w:rsid w:val="00630618"/>
    <w:rsid w:val="00630631"/>
    <w:rsid w:val="006307D8"/>
    <w:rsid w:val="006308E8"/>
    <w:rsid w:val="006309CE"/>
    <w:rsid w:val="006309DA"/>
    <w:rsid w:val="00630A34"/>
    <w:rsid w:val="00630AA1"/>
    <w:rsid w:val="00630BBD"/>
    <w:rsid w:val="00630C1E"/>
    <w:rsid w:val="00630CF6"/>
    <w:rsid w:val="00630D69"/>
    <w:rsid w:val="00630DFF"/>
    <w:rsid w:val="00630E01"/>
    <w:rsid w:val="00630E30"/>
    <w:rsid w:val="00630E44"/>
    <w:rsid w:val="00630F01"/>
    <w:rsid w:val="00630F9B"/>
    <w:rsid w:val="00631019"/>
    <w:rsid w:val="00631093"/>
    <w:rsid w:val="00631122"/>
    <w:rsid w:val="00631159"/>
    <w:rsid w:val="006311ED"/>
    <w:rsid w:val="00631271"/>
    <w:rsid w:val="006312FD"/>
    <w:rsid w:val="006313C1"/>
    <w:rsid w:val="006313C4"/>
    <w:rsid w:val="006313D3"/>
    <w:rsid w:val="006313DA"/>
    <w:rsid w:val="006313EB"/>
    <w:rsid w:val="00631498"/>
    <w:rsid w:val="0063155D"/>
    <w:rsid w:val="0063159A"/>
    <w:rsid w:val="006316B8"/>
    <w:rsid w:val="006316CA"/>
    <w:rsid w:val="006316F0"/>
    <w:rsid w:val="00631779"/>
    <w:rsid w:val="00631863"/>
    <w:rsid w:val="00631871"/>
    <w:rsid w:val="006318BB"/>
    <w:rsid w:val="006318E4"/>
    <w:rsid w:val="006318ED"/>
    <w:rsid w:val="006318FC"/>
    <w:rsid w:val="00631902"/>
    <w:rsid w:val="00631A29"/>
    <w:rsid w:val="00631A96"/>
    <w:rsid w:val="00631A9F"/>
    <w:rsid w:val="00631ACF"/>
    <w:rsid w:val="00631AFC"/>
    <w:rsid w:val="00631B1F"/>
    <w:rsid w:val="00631BD1"/>
    <w:rsid w:val="00631BE5"/>
    <w:rsid w:val="00631C1D"/>
    <w:rsid w:val="00631CC5"/>
    <w:rsid w:val="00631CE2"/>
    <w:rsid w:val="00631D41"/>
    <w:rsid w:val="00631D9C"/>
    <w:rsid w:val="00631DA0"/>
    <w:rsid w:val="00631DF7"/>
    <w:rsid w:val="00631EB9"/>
    <w:rsid w:val="00631F22"/>
    <w:rsid w:val="00631FBF"/>
    <w:rsid w:val="006320A4"/>
    <w:rsid w:val="0063211F"/>
    <w:rsid w:val="006321D7"/>
    <w:rsid w:val="006322C5"/>
    <w:rsid w:val="006322C7"/>
    <w:rsid w:val="006322DF"/>
    <w:rsid w:val="0063235C"/>
    <w:rsid w:val="006323DB"/>
    <w:rsid w:val="00632459"/>
    <w:rsid w:val="0063246F"/>
    <w:rsid w:val="0063248C"/>
    <w:rsid w:val="006324A8"/>
    <w:rsid w:val="00632554"/>
    <w:rsid w:val="00632625"/>
    <w:rsid w:val="006326B1"/>
    <w:rsid w:val="006327EC"/>
    <w:rsid w:val="0063283B"/>
    <w:rsid w:val="006328BD"/>
    <w:rsid w:val="006328ED"/>
    <w:rsid w:val="00632929"/>
    <w:rsid w:val="0063297E"/>
    <w:rsid w:val="0063299C"/>
    <w:rsid w:val="006329EF"/>
    <w:rsid w:val="00632A4E"/>
    <w:rsid w:val="00632A60"/>
    <w:rsid w:val="00632A78"/>
    <w:rsid w:val="00632ABC"/>
    <w:rsid w:val="00632B22"/>
    <w:rsid w:val="00632BC7"/>
    <w:rsid w:val="00632C0C"/>
    <w:rsid w:val="00632C11"/>
    <w:rsid w:val="00632C2D"/>
    <w:rsid w:val="00632C3F"/>
    <w:rsid w:val="00632C5A"/>
    <w:rsid w:val="00632CAC"/>
    <w:rsid w:val="00632D68"/>
    <w:rsid w:val="00632E4C"/>
    <w:rsid w:val="00632E59"/>
    <w:rsid w:val="00632EA4"/>
    <w:rsid w:val="00632F21"/>
    <w:rsid w:val="00632F5E"/>
    <w:rsid w:val="0063301A"/>
    <w:rsid w:val="0063306E"/>
    <w:rsid w:val="00633160"/>
    <w:rsid w:val="006332D9"/>
    <w:rsid w:val="006332DC"/>
    <w:rsid w:val="00633364"/>
    <w:rsid w:val="0063337A"/>
    <w:rsid w:val="006333AA"/>
    <w:rsid w:val="006333D2"/>
    <w:rsid w:val="00633448"/>
    <w:rsid w:val="0063345D"/>
    <w:rsid w:val="00633516"/>
    <w:rsid w:val="006335C8"/>
    <w:rsid w:val="00633644"/>
    <w:rsid w:val="006336B9"/>
    <w:rsid w:val="006336E2"/>
    <w:rsid w:val="00633756"/>
    <w:rsid w:val="006337B8"/>
    <w:rsid w:val="006337F4"/>
    <w:rsid w:val="00633854"/>
    <w:rsid w:val="0063394C"/>
    <w:rsid w:val="0063395B"/>
    <w:rsid w:val="00633992"/>
    <w:rsid w:val="006339CB"/>
    <w:rsid w:val="006339F6"/>
    <w:rsid w:val="00633A01"/>
    <w:rsid w:val="00633B1B"/>
    <w:rsid w:val="00633C22"/>
    <w:rsid w:val="00633C50"/>
    <w:rsid w:val="00633C98"/>
    <w:rsid w:val="00633DCE"/>
    <w:rsid w:val="00633E35"/>
    <w:rsid w:val="00633F2B"/>
    <w:rsid w:val="00633F52"/>
    <w:rsid w:val="00633FA3"/>
    <w:rsid w:val="00633FBF"/>
    <w:rsid w:val="00633FD5"/>
    <w:rsid w:val="0063407D"/>
    <w:rsid w:val="00634113"/>
    <w:rsid w:val="0063413A"/>
    <w:rsid w:val="00634187"/>
    <w:rsid w:val="006341A4"/>
    <w:rsid w:val="006341A7"/>
    <w:rsid w:val="006341E0"/>
    <w:rsid w:val="006341F8"/>
    <w:rsid w:val="00634242"/>
    <w:rsid w:val="0063425C"/>
    <w:rsid w:val="006342B4"/>
    <w:rsid w:val="0063430C"/>
    <w:rsid w:val="0063432A"/>
    <w:rsid w:val="00634447"/>
    <w:rsid w:val="00634560"/>
    <w:rsid w:val="0063459D"/>
    <w:rsid w:val="006345A9"/>
    <w:rsid w:val="006346EF"/>
    <w:rsid w:val="006347DD"/>
    <w:rsid w:val="006348A9"/>
    <w:rsid w:val="00634961"/>
    <w:rsid w:val="00634A04"/>
    <w:rsid w:val="00634AEB"/>
    <w:rsid w:val="00634B46"/>
    <w:rsid w:val="00634B63"/>
    <w:rsid w:val="00634B67"/>
    <w:rsid w:val="00634D85"/>
    <w:rsid w:val="00634DE3"/>
    <w:rsid w:val="00634DED"/>
    <w:rsid w:val="00634E17"/>
    <w:rsid w:val="00634E7F"/>
    <w:rsid w:val="00634E9D"/>
    <w:rsid w:val="00634ECA"/>
    <w:rsid w:val="00634F60"/>
    <w:rsid w:val="00634FA8"/>
    <w:rsid w:val="006350A6"/>
    <w:rsid w:val="006350FF"/>
    <w:rsid w:val="006351FC"/>
    <w:rsid w:val="006352B7"/>
    <w:rsid w:val="006353B3"/>
    <w:rsid w:val="00635490"/>
    <w:rsid w:val="006354B6"/>
    <w:rsid w:val="00635565"/>
    <w:rsid w:val="00635577"/>
    <w:rsid w:val="00635578"/>
    <w:rsid w:val="00635596"/>
    <w:rsid w:val="006356DF"/>
    <w:rsid w:val="0063583E"/>
    <w:rsid w:val="006358A4"/>
    <w:rsid w:val="00635906"/>
    <w:rsid w:val="00635972"/>
    <w:rsid w:val="006359CA"/>
    <w:rsid w:val="006359E7"/>
    <w:rsid w:val="006359FA"/>
    <w:rsid w:val="00635A16"/>
    <w:rsid w:val="00635ADC"/>
    <w:rsid w:val="00635AF0"/>
    <w:rsid w:val="00635BCE"/>
    <w:rsid w:val="00635D0E"/>
    <w:rsid w:val="00635D0F"/>
    <w:rsid w:val="00635D63"/>
    <w:rsid w:val="00635D95"/>
    <w:rsid w:val="00635D9A"/>
    <w:rsid w:val="00635E09"/>
    <w:rsid w:val="00635F28"/>
    <w:rsid w:val="00635F62"/>
    <w:rsid w:val="00635F67"/>
    <w:rsid w:val="00635FC7"/>
    <w:rsid w:val="0063603B"/>
    <w:rsid w:val="0063609D"/>
    <w:rsid w:val="006360FD"/>
    <w:rsid w:val="006360FE"/>
    <w:rsid w:val="006361F5"/>
    <w:rsid w:val="00636206"/>
    <w:rsid w:val="0063629B"/>
    <w:rsid w:val="006362C3"/>
    <w:rsid w:val="006362E0"/>
    <w:rsid w:val="0063631F"/>
    <w:rsid w:val="00636366"/>
    <w:rsid w:val="00636410"/>
    <w:rsid w:val="0063641F"/>
    <w:rsid w:val="0063647C"/>
    <w:rsid w:val="006364E8"/>
    <w:rsid w:val="00636532"/>
    <w:rsid w:val="00636723"/>
    <w:rsid w:val="00636772"/>
    <w:rsid w:val="0063677E"/>
    <w:rsid w:val="006367A2"/>
    <w:rsid w:val="006367BB"/>
    <w:rsid w:val="00636852"/>
    <w:rsid w:val="00636866"/>
    <w:rsid w:val="006368F6"/>
    <w:rsid w:val="0063693B"/>
    <w:rsid w:val="0063699F"/>
    <w:rsid w:val="006369A2"/>
    <w:rsid w:val="006369B9"/>
    <w:rsid w:val="00636A06"/>
    <w:rsid w:val="00636B3A"/>
    <w:rsid w:val="00636B73"/>
    <w:rsid w:val="00636B80"/>
    <w:rsid w:val="00636BAD"/>
    <w:rsid w:val="00636BCE"/>
    <w:rsid w:val="00636C07"/>
    <w:rsid w:val="00636CB9"/>
    <w:rsid w:val="00636CEE"/>
    <w:rsid w:val="00636E25"/>
    <w:rsid w:val="00636E41"/>
    <w:rsid w:val="00636FD5"/>
    <w:rsid w:val="00637015"/>
    <w:rsid w:val="006370B8"/>
    <w:rsid w:val="006370DF"/>
    <w:rsid w:val="0063712B"/>
    <w:rsid w:val="0063717B"/>
    <w:rsid w:val="006371BA"/>
    <w:rsid w:val="006371C7"/>
    <w:rsid w:val="0063722E"/>
    <w:rsid w:val="00637270"/>
    <w:rsid w:val="0063728A"/>
    <w:rsid w:val="00637375"/>
    <w:rsid w:val="0063747A"/>
    <w:rsid w:val="006374C8"/>
    <w:rsid w:val="00637512"/>
    <w:rsid w:val="00637554"/>
    <w:rsid w:val="0063756F"/>
    <w:rsid w:val="0063768F"/>
    <w:rsid w:val="0063776E"/>
    <w:rsid w:val="006377D4"/>
    <w:rsid w:val="0063789E"/>
    <w:rsid w:val="006378EE"/>
    <w:rsid w:val="00637982"/>
    <w:rsid w:val="006379AF"/>
    <w:rsid w:val="006379D2"/>
    <w:rsid w:val="00637A44"/>
    <w:rsid w:val="00637A6B"/>
    <w:rsid w:val="00637C08"/>
    <w:rsid w:val="00637D12"/>
    <w:rsid w:val="00637DA4"/>
    <w:rsid w:val="00637DD0"/>
    <w:rsid w:val="00637DF9"/>
    <w:rsid w:val="00637EBA"/>
    <w:rsid w:val="00637EC5"/>
    <w:rsid w:val="00637F76"/>
    <w:rsid w:val="00637FE2"/>
    <w:rsid w:val="00640047"/>
    <w:rsid w:val="00640110"/>
    <w:rsid w:val="00640149"/>
    <w:rsid w:val="00640154"/>
    <w:rsid w:val="0064028A"/>
    <w:rsid w:val="00640320"/>
    <w:rsid w:val="006403FA"/>
    <w:rsid w:val="0064042E"/>
    <w:rsid w:val="00640463"/>
    <w:rsid w:val="0064049A"/>
    <w:rsid w:val="0064049D"/>
    <w:rsid w:val="006405C2"/>
    <w:rsid w:val="006405D8"/>
    <w:rsid w:val="00640618"/>
    <w:rsid w:val="0064064D"/>
    <w:rsid w:val="00640672"/>
    <w:rsid w:val="0064067D"/>
    <w:rsid w:val="00640683"/>
    <w:rsid w:val="0064069B"/>
    <w:rsid w:val="006406BC"/>
    <w:rsid w:val="006406F6"/>
    <w:rsid w:val="006407CE"/>
    <w:rsid w:val="006407E5"/>
    <w:rsid w:val="006407F0"/>
    <w:rsid w:val="00640804"/>
    <w:rsid w:val="00640874"/>
    <w:rsid w:val="006409A0"/>
    <w:rsid w:val="00640B7C"/>
    <w:rsid w:val="00640C48"/>
    <w:rsid w:val="00640C5D"/>
    <w:rsid w:val="00640C71"/>
    <w:rsid w:val="00640D98"/>
    <w:rsid w:val="00640DAF"/>
    <w:rsid w:val="00640E7C"/>
    <w:rsid w:val="00640ED4"/>
    <w:rsid w:val="00640EEB"/>
    <w:rsid w:val="00640EF8"/>
    <w:rsid w:val="00640F08"/>
    <w:rsid w:val="00640F29"/>
    <w:rsid w:val="0064103F"/>
    <w:rsid w:val="00641044"/>
    <w:rsid w:val="0064107B"/>
    <w:rsid w:val="006410DC"/>
    <w:rsid w:val="00641101"/>
    <w:rsid w:val="00641148"/>
    <w:rsid w:val="0064115F"/>
    <w:rsid w:val="00641167"/>
    <w:rsid w:val="006411BB"/>
    <w:rsid w:val="0064122F"/>
    <w:rsid w:val="006412D1"/>
    <w:rsid w:val="006412E0"/>
    <w:rsid w:val="00641343"/>
    <w:rsid w:val="0064136A"/>
    <w:rsid w:val="00641383"/>
    <w:rsid w:val="00641594"/>
    <w:rsid w:val="00641671"/>
    <w:rsid w:val="00641709"/>
    <w:rsid w:val="006417CD"/>
    <w:rsid w:val="006417FD"/>
    <w:rsid w:val="0064190B"/>
    <w:rsid w:val="0064197A"/>
    <w:rsid w:val="006419A0"/>
    <w:rsid w:val="00641A4E"/>
    <w:rsid w:val="00641A54"/>
    <w:rsid w:val="00641A59"/>
    <w:rsid w:val="00641A67"/>
    <w:rsid w:val="00641A7B"/>
    <w:rsid w:val="00641B14"/>
    <w:rsid w:val="00641B87"/>
    <w:rsid w:val="00641BD3"/>
    <w:rsid w:val="00641C2E"/>
    <w:rsid w:val="00641CDF"/>
    <w:rsid w:val="00641CFF"/>
    <w:rsid w:val="00641D6A"/>
    <w:rsid w:val="00641D8F"/>
    <w:rsid w:val="00641DB9"/>
    <w:rsid w:val="00641DE7"/>
    <w:rsid w:val="00641DF1"/>
    <w:rsid w:val="00641E9D"/>
    <w:rsid w:val="00641F80"/>
    <w:rsid w:val="00641F83"/>
    <w:rsid w:val="00641FCC"/>
    <w:rsid w:val="0064201A"/>
    <w:rsid w:val="00642060"/>
    <w:rsid w:val="00642193"/>
    <w:rsid w:val="006421A0"/>
    <w:rsid w:val="00642217"/>
    <w:rsid w:val="00642237"/>
    <w:rsid w:val="00642340"/>
    <w:rsid w:val="006423C7"/>
    <w:rsid w:val="006423CD"/>
    <w:rsid w:val="00642405"/>
    <w:rsid w:val="00642461"/>
    <w:rsid w:val="00642478"/>
    <w:rsid w:val="00642576"/>
    <w:rsid w:val="006425A7"/>
    <w:rsid w:val="00642627"/>
    <w:rsid w:val="006426E7"/>
    <w:rsid w:val="00642713"/>
    <w:rsid w:val="00642714"/>
    <w:rsid w:val="00642792"/>
    <w:rsid w:val="0064294D"/>
    <w:rsid w:val="00642A2C"/>
    <w:rsid w:val="00642A99"/>
    <w:rsid w:val="00642AF3"/>
    <w:rsid w:val="00642B4D"/>
    <w:rsid w:val="00642B6F"/>
    <w:rsid w:val="00642B88"/>
    <w:rsid w:val="00642BF2"/>
    <w:rsid w:val="00642BF3"/>
    <w:rsid w:val="00642C11"/>
    <w:rsid w:val="00642CC4"/>
    <w:rsid w:val="00642D01"/>
    <w:rsid w:val="00642D46"/>
    <w:rsid w:val="00642D6F"/>
    <w:rsid w:val="00642D87"/>
    <w:rsid w:val="00642E5C"/>
    <w:rsid w:val="00642E8C"/>
    <w:rsid w:val="00642EE8"/>
    <w:rsid w:val="00642F0E"/>
    <w:rsid w:val="00642F85"/>
    <w:rsid w:val="00642F88"/>
    <w:rsid w:val="00642FF7"/>
    <w:rsid w:val="00643014"/>
    <w:rsid w:val="006430C6"/>
    <w:rsid w:val="006430CB"/>
    <w:rsid w:val="006430F6"/>
    <w:rsid w:val="0064318C"/>
    <w:rsid w:val="006431E5"/>
    <w:rsid w:val="006432DA"/>
    <w:rsid w:val="006432E6"/>
    <w:rsid w:val="006432F0"/>
    <w:rsid w:val="0064332A"/>
    <w:rsid w:val="0064333D"/>
    <w:rsid w:val="0064334A"/>
    <w:rsid w:val="006434B5"/>
    <w:rsid w:val="006434E5"/>
    <w:rsid w:val="00643584"/>
    <w:rsid w:val="006436CB"/>
    <w:rsid w:val="006437FA"/>
    <w:rsid w:val="0064387F"/>
    <w:rsid w:val="00643891"/>
    <w:rsid w:val="006438D9"/>
    <w:rsid w:val="0064391A"/>
    <w:rsid w:val="006439FD"/>
    <w:rsid w:val="00643B10"/>
    <w:rsid w:val="00643BDE"/>
    <w:rsid w:val="00643CA4"/>
    <w:rsid w:val="00643D26"/>
    <w:rsid w:val="00643DE4"/>
    <w:rsid w:val="00643E94"/>
    <w:rsid w:val="00643EDD"/>
    <w:rsid w:val="00643F1A"/>
    <w:rsid w:val="00643F21"/>
    <w:rsid w:val="00643F5C"/>
    <w:rsid w:val="00643FE3"/>
    <w:rsid w:val="00643FF9"/>
    <w:rsid w:val="00644003"/>
    <w:rsid w:val="00644043"/>
    <w:rsid w:val="006440DB"/>
    <w:rsid w:val="0064413A"/>
    <w:rsid w:val="0064424E"/>
    <w:rsid w:val="00644257"/>
    <w:rsid w:val="00644286"/>
    <w:rsid w:val="006442BD"/>
    <w:rsid w:val="006442F9"/>
    <w:rsid w:val="00644312"/>
    <w:rsid w:val="00644313"/>
    <w:rsid w:val="0064437B"/>
    <w:rsid w:val="006444CE"/>
    <w:rsid w:val="006444E6"/>
    <w:rsid w:val="00644578"/>
    <w:rsid w:val="006445B9"/>
    <w:rsid w:val="00644696"/>
    <w:rsid w:val="006446D9"/>
    <w:rsid w:val="00644731"/>
    <w:rsid w:val="00644758"/>
    <w:rsid w:val="006447C4"/>
    <w:rsid w:val="006447DC"/>
    <w:rsid w:val="00644807"/>
    <w:rsid w:val="00644867"/>
    <w:rsid w:val="006448FD"/>
    <w:rsid w:val="00644905"/>
    <w:rsid w:val="00644935"/>
    <w:rsid w:val="00644961"/>
    <w:rsid w:val="0064496E"/>
    <w:rsid w:val="00644A87"/>
    <w:rsid w:val="00644AB4"/>
    <w:rsid w:val="00644ACC"/>
    <w:rsid w:val="00644AE5"/>
    <w:rsid w:val="00644AEE"/>
    <w:rsid w:val="00644B45"/>
    <w:rsid w:val="00644B8D"/>
    <w:rsid w:val="00644C00"/>
    <w:rsid w:val="00644CB6"/>
    <w:rsid w:val="00644CCE"/>
    <w:rsid w:val="00644CE8"/>
    <w:rsid w:val="00644CF9"/>
    <w:rsid w:val="00644D98"/>
    <w:rsid w:val="00644DA0"/>
    <w:rsid w:val="00644EB3"/>
    <w:rsid w:val="00644EC9"/>
    <w:rsid w:val="00644FE3"/>
    <w:rsid w:val="00645032"/>
    <w:rsid w:val="006450F8"/>
    <w:rsid w:val="00645166"/>
    <w:rsid w:val="0064516E"/>
    <w:rsid w:val="00645171"/>
    <w:rsid w:val="0064518C"/>
    <w:rsid w:val="00645198"/>
    <w:rsid w:val="00645272"/>
    <w:rsid w:val="00645354"/>
    <w:rsid w:val="00645361"/>
    <w:rsid w:val="00645362"/>
    <w:rsid w:val="00645395"/>
    <w:rsid w:val="006453A3"/>
    <w:rsid w:val="006453BC"/>
    <w:rsid w:val="006455CA"/>
    <w:rsid w:val="006455D9"/>
    <w:rsid w:val="006455DB"/>
    <w:rsid w:val="00645635"/>
    <w:rsid w:val="0064567D"/>
    <w:rsid w:val="006456F5"/>
    <w:rsid w:val="00645700"/>
    <w:rsid w:val="00645894"/>
    <w:rsid w:val="00645AB0"/>
    <w:rsid w:val="00645B90"/>
    <w:rsid w:val="00645CFE"/>
    <w:rsid w:val="00645D2F"/>
    <w:rsid w:val="00645D55"/>
    <w:rsid w:val="00645E24"/>
    <w:rsid w:val="00645EA6"/>
    <w:rsid w:val="00645ED7"/>
    <w:rsid w:val="00645F0D"/>
    <w:rsid w:val="00645FA0"/>
    <w:rsid w:val="00645FE8"/>
    <w:rsid w:val="0064602C"/>
    <w:rsid w:val="0064616F"/>
    <w:rsid w:val="0064620E"/>
    <w:rsid w:val="00646222"/>
    <w:rsid w:val="00646249"/>
    <w:rsid w:val="00646328"/>
    <w:rsid w:val="00646371"/>
    <w:rsid w:val="0064643E"/>
    <w:rsid w:val="0064650E"/>
    <w:rsid w:val="006465D3"/>
    <w:rsid w:val="0064662C"/>
    <w:rsid w:val="0064665B"/>
    <w:rsid w:val="0064679A"/>
    <w:rsid w:val="0064679D"/>
    <w:rsid w:val="006467B3"/>
    <w:rsid w:val="006467D0"/>
    <w:rsid w:val="00646808"/>
    <w:rsid w:val="00646982"/>
    <w:rsid w:val="006469E2"/>
    <w:rsid w:val="006469EC"/>
    <w:rsid w:val="00646A26"/>
    <w:rsid w:val="00646A7E"/>
    <w:rsid w:val="00646C92"/>
    <w:rsid w:val="00646CBD"/>
    <w:rsid w:val="00646D18"/>
    <w:rsid w:val="00646D2D"/>
    <w:rsid w:val="00646D42"/>
    <w:rsid w:val="00646DD8"/>
    <w:rsid w:val="00646DF2"/>
    <w:rsid w:val="00646EF8"/>
    <w:rsid w:val="00647099"/>
    <w:rsid w:val="006470E3"/>
    <w:rsid w:val="0064722D"/>
    <w:rsid w:val="00647368"/>
    <w:rsid w:val="00647444"/>
    <w:rsid w:val="006474CB"/>
    <w:rsid w:val="006475A4"/>
    <w:rsid w:val="006476F7"/>
    <w:rsid w:val="0064775E"/>
    <w:rsid w:val="006477AE"/>
    <w:rsid w:val="006477B6"/>
    <w:rsid w:val="0064788F"/>
    <w:rsid w:val="006478F3"/>
    <w:rsid w:val="006479BE"/>
    <w:rsid w:val="006479DC"/>
    <w:rsid w:val="00647A78"/>
    <w:rsid w:val="00647ADB"/>
    <w:rsid w:val="00647B0E"/>
    <w:rsid w:val="00647B1F"/>
    <w:rsid w:val="00647BBB"/>
    <w:rsid w:val="00647C4F"/>
    <w:rsid w:val="00647E6E"/>
    <w:rsid w:val="00647EAD"/>
    <w:rsid w:val="00647F90"/>
    <w:rsid w:val="00647F95"/>
    <w:rsid w:val="0065000C"/>
    <w:rsid w:val="0065002E"/>
    <w:rsid w:val="00650061"/>
    <w:rsid w:val="00650156"/>
    <w:rsid w:val="006501F0"/>
    <w:rsid w:val="00650239"/>
    <w:rsid w:val="0065024A"/>
    <w:rsid w:val="006502FE"/>
    <w:rsid w:val="00650303"/>
    <w:rsid w:val="006503B5"/>
    <w:rsid w:val="00650512"/>
    <w:rsid w:val="00650521"/>
    <w:rsid w:val="0065055C"/>
    <w:rsid w:val="006506B3"/>
    <w:rsid w:val="00650817"/>
    <w:rsid w:val="0065081D"/>
    <w:rsid w:val="0065089D"/>
    <w:rsid w:val="006508C5"/>
    <w:rsid w:val="00650921"/>
    <w:rsid w:val="00650960"/>
    <w:rsid w:val="00650977"/>
    <w:rsid w:val="00650985"/>
    <w:rsid w:val="006509B4"/>
    <w:rsid w:val="00650A56"/>
    <w:rsid w:val="00650A66"/>
    <w:rsid w:val="00650AA5"/>
    <w:rsid w:val="00650AEE"/>
    <w:rsid w:val="00650AF8"/>
    <w:rsid w:val="00650B4A"/>
    <w:rsid w:val="00650C68"/>
    <w:rsid w:val="00650CBF"/>
    <w:rsid w:val="00650D0A"/>
    <w:rsid w:val="00650E16"/>
    <w:rsid w:val="00650F07"/>
    <w:rsid w:val="00650F1D"/>
    <w:rsid w:val="00650F7C"/>
    <w:rsid w:val="00650F8B"/>
    <w:rsid w:val="00651030"/>
    <w:rsid w:val="00651064"/>
    <w:rsid w:val="00651072"/>
    <w:rsid w:val="0065107F"/>
    <w:rsid w:val="006510CD"/>
    <w:rsid w:val="006510D9"/>
    <w:rsid w:val="0065116E"/>
    <w:rsid w:val="006511CB"/>
    <w:rsid w:val="00651266"/>
    <w:rsid w:val="006512F7"/>
    <w:rsid w:val="006513F5"/>
    <w:rsid w:val="00651555"/>
    <w:rsid w:val="006516BD"/>
    <w:rsid w:val="006516CE"/>
    <w:rsid w:val="0065172F"/>
    <w:rsid w:val="0065176F"/>
    <w:rsid w:val="006517CA"/>
    <w:rsid w:val="006517F2"/>
    <w:rsid w:val="00651874"/>
    <w:rsid w:val="00651ABE"/>
    <w:rsid w:val="00651BF9"/>
    <w:rsid w:val="00651C07"/>
    <w:rsid w:val="00651C80"/>
    <w:rsid w:val="00651D6F"/>
    <w:rsid w:val="00651DA8"/>
    <w:rsid w:val="00651E3F"/>
    <w:rsid w:val="00651EC3"/>
    <w:rsid w:val="00651F70"/>
    <w:rsid w:val="00651F81"/>
    <w:rsid w:val="00651F90"/>
    <w:rsid w:val="00651FE3"/>
    <w:rsid w:val="0065202B"/>
    <w:rsid w:val="00652061"/>
    <w:rsid w:val="00652161"/>
    <w:rsid w:val="00652256"/>
    <w:rsid w:val="00652262"/>
    <w:rsid w:val="006522B4"/>
    <w:rsid w:val="00652306"/>
    <w:rsid w:val="0065234A"/>
    <w:rsid w:val="006523F5"/>
    <w:rsid w:val="00652574"/>
    <w:rsid w:val="00652593"/>
    <w:rsid w:val="006525B5"/>
    <w:rsid w:val="006525E8"/>
    <w:rsid w:val="006525EB"/>
    <w:rsid w:val="006526FD"/>
    <w:rsid w:val="006527B1"/>
    <w:rsid w:val="006527DF"/>
    <w:rsid w:val="006528D5"/>
    <w:rsid w:val="006528F1"/>
    <w:rsid w:val="00652926"/>
    <w:rsid w:val="00652973"/>
    <w:rsid w:val="006529C6"/>
    <w:rsid w:val="006529E8"/>
    <w:rsid w:val="00652A33"/>
    <w:rsid w:val="00652A3E"/>
    <w:rsid w:val="00652A7A"/>
    <w:rsid w:val="00652A92"/>
    <w:rsid w:val="00652B2A"/>
    <w:rsid w:val="00652BB8"/>
    <w:rsid w:val="00652BC3"/>
    <w:rsid w:val="00652BFB"/>
    <w:rsid w:val="00652D3A"/>
    <w:rsid w:val="00652D69"/>
    <w:rsid w:val="00652D96"/>
    <w:rsid w:val="00652E10"/>
    <w:rsid w:val="00652EAC"/>
    <w:rsid w:val="00652EB8"/>
    <w:rsid w:val="00652F3D"/>
    <w:rsid w:val="00652FAB"/>
    <w:rsid w:val="00652FD0"/>
    <w:rsid w:val="006530B6"/>
    <w:rsid w:val="00653118"/>
    <w:rsid w:val="00653132"/>
    <w:rsid w:val="006531E4"/>
    <w:rsid w:val="006531EA"/>
    <w:rsid w:val="00653284"/>
    <w:rsid w:val="0065330F"/>
    <w:rsid w:val="00653406"/>
    <w:rsid w:val="0065345A"/>
    <w:rsid w:val="006534D5"/>
    <w:rsid w:val="006534E6"/>
    <w:rsid w:val="00653567"/>
    <w:rsid w:val="00653607"/>
    <w:rsid w:val="0065361B"/>
    <w:rsid w:val="0065362C"/>
    <w:rsid w:val="0065368F"/>
    <w:rsid w:val="006537B8"/>
    <w:rsid w:val="00653812"/>
    <w:rsid w:val="0065381F"/>
    <w:rsid w:val="006538ED"/>
    <w:rsid w:val="00653901"/>
    <w:rsid w:val="00653925"/>
    <w:rsid w:val="00653935"/>
    <w:rsid w:val="00653A12"/>
    <w:rsid w:val="00653A30"/>
    <w:rsid w:val="00653A73"/>
    <w:rsid w:val="00653A75"/>
    <w:rsid w:val="00653AA7"/>
    <w:rsid w:val="00653C6F"/>
    <w:rsid w:val="00653CE7"/>
    <w:rsid w:val="00653D59"/>
    <w:rsid w:val="00653DD2"/>
    <w:rsid w:val="00653E61"/>
    <w:rsid w:val="00653F83"/>
    <w:rsid w:val="00653FDC"/>
    <w:rsid w:val="00654020"/>
    <w:rsid w:val="00654025"/>
    <w:rsid w:val="00654069"/>
    <w:rsid w:val="0065412D"/>
    <w:rsid w:val="00654147"/>
    <w:rsid w:val="006541A5"/>
    <w:rsid w:val="006541B2"/>
    <w:rsid w:val="006541ED"/>
    <w:rsid w:val="00654224"/>
    <w:rsid w:val="00654311"/>
    <w:rsid w:val="0065431E"/>
    <w:rsid w:val="0065434A"/>
    <w:rsid w:val="00654464"/>
    <w:rsid w:val="00654483"/>
    <w:rsid w:val="00654505"/>
    <w:rsid w:val="006545F3"/>
    <w:rsid w:val="006546C0"/>
    <w:rsid w:val="006547B9"/>
    <w:rsid w:val="006548AD"/>
    <w:rsid w:val="006548AE"/>
    <w:rsid w:val="006548E7"/>
    <w:rsid w:val="006548EB"/>
    <w:rsid w:val="00654946"/>
    <w:rsid w:val="00654A92"/>
    <w:rsid w:val="00654B3E"/>
    <w:rsid w:val="00654C1D"/>
    <w:rsid w:val="00654C2B"/>
    <w:rsid w:val="00654C77"/>
    <w:rsid w:val="00654D08"/>
    <w:rsid w:val="00654D0A"/>
    <w:rsid w:val="00654D2F"/>
    <w:rsid w:val="00654D83"/>
    <w:rsid w:val="00654E76"/>
    <w:rsid w:val="0065502B"/>
    <w:rsid w:val="00655072"/>
    <w:rsid w:val="006550A0"/>
    <w:rsid w:val="0065519F"/>
    <w:rsid w:val="006551C2"/>
    <w:rsid w:val="00655311"/>
    <w:rsid w:val="0065535B"/>
    <w:rsid w:val="006553EC"/>
    <w:rsid w:val="00655419"/>
    <w:rsid w:val="006554E5"/>
    <w:rsid w:val="00655506"/>
    <w:rsid w:val="006555C7"/>
    <w:rsid w:val="006555EF"/>
    <w:rsid w:val="0065560D"/>
    <w:rsid w:val="0065561A"/>
    <w:rsid w:val="0065580B"/>
    <w:rsid w:val="0065592C"/>
    <w:rsid w:val="006559F9"/>
    <w:rsid w:val="00655A2B"/>
    <w:rsid w:val="00655B0F"/>
    <w:rsid w:val="00655B47"/>
    <w:rsid w:val="00655B52"/>
    <w:rsid w:val="00655B67"/>
    <w:rsid w:val="00655BF2"/>
    <w:rsid w:val="00655D9C"/>
    <w:rsid w:val="00655DFF"/>
    <w:rsid w:val="00655ED2"/>
    <w:rsid w:val="00655FC8"/>
    <w:rsid w:val="00655FD5"/>
    <w:rsid w:val="0065601D"/>
    <w:rsid w:val="00656077"/>
    <w:rsid w:val="00656141"/>
    <w:rsid w:val="00656221"/>
    <w:rsid w:val="00656289"/>
    <w:rsid w:val="006562BA"/>
    <w:rsid w:val="006562DD"/>
    <w:rsid w:val="00656332"/>
    <w:rsid w:val="0065635B"/>
    <w:rsid w:val="00656431"/>
    <w:rsid w:val="0065647B"/>
    <w:rsid w:val="0065647F"/>
    <w:rsid w:val="00656540"/>
    <w:rsid w:val="0065661C"/>
    <w:rsid w:val="006566AE"/>
    <w:rsid w:val="00656765"/>
    <w:rsid w:val="006567DB"/>
    <w:rsid w:val="006567EC"/>
    <w:rsid w:val="00656872"/>
    <w:rsid w:val="00656A16"/>
    <w:rsid w:val="00656A76"/>
    <w:rsid w:val="00656A9D"/>
    <w:rsid w:val="00656B40"/>
    <w:rsid w:val="00656B77"/>
    <w:rsid w:val="00656C72"/>
    <w:rsid w:val="00656D6F"/>
    <w:rsid w:val="00656E2E"/>
    <w:rsid w:val="00656E6E"/>
    <w:rsid w:val="00656EF6"/>
    <w:rsid w:val="00656EF9"/>
    <w:rsid w:val="00656F1D"/>
    <w:rsid w:val="00656F54"/>
    <w:rsid w:val="00656FD0"/>
    <w:rsid w:val="0065704C"/>
    <w:rsid w:val="006570D4"/>
    <w:rsid w:val="006570EE"/>
    <w:rsid w:val="00657120"/>
    <w:rsid w:val="0065714A"/>
    <w:rsid w:val="0065717D"/>
    <w:rsid w:val="006571EA"/>
    <w:rsid w:val="006572E9"/>
    <w:rsid w:val="00657353"/>
    <w:rsid w:val="00657391"/>
    <w:rsid w:val="00657393"/>
    <w:rsid w:val="00657409"/>
    <w:rsid w:val="00657503"/>
    <w:rsid w:val="00657548"/>
    <w:rsid w:val="00657565"/>
    <w:rsid w:val="0065756C"/>
    <w:rsid w:val="00657618"/>
    <w:rsid w:val="0065764B"/>
    <w:rsid w:val="00657669"/>
    <w:rsid w:val="00657747"/>
    <w:rsid w:val="0065778C"/>
    <w:rsid w:val="006577A2"/>
    <w:rsid w:val="006577C5"/>
    <w:rsid w:val="006577E8"/>
    <w:rsid w:val="00657811"/>
    <w:rsid w:val="0065784F"/>
    <w:rsid w:val="006578E0"/>
    <w:rsid w:val="006579D6"/>
    <w:rsid w:val="00657A00"/>
    <w:rsid w:val="00657A72"/>
    <w:rsid w:val="00657A78"/>
    <w:rsid w:val="00657AE9"/>
    <w:rsid w:val="00657C7E"/>
    <w:rsid w:val="00657C7F"/>
    <w:rsid w:val="00657D67"/>
    <w:rsid w:val="00657E84"/>
    <w:rsid w:val="00657FE2"/>
    <w:rsid w:val="00660068"/>
    <w:rsid w:val="00660081"/>
    <w:rsid w:val="006600F4"/>
    <w:rsid w:val="00660234"/>
    <w:rsid w:val="0066028C"/>
    <w:rsid w:val="00660294"/>
    <w:rsid w:val="006602C0"/>
    <w:rsid w:val="006602E2"/>
    <w:rsid w:val="00660330"/>
    <w:rsid w:val="00660363"/>
    <w:rsid w:val="0066048F"/>
    <w:rsid w:val="0066049C"/>
    <w:rsid w:val="006604AF"/>
    <w:rsid w:val="00660504"/>
    <w:rsid w:val="0066051A"/>
    <w:rsid w:val="0066053F"/>
    <w:rsid w:val="0066057B"/>
    <w:rsid w:val="00660594"/>
    <w:rsid w:val="006605A4"/>
    <w:rsid w:val="006605C3"/>
    <w:rsid w:val="006605EE"/>
    <w:rsid w:val="006605F0"/>
    <w:rsid w:val="0066062A"/>
    <w:rsid w:val="00660706"/>
    <w:rsid w:val="006608C1"/>
    <w:rsid w:val="006608CA"/>
    <w:rsid w:val="006608E6"/>
    <w:rsid w:val="0066091F"/>
    <w:rsid w:val="00660938"/>
    <w:rsid w:val="00660978"/>
    <w:rsid w:val="00660B23"/>
    <w:rsid w:val="00660B34"/>
    <w:rsid w:val="00660BDA"/>
    <w:rsid w:val="00660CD6"/>
    <w:rsid w:val="00660D2D"/>
    <w:rsid w:val="00660D5A"/>
    <w:rsid w:val="00660DC5"/>
    <w:rsid w:val="00660E20"/>
    <w:rsid w:val="00660EA9"/>
    <w:rsid w:val="00660EE7"/>
    <w:rsid w:val="00660F0A"/>
    <w:rsid w:val="00660FAC"/>
    <w:rsid w:val="006610E3"/>
    <w:rsid w:val="00661174"/>
    <w:rsid w:val="006611C1"/>
    <w:rsid w:val="0066128F"/>
    <w:rsid w:val="00661290"/>
    <w:rsid w:val="006612A7"/>
    <w:rsid w:val="006612C5"/>
    <w:rsid w:val="00661309"/>
    <w:rsid w:val="006613CB"/>
    <w:rsid w:val="006613D0"/>
    <w:rsid w:val="006613EE"/>
    <w:rsid w:val="00661464"/>
    <w:rsid w:val="00661498"/>
    <w:rsid w:val="00661626"/>
    <w:rsid w:val="00661660"/>
    <w:rsid w:val="006616CF"/>
    <w:rsid w:val="0066175D"/>
    <w:rsid w:val="006617EE"/>
    <w:rsid w:val="00661851"/>
    <w:rsid w:val="0066186C"/>
    <w:rsid w:val="006618FF"/>
    <w:rsid w:val="00661915"/>
    <w:rsid w:val="00661973"/>
    <w:rsid w:val="00661975"/>
    <w:rsid w:val="006619D1"/>
    <w:rsid w:val="00661A38"/>
    <w:rsid w:val="00661ADA"/>
    <w:rsid w:val="00661B67"/>
    <w:rsid w:val="00661B9A"/>
    <w:rsid w:val="00661BAD"/>
    <w:rsid w:val="00661BCA"/>
    <w:rsid w:val="00661C90"/>
    <w:rsid w:val="00661E07"/>
    <w:rsid w:val="00661E09"/>
    <w:rsid w:val="00661E2F"/>
    <w:rsid w:val="00661E46"/>
    <w:rsid w:val="00661F51"/>
    <w:rsid w:val="00661F6B"/>
    <w:rsid w:val="00661FAB"/>
    <w:rsid w:val="00662043"/>
    <w:rsid w:val="006620D0"/>
    <w:rsid w:val="006620FF"/>
    <w:rsid w:val="00662133"/>
    <w:rsid w:val="006621A1"/>
    <w:rsid w:val="006621E6"/>
    <w:rsid w:val="00662201"/>
    <w:rsid w:val="00662236"/>
    <w:rsid w:val="00662241"/>
    <w:rsid w:val="0066231E"/>
    <w:rsid w:val="00662352"/>
    <w:rsid w:val="006623A3"/>
    <w:rsid w:val="006623CA"/>
    <w:rsid w:val="006623F4"/>
    <w:rsid w:val="0066240E"/>
    <w:rsid w:val="0066247D"/>
    <w:rsid w:val="0066249D"/>
    <w:rsid w:val="0066252E"/>
    <w:rsid w:val="0066254D"/>
    <w:rsid w:val="006625CF"/>
    <w:rsid w:val="006625FA"/>
    <w:rsid w:val="006626E3"/>
    <w:rsid w:val="00662779"/>
    <w:rsid w:val="006627AE"/>
    <w:rsid w:val="006627C3"/>
    <w:rsid w:val="006628B0"/>
    <w:rsid w:val="006629D0"/>
    <w:rsid w:val="00662A3F"/>
    <w:rsid w:val="00662A7F"/>
    <w:rsid w:val="00662B7A"/>
    <w:rsid w:val="00662BAE"/>
    <w:rsid w:val="00662C1B"/>
    <w:rsid w:val="00662C5E"/>
    <w:rsid w:val="00662C6E"/>
    <w:rsid w:val="00662D0A"/>
    <w:rsid w:val="00662DE8"/>
    <w:rsid w:val="00662E3D"/>
    <w:rsid w:val="00662EF6"/>
    <w:rsid w:val="00662F9E"/>
    <w:rsid w:val="00662FBC"/>
    <w:rsid w:val="0066303E"/>
    <w:rsid w:val="00663093"/>
    <w:rsid w:val="006630D6"/>
    <w:rsid w:val="006630EB"/>
    <w:rsid w:val="006630F4"/>
    <w:rsid w:val="0066310B"/>
    <w:rsid w:val="00663142"/>
    <w:rsid w:val="00663173"/>
    <w:rsid w:val="0066318B"/>
    <w:rsid w:val="0066319A"/>
    <w:rsid w:val="00663200"/>
    <w:rsid w:val="0066320C"/>
    <w:rsid w:val="00663358"/>
    <w:rsid w:val="006633A9"/>
    <w:rsid w:val="006633FD"/>
    <w:rsid w:val="0066344F"/>
    <w:rsid w:val="00663495"/>
    <w:rsid w:val="006634F5"/>
    <w:rsid w:val="00663599"/>
    <w:rsid w:val="006635BE"/>
    <w:rsid w:val="006635E7"/>
    <w:rsid w:val="00663641"/>
    <w:rsid w:val="00663685"/>
    <w:rsid w:val="006636ED"/>
    <w:rsid w:val="0066371C"/>
    <w:rsid w:val="00663750"/>
    <w:rsid w:val="00663783"/>
    <w:rsid w:val="006637B2"/>
    <w:rsid w:val="006637D3"/>
    <w:rsid w:val="00663806"/>
    <w:rsid w:val="0066397E"/>
    <w:rsid w:val="0066398B"/>
    <w:rsid w:val="006639AE"/>
    <w:rsid w:val="00663A2D"/>
    <w:rsid w:val="00663A83"/>
    <w:rsid w:val="00663B60"/>
    <w:rsid w:val="00663BFA"/>
    <w:rsid w:val="00663C20"/>
    <w:rsid w:val="00663C95"/>
    <w:rsid w:val="00663CF9"/>
    <w:rsid w:val="00663D9B"/>
    <w:rsid w:val="00663E2A"/>
    <w:rsid w:val="00663EA6"/>
    <w:rsid w:val="00663EDA"/>
    <w:rsid w:val="00663F08"/>
    <w:rsid w:val="00663F13"/>
    <w:rsid w:val="00663F19"/>
    <w:rsid w:val="00663F3B"/>
    <w:rsid w:val="00663F59"/>
    <w:rsid w:val="00663FCE"/>
    <w:rsid w:val="0066403F"/>
    <w:rsid w:val="00664049"/>
    <w:rsid w:val="006640DB"/>
    <w:rsid w:val="0066414D"/>
    <w:rsid w:val="006642A6"/>
    <w:rsid w:val="006642B1"/>
    <w:rsid w:val="00664312"/>
    <w:rsid w:val="0066437A"/>
    <w:rsid w:val="006643CA"/>
    <w:rsid w:val="00664458"/>
    <w:rsid w:val="00664479"/>
    <w:rsid w:val="0066447C"/>
    <w:rsid w:val="006644B1"/>
    <w:rsid w:val="006644B7"/>
    <w:rsid w:val="0066454E"/>
    <w:rsid w:val="00664718"/>
    <w:rsid w:val="0066472B"/>
    <w:rsid w:val="00664882"/>
    <w:rsid w:val="00664888"/>
    <w:rsid w:val="006648F5"/>
    <w:rsid w:val="006648F7"/>
    <w:rsid w:val="0066498D"/>
    <w:rsid w:val="00664A29"/>
    <w:rsid w:val="00664A73"/>
    <w:rsid w:val="00664BBF"/>
    <w:rsid w:val="00664C28"/>
    <w:rsid w:val="00664D29"/>
    <w:rsid w:val="00664D3C"/>
    <w:rsid w:val="00664D7B"/>
    <w:rsid w:val="00664DA2"/>
    <w:rsid w:val="00664DAB"/>
    <w:rsid w:val="00664DAE"/>
    <w:rsid w:val="00664E13"/>
    <w:rsid w:val="00664EE2"/>
    <w:rsid w:val="00664EFC"/>
    <w:rsid w:val="00664F07"/>
    <w:rsid w:val="0066500C"/>
    <w:rsid w:val="006650BA"/>
    <w:rsid w:val="00665280"/>
    <w:rsid w:val="006652A4"/>
    <w:rsid w:val="006652A8"/>
    <w:rsid w:val="00665444"/>
    <w:rsid w:val="00665459"/>
    <w:rsid w:val="006654CD"/>
    <w:rsid w:val="0066550D"/>
    <w:rsid w:val="00665578"/>
    <w:rsid w:val="00665590"/>
    <w:rsid w:val="00665596"/>
    <w:rsid w:val="006655D5"/>
    <w:rsid w:val="006655E7"/>
    <w:rsid w:val="00665656"/>
    <w:rsid w:val="006656A7"/>
    <w:rsid w:val="006656E0"/>
    <w:rsid w:val="00665700"/>
    <w:rsid w:val="0066575D"/>
    <w:rsid w:val="00665839"/>
    <w:rsid w:val="00665863"/>
    <w:rsid w:val="006658E7"/>
    <w:rsid w:val="0066598F"/>
    <w:rsid w:val="00665A22"/>
    <w:rsid w:val="00665A2B"/>
    <w:rsid w:val="00665A37"/>
    <w:rsid w:val="00665A3F"/>
    <w:rsid w:val="00665A40"/>
    <w:rsid w:val="00665A68"/>
    <w:rsid w:val="00665A99"/>
    <w:rsid w:val="00665A9F"/>
    <w:rsid w:val="00665B87"/>
    <w:rsid w:val="00665BDA"/>
    <w:rsid w:val="00665BE1"/>
    <w:rsid w:val="00665C68"/>
    <w:rsid w:val="00665C8A"/>
    <w:rsid w:val="00665CAC"/>
    <w:rsid w:val="00665DDE"/>
    <w:rsid w:val="00665EF3"/>
    <w:rsid w:val="00665F5F"/>
    <w:rsid w:val="00665F6A"/>
    <w:rsid w:val="00665FE2"/>
    <w:rsid w:val="00666048"/>
    <w:rsid w:val="006660AC"/>
    <w:rsid w:val="0066615B"/>
    <w:rsid w:val="0066624B"/>
    <w:rsid w:val="006662D1"/>
    <w:rsid w:val="00666368"/>
    <w:rsid w:val="0066638A"/>
    <w:rsid w:val="0066638E"/>
    <w:rsid w:val="006664C6"/>
    <w:rsid w:val="006664D0"/>
    <w:rsid w:val="0066653A"/>
    <w:rsid w:val="006665F7"/>
    <w:rsid w:val="00666666"/>
    <w:rsid w:val="0066672E"/>
    <w:rsid w:val="00666864"/>
    <w:rsid w:val="006668B5"/>
    <w:rsid w:val="00666A67"/>
    <w:rsid w:val="00666A94"/>
    <w:rsid w:val="00666C08"/>
    <w:rsid w:val="00666C80"/>
    <w:rsid w:val="00666C9F"/>
    <w:rsid w:val="00666CCF"/>
    <w:rsid w:val="00666D48"/>
    <w:rsid w:val="00666E6F"/>
    <w:rsid w:val="00666ECA"/>
    <w:rsid w:val="00666FA9"/>
    <w:rsid w:val="00667047"/>
    <w:rsid w:val="00667094"/>
    <w:rsid w:val="0066712E"/>
    <w:rsid w:val="00667164"/>
    <w:rsid w:val="00667186"/>
    <w:rsid w:val="00667228"/>
    <w:rsid w:val="00667275"/>
    <w:rsid w:val="006672D9"/>
    <w:rsid w:val="006672F6"/>
    <w:rsid w:val="00667307"/>
    <w:rsid w:val="0066738E"/>
    <w:rsid w:val="006673E7"/>
    <w:rsid w:val="006673F3"/>
    <w:rsid w:val="00667439"/>
    <w:rsid w:val="0066746A"/>
    <w:rsid w:val="006674CD"/>
    <w:rsid w:val="0066755D"/>
    <w:rsid w:val="0066759F"/>
    <w:rsid w:val="006676CE"/>
    <w:rsid w:val="006676E1"/>
    <w:rsid w:val="006676F3"/>
    <w:rsid w:val="006678F1"/>
    <w:rsid w:val="006678F8"/>
    <w:rsid w:val="00667941"/>
    <w:rsid w:val="00667980"/>
    <w:rsid w:val="00667984"/>
    <w:rsid w:val="00667A13"/>
    <w:rsid w:val="00667A27"/>
    <w:rsid w:val="00667A4A"/>
    <w:rsid w:val="00667A5B"/>
    <w:rsid w:val="00667A65"/>
    <w:rsid w:val="00667BC7"/>
    <w:rsid w:val="00667BD3"/>
    <w:rsid w:val="00667CE2"/>
    <w:rsid w:val="00667D50"/>
    <w:rsid w:val="00667D6F"/>
    <w:rsid w:val="00667DD0"/>
    <w:rsid w:val="00667DE3"/>
    <w:rsid w:val="00667E28"/>
    <w:rsid w:val="006701CF"/>
    <w:rsid w:val="006701D7"/>
    <w:rsid w:val="006702BD"/>
    <w:rsid w:val="00670338"/>
    <w:rsid w:val="0067037F"/>
    <w:rsid w:val="006703A9"/>
    <w:rsid w:val="00670427"/>
    <w:rsid w:val="006704D0"/>
    <w:rsid w:val="0067050C"/>
    <w:rsid w:val="006705F1"/>
    <w:rsid w:val="006705FD"/>
    <w:rsid w:val="0067061B"/>
    <w:rsid w:val="0067064A"/>
    <w:rsid w:val="00670696"/>
    <w:rsid w:val="006706D5"/>
    <w:rsid w:val="006707AE"/>
    <w:rsid w:val="006707AF"/>
    <w:rsid w:val="00670856"/>
    <w:rsid w:val="00670885"/>
    <w:rsid w:val="006708B5"/>
    <w:rsid w:val="00670920"/>
    <w:rsid w:val="0067092A"/>
    <w:rsid w:val="0067099E"/>
    <w:rsid w:val="00670A20"/>
    <w:rsid w:val="00670AAE"/>
    <w:rsid w:val="00670B0C"/>
    <w:rsid w:val="00670BE7"/>
    <w:rsid w:val="00670BEC"/>
    <w:rsid w:val="00670BED"/>
    <w:rsid w:val="00670C04"/>
    <w:rsid w:val="00670C05"/>
    <w:rsid w:val="00670CA7"/>
    <w:rsid w:val="00670CB4"/>
    <w:rsid w:val="00670D25"/>
    <w:rsid w:val="00670D64"/>
    <w:rsid w:val="00670DA6"/>
    <w:rsid w:val="00670F18"/>
    <w:rsid w:val="00670F72"/>
    <w:rsid w:val="00670FB6"/>
    <w:rsid w:val="00670FEB"/>
    <w:rsid w:val="0067102C"/>
    <w:rsid w:val="00671085"/>
    <w:rsid w:val="006710E4"/>
    <w:rsid w:val="006710E8"/>
    <w:rsid w:val="006710E9"/>
    <w:rsid w:val="006710FD"/>
    <w:rsid w:val="006710FF"/>
    <w:rsid w:val="0067110A"/>
    <w:rsid w:val="0067115F"/>
    <w:rsid w:val="006711D0"/>
    <w:rsid w:val="006711D1"/>
    <w:rsid w:val="006712D2"/>
    <w:rsid w:val="00671329"/>
    <w:rsid w:val="00671358"/>
    <w:rsid w:val="00671396"/>
    <w:rsid w:val="006713AD"/>
    <w:rsid w:val="00671460"/>
    <w:rsid w:val="0067150A"/>
    <w:rsid w:val="00671525"/>
    <w:rsid w:val="00671546"/>
    <w:rsid w:val="0067166E"/>
    <w:rsid w:val="00671724"/>
    <w:rsid w:val="006717A3"/>
    <w:rsid w:val="00671851"/>
    <w:rsid w:val="00671904"/>
    <w:rsid w:val="00671988"/>
    <w:rsid w:val="00671A1A"/>
    <w:rsid w:val="00671A94"/>
    <w:rsid w:val="00671AB2"/>
    <w:rsid w:val="00671B01"/>
    <w:rsid w:val="00671B13"/>
    <w:rsid w:val="00671B51"/>
    <w:rsid w:val="00671B6C"/>
    <w:rsid w:val="00671BDE"/>
    <w:rsid w:val="00671C59"/>
    <w:rsid w:val="00671C69"/>
    <w:rsid w:val="00671CEF"/>
    <w:rsid w:val="00671D15"/>
    <w:rsid w:val="00671E13"/>
    <w:rsid w:val="00671E82"/>
    <w:rsid w:val="00671EB2"/>
    <w:rsid w:val="0067201A"/>
    <w:rsid w:val="0067202D"/>
    <w:rsid w:val="00672037"/>
    <w:rsid w:val="00672044"/>
    <w:rsid w:val="0067205A"/>
    <w:rsid w:val="006720C2"/>
    <w:rsid w:val="0067213E"/>
    <w:rsid w:val="006721B3"/>
    <w:rsid w:val="00672214"/>
    <w:rsid w:val="0067237F"/>
    <w:rsid w:val="00672404"/>
    <w:rsid w:val="00672434"/>
    <w:rsid w:val="00672504"/>
    <w:rsid w:val="00672515"/>
    <w:rsid w:val="00672592"/>
    <w:rsid w:val="0067265B"/>
    <w:rsid w:val="006726FE"/>
    <w:rsid w:val="00672773"/>
    <w:rsid w:val="0067278F"/>
    <w:rsid w:val="006727B0"/>
    <w:rsid w:val="006727FA"/>
    <w:rsid w:val="00672805"/>
    <w:rsid w:val="00672830"/>
    <w:rsid w:val="00672926"/>
    <w:rsid w:val="00672956"/>
    <w:rsid w:val="00672971"/>
    <w:rsid w:val="006729C2"/>
    <w:rsid w:val="006729DE"/>
    <w:rsid w:val="00672A4B"/>
    <w:rsid w:val="00672ACB"/>
    <w:rsid w:val="00672B6D"/>
    <w:rsid w:val="00672BC0"/>
    <w:rsid w:val="00672BFE"/>
    <w:rsid w:val="00672C10"/>
    <w:rsid w:val="00672C45"/>
    <w:rsid w:val="00672C51"/>
    <w:rsid w:val="00672C89"/>
    <w:rsid w:val="00672D23"/>
    <w:rsid w:val="00672E28"/>
    <w:rsid w:val="00672EA8"/>
    <w:rsid w:val="00672F0E"/>
    <w:rsid w:val="00672F22"/>
    <w:rsid w:val="00672F2A"/>
    <w:rsid w:val="00672F3E"/>
    <w:rsid w:val="00673046"/>
    <w:rsid w:val="0067312F"/>
    <w:rsid w:val="00673131"/>
    <w:rsid w:val="00673173"/>
    <w:rsid w:val="00673194"/>
    <w:rsid w:val="00673283"/>
    <w:rsid w:val="00673291"/>
    <w:rsid w:val="00673292"/>
    <w:rsid w:val="00673346"/>
    <w:rsid w:val="00673379"/>
    <w:rsid w:val="006733DA"/>
    <w:rsid w:val="00673442"/>
    <w:rsid w:val="00673477"/>
    <w:rsid w:val="006734A0"/>
    <w:rsid w:val="006734DD"/>
    <w:rsid w:val="00673529"/>
    <w:rsid w:val="00673547"/>
    <w:rsid w:val="006735B6"/>
    <w:rsid w:val="006735BB"/>
    <w:rsid w:val="006735D2"/>
    <w:rsid w:val="00673707"/>
    <w:rsid w:val="0067371D"/>
    <w:rsid w:val="0067376F"/>
    <w:rsid w:val="00673790"/>
    <w:rsid w:val="006737CA"/>
    <w:rsid w:val="006737CC"/>
    <w:rsid w:val="00673882"/>
    <w:rsid w:val="006738A5"/>
    <w:rsid w:val="006739FD"/>
    <w:rsid w:val="00673AAE"/>
    <w:rsid w:val="00673B0A"/>
    <w:rsid w:val="00673B54"/>
    <w:rsid w:val="00673B5B"/>
    <w:rsid w:val="00673BDD"/>
    <w:rsid w:val="00673BEC"/>
    <w:rsid w:val="00673C90"/>
    <w:rsid w:val="00673D0D"/>
    <w:rsid w:val="00673D3F"/>
    <w:rsid w:val="00673D7F"/>
    <w:rsid w:val="00673E36"/>
    <w:rsid w:val="00673E5F"/>
    <w:rsid w:val="00673F06"/>
    <w:rsid w:val="00673F21"/>
    <w:rsid w:val="00673F71"/>
    <w:rsid w:val="00674007"/>
    <w:rsid w:val="006740D0"/>
    <w:rsid w:val="0067411D"/>
    <w:rsid w:val="00674138"/>
    <w:rsid w:val="00674142"/>
    <w:rsid w:val="00674192"/>
    <w:rsid w:val="0067419C"/>
    <w:rsid w:val="0067429A"/>
    <w:rsid w:val="006742C1"/>
    <w:rsid w:val="006742E8"/>
    <w:rsid w:val="00674390"/>
    <w:rsid w:val="006743AA"/>
    <w:rsid w:val="006743ED"/>
    <w:rsid w:val="00674466"/>
    <w:rsid w:val="0067454C"/>
    <w:rsid w:val="00674717"/>
    <w:rsid w:val="0067473A"/>
    <w:rsid w:val="006747EA"/>
    <w:rsid w:val="0067483F"/>
    <w:rsid w:val="00674872"/>
    <w:rsid w:val="00674967"/>
    <w:rsid w:val="0067499C"/>
    <w:rsid w:val="006749A5"/>
    <w:rsid w:val="006749DB"/>
    <w:rsid w:val="00674A63"/>
    <w:rsid w:val="00674AA9"/>
    <w:rsid w:val="00674C08"/>
    <w:rsid w:val="00674CB1"/>
    <w:rsid w:val="00674CBA"/>
    <w:rsid w:val="00674DA3"/>
    <w:rsid w:val="00674E20"/>
    <w:rsid w:val="00674E94"/>
    <w:rsid w:val="00674F12"/>
    <w:rsid w:val="00674F66"/>
    <w:rsid w:val="00674FA4"/>
    <w:rsid w:val="00674FEC"/>
    <w:rsid w:val="00675029"/>
    <w:rsid w:val="00675041"/>
    <w:rsid w:val="00675066"/>
    <w:rsid w:val="00675090"/>
    <w:rsid w:val="00675183"/>
    <w:rsid w:val="0067518A"/>
    <w:rsid w:val="006752E3"/>
    <w:rsid w:val="00675359"/>
    <w:rsid w:val="00675439"/>
    <w:rsid w:val="00675476"/>
    <w:rsid w:val="006754BC"/>
    <w:rsid w:val="0067550D"/>
    <w:rsid w:val="006755A7"/>
    <w:rsid w:val="006755AE"/>
    <w:rsid w:val="006755DB"/>
    <w:rsid w:val="006755EE"/>
    <w:rsid w:val="00675662"/>
    <w:rsid w:val="006756D9"/>
    <w:rsid w:val="00675704"/>
    <w:rsid w:val="00675818"/>
    <w:rsid w:val="00675922"/>
    <w:rsid w:val="00675A62"/>
    <w:rsid w:val="00675AB6"/>
    <w:rsid w:val="00675AE7"/>
    <w:rsid w:val="00675C44"/>
    <w:rsid w:val="00675E29"/>
    <w:rsid w:val="00675F0C"/>
    <w:rsid w:val="00675F43"/>
    <w:rsid w:val="00675F47"/>
    <w:rsid w:val="00675FA6"/>
    <w:rsid w:val="0067606F"/>
    <w:rsid w:val="006761D4"/>
    <w:rsid w:val="00676225"/>
    <w:rsid w:val="006762A9"/>
    <w:rsid w:val="006762BA"/>
    <w:rsid w:val="00676466"/>
    <w:rsid w:val="0067647C"/>
    <w:rsid w:val="006764E5"/>
    <w:rsid w:val="00676513"/>
    <w:rsid w:val="006766A0"/>
    <w:rsid w:val="00676758"/>
    <w:rsid w:val="00676797"/>
    <w:rsid w:val="006767CA"/>
    <w:rsid w:val="00676831"/>
    <w:rsid w:val="006768A2"/>
    <w:rsid w:val="00676A60"/>
    <w:rsid w:val="00676B28"/>
    <w:rsid w:val="00676B2A"/>
    <w:rsid w:val="00676BFF"/>
    <w:rsid w:val="00676C3B"/>
    <w:rsid w:val="00676C42"/>
    <w:rsid w:val="00676CBC"/>
    <w:rsid w:val="00676CF2"/>
    <w:rsid w:val="00676DBE"/>
    <w:rsid w:val="00676F56"/>
    <w:rsid w:val="00676F65"/>
    <w:rsid w:val="00676FB7"/>
    <w:rsid w:val="00677020"/>
    <w:rsid w:val="00677036"/>
    <w:rsid w:val="00677134"/>
    <w:rsid w:val="00677164"/>
    <w:rsid w:val="00677173"/>
    <w:rsid w:val="00677236"/>
    <w:rsid w:val="00677238"/>
    <w:rsid w:val="00677263"/>
    <w:rsid w:val="006772F6"/>
    <w:rsid w:val="0067730B"/>
    <w:rsid w:val="00677371"/>
    <w:rsid w:val="006773B3"/>
    <w:rsid w:val="00677416"/>
    <w:rsid w:val="0067744F"/>
    <w:rsid w:val="0067745B"/>
    <w:rsid w:val="0067748B"/>
    <w:rsid w:val="00677555"/>
    <w:rsid w:val="006775AC"/>
    <w:rsid w:val="006775C3"/>
    <w:rsid w:val="0067761C"/>
    <w:rsid w:val="0067763B"/>
    <w:rsid w:val="00677700"/>
    <w:rsid w:val="0067773F"/>
    <w:rsid w:val="006777F5"/>
    <w:rsid w:val="006778F8"/>
    <w:rsid w:val="00677992"/>
    <w:rsid w:val="00677AF5"/>
    <w:rsid w:val="00677B30"/>
    <w:rsid w:val="00677B68"/>
    <w:rsid w:val="00677BAC"/>
    <w:rsid w:val="00677BBF"/>
    <w:rsid w:val="00677BDD"/>
    <w:rsid w:val="00677BEB"/>
    <w:rsid w:val="00677C68"/>
    <w:rsid w:val="00677CB3"/>
    <w:rsid w:val="00677DCB"/>
    <w:rsid w:val="00677E3C"/>
    <w:rsid w:val="00677E9C"/>
    <w:rsid w:val="00677ED3"/>
    <w:rsid w:val="00677F06"/>
    <w:rsid w:val="00680070"/>
    <w:rsid w:val="0068008C"/>
    <w:rsid w:val="006800A7"/>
    <w:rsid w:val="006800BB"/>
    <w:rsid w:val="006800D6"/>
    <w:rsid w:val="00680126"/>
    <w:rsid w:val="00680154"/>
    <w:rsid w:val="0068021B"/>
    <w:rsid w:val="0068023F"/>
    <w:rsid w:val="0068041A"/>
    <w:rsid w:val="00680490"/>
    <w:rsid w:val="006804B0"/>
    <w:rsid w:val="0068050F"/>
    <w:rsid w:val="006805D6"/>
    <w:rsid w:val="00680648"/>
    <w:rsid w:val="00680668"/>
    <w:rsid w:val="0068066D"/>
    <w:rsid w:val="006806DF"/>
    <w:rsid w:val="006806ED"/>
    <w:rsid w:val="00680816"/>
    <w:rsid w:val="00680844"/>
    <w:rsid w:val="00680861"/>
    <w:rsid w:val="0068088E"/>
    <w:rsid w:val="006808C7"/>
    <w:rsid w:val="00680914"/>
    <w:rsid w:val="0068091D"/>
    <w:rsid w:val="00680921"/>
    <w:rsid w:val="0068092E"/>
    <w:rsid w:val="0068099C"/>
    <w:rsid w:val="006809B9"/>
    <w:rsid w:val="006809DD"/>
    <w:rsid w:val="00680A20"/>
    <w:rsid w:val="00680A54"/>
    <w:rsid w:val="00680B80"/>
    <w:rsid w:val="00680BA3"/>
    <w:rsid w:val="00680C33"/>
    <w:rsid w:val="00680C82"/>
    <w:rsid w:val="00680D39"/>
    <w:rsid w:val="00680D47"/>
    <w:rsid w:val="00680D9C"/>
    <w:rsid w:val="00680DFE"/>
    <w:rsid w:val="00680E6B"/>
    <w:rsid w:val="00680E8D"/>
    <w:rsid w:val="00680ED3"/>
    <w:rsid w:val="00680F9F"/>
    <w:rsid w:val="0068104D"/>
    <w:rsid w:val="006810C3"/>
    <w:rsid w:val="006810F7"/>
    <w:rsid w:val="00681186"/>
    <w:rsid w:val="006811D5"/>
    <w:rsid w:val="0068120C"/>
    <w:rsid w:val="00681379"/>
    <w:rsid w:val="0068143A"/>
    <w:rsid w:val="0068148B"/>
    <w:rsid w:val="006814E2"/>
    <w:rsid w:val="00681514"/>
    <w:rsid w:val="006815A2"/>
    <w:rsid w:val="006815F1"/>
    <w:rsid w:val="00681644"/>
    <w:rsid w:val="0068164C"/>
    <w:rsid w:val="00681651"/>
    <w:rsid w:val="00681656"/>
    <w:rsid w:val="00681736"/>
    <w:rsid w:val="00681784"/>
    <w:rsid w:val="006817C6"/>
    <w:rsid w:val="0068184F"/>
    <w:rsid w:val="00681864"/>
    <w:rsid w:val="006818DA"/>
    <w:rsid w:val="00681904"/>
    <w:rsid w:val="00681997"/>
    <w:rsid w:val="006819A0"/>
    <w:rsid w:val="006819E3"/>
    <w:rsid w:val="00681A53"/>
    <w:rsid w:val="00681ABA"/>
    <w:rsid w:val="00681BB2"/>
    <w:rsid w:val="00681BB3"/>
    <w:rsid w:val="00681BCA"/>
    <w:rsid w:val="00681C64"/>
    <w:rsid w:val="00681D6A"/>
    <w:rsid w:val="00681DB5"/>
    <w:rsid w:val="00681E7C"/>
    <w:rsid w:val="00681F6C"/>
    <w:rsid w:val="00681FEB"/>
    <w:rsid w:val="00682041"/>
    <w:rsid w:val="0068206B"/>
    <w:rsid w:val="006820BB"/>
    <w:rsid w:val="006820E9"/>
    <w:rsid w:val="00682168"/>
    <w:rsid w:val="006821BA"/>
    <w:rsid w:val="00682287"/>
    <w:rsid w:val="00682316"/>
    <w:rsid w:val="00682321"/>
    <w:rsid w:val="006823F6"/>
    <w:rsid w:val="0068245C"/>
    <w:rsid w:val="00682472"/>
    <w:rsid w:val="006825DC"/>
    <w:rsid w:val="0068262E"/>
    <w:rsid w:val="0068267F"/>
    <w:rsid w:val="00682711"/>
    <w:rsid w:val="006828D2"/>
    <w:rsid w:val="00682922"/>
    <w:rsid w:val="00682990"/>
    <w:rsid w:val="006829A9"/>
    <w:rsid w:val="006829D1"/>
    <w:rsid w:val="00682A43"/>
    <w:rsid w:val="00682AB8"/>
    <w:rsid w:val="00682B55"/>
    <w:rsid w:val="00682B91"/>
    <w:rsid w:val="00682B9C"/>
    <w:rsid w:val="00682C02"/>
    <w:rsid w:val="00682C97"/>
    <w:rsid w:val="00682CF1"/>
    <w:rsid w:val="00682FBD"/>
    <w:rsid w:val="00682FC1"/>
    <w:rsid w:val="00683074"/>
    <w:rsid w:val="00683109"/>
    <w:rsid w:val="00683154"/>
    <w:rsid w:val="00683172"/>
    <w:rsid w:val="0068319B"/>
    <w:rsid w:val="006831A5"/>
    <w:rsid w:val="00683255"/>
    <w:rsid w:val="00683294"/>
    <w:rsid w:val="006832E2"/>
    <w:rsid w:val="006832F1"/>
    <w:rsid w:val="00683382"/>
    <w:rsid w:val="00683383"/>
    <w:rsid w:val="0068339E"/>
    <w:rsid w:val="00683451"/>
    <w:rsid w:val="0068347E"/>
    <w:rsid w:val="0068348C"/>
    <w:rsid w:val="0068354A"/>
    <w:rsid w:val="00683744"/>
    <w:rsid w:val="006837C0"/>
    <w:rsid w:val="00683882"/>
    <w:rsid w:val="00683887"/>
    <w:rsid w:val="0068389C"/>
    <w:rsid w:val="006838F9"/>
    <w:rsid w:val="00683932"/>
    <w:rsid w:val="0068395E"/>
    <w:rsid w:val="00683994"/>
    <w:rsid w:val="006839E2"/>
    <w:rsid w:val="00683AE9"/>
    <w:rsid w:val="00683B27"/>
    <w:rsid w:val="00683B36"/>
    <w:rsid w:val="00683C06"/>
    <w:rsid w:val="00683CEF"/>
    <w:rsid w:val="00683E42"/>
    <w:rsid w:val="00683E46"/>
    <w:rsid w:val="00683EF2"/>
    <w:rsid w:val="00683F04"/>
    <w:rsid w:val="00683FB2"/>
    <w:rsid w:val="00683FBD"/>
    <w:rsid w:val="0068419C"/>
    <w:rsid w:val="006841E8"/>
    <w:rsid w:val="0068428B"/>
    <w:rsid w:val="006842A9"/>
    <w:rsid w:val="006842CB"/>
    <w:rsid w:val="006842CF"/>
    <w:rsid w:val="006843A1"/>
    <w:rsid w:val="006843C0"/>
    <w:rsid w:val="006843E3"/>
    <w:rsid w:val="0068440A"/>
    <w:rsid w:val="00684481"/>
    <w:rsid w:val="006844F2"/>
    <w:rsid w:val="00684563"/>
    <w:rsid w:val="00684599"/>
    <w:rsid w:val="006845B7"/>
    <w:rsid w:val="00684653"/>
    <w:rsid w:val="0068469C"/>
    <w:rsid w:val="006846B1"/>
    <w:rsid w:val="00684761"/>
    <w:rsid w:val="00684792"/>
    <w:rsid w:val="006848D3"/>
    <w:rsid w:val="0068492D"/>
    <w:rsid w:val="00684975"/>
    <w:rsid w:val="006849F3"/>
    <w:rsid w:val="00684A15"/>
    <w:rsid w:val="00684AB5"/>
    <w:rsid w:val="00684AFB"/>
    <w:rsid w:val="00684B04"/>
    <w:rsid w:val="00684BE9"/>
    <w:rsid w:val="00684C1A"/>
    <w:rsid w:val="00684CB2"/>
    <w:rsid w:val="00684CF2"/>
    <w:rsid w:val="00684D47"/>
    <w:rsid w:val="00684D69"/>
    <w:rsid w:val="00684DCB"/>
    <w:rsid w:val="00684E6C"/>
    <w:rsid w:val="00684EB3"/>
    <w:rsid w:val="00684EDE"/>
    <w:rsid w:val="00684F01"/>
    <w:rsid w:val="00684F52"/>
    <w:rsid w:val="00684FBD"/>
    <w:rsid w:val="00685093"/>
    <w:rsid w:val="0068510E"/>
    <w:rsid w:val="00685337"/>
    <w:rsid w:val="006853AA"/>
    <w:rsid w:val="00685503"/>
    <w:rsid w:val="0068554B"/>
    <w:rsid w:val="00685571"/>
    <w:rsid w:val="006855D8"/>
    <w:rsid w:val="00685602"/>
    <w:rsid w:val="0068563F"/>
    <w:rsid w:val="006856A1"/>
    <w:rsid w:val="0068570C"/>
    <w:rsid w:val="00685782"/>
    <w:rsid w:val="006857BE"/>
    <w:rsid w:val="006857E5"/>
    <w:rsid w:val="00685822"/>
    <w:rsid w:val="00685837"/>
    <w:rsid w:val="0068587C"/>
    <w:rsid w:val="0068589C"/>
    <w:rsid w:val="006859A1"/>
    <w:rsid w:val="00685A80"/>
    <w:rsid w:val="00685AAF"/>
    <w:rsid w:val="00685AB4"/>
    <w:rsid w:val="00685AD3"/>
    <w:rsid w:val="00685AED"/>
    <w:rsid w:val="00685B99"/>
    <w:rsid w:val="00685BD3"/>
    <w:rsid w:val="00685C45"/>
    <w:rsid w:val="00685C47"/>
    <w:rsid w:val="00685E85"/>
    <w:rsid w:val="00685EE7"/>
    <w:rsid w:val="00685F35"/>
    <w:rsid w:val="00685F43"/>
    <w:rsid w:val="00685F82"/>
    <w:rsid w:val="00686082"/>
    <w:rsid w:val="006860D0"/>
    <w:rsid w:val="006860E8"/>
    <w:rsid w:val="006861AE"/>
    <w:rsid w:val="00686217"/>
    <w:rsid w:val="00686272"/>
    <w:rsid w:val="006862C5"/>
    <w:rsid w:val="00686303"/>
    <w:rsid w:val="006863C7"/>
    <w:rsid w:val="00686420"/>
    <w:rsid w:val="00686452"/>
    <w:rsid w:val="00686457"/>
    <w:rsid w:val="006864A1"/>
    <w:rsid w:val="006864D9"/>
    <w:rsid w:val="0068651E"/>
    <w:rsid w:val="0068657E"/>
    <w:rsid w:val="00686619"/>
    <w:rsid w:val="00686680"/>
    <w:rsid w:val="006867A8"/>
    <w:rsid w:val="0068682D"/>
    <w:rsid w:val="006868C3"/>
    <w:rsid w:val="006868C8"/>
    <w:rsid w:val="00686914"/>
    <w:rsid w:val="00686917"/>
    <w:rsid w:val="00686921"/>
    <w:rsid w:val="00686952"/>
    <w:rsid w:val="00686B19"/>
    <w:rsid w:val="00686B38"/>
    <w:rsid w:val="00686B61"/>
    <w:rsid w:val="00686BCA"/>
    <w:rsid w:val="00686E3D"/>
    <w:rsid w:val="00686F04"/>
    <w:rsid w:val="00686F5E"/>
    <w:rsid w:val="00686FC1"/>
    <w:rsid w:val="00686FD6"/>
    <w:rsid w:val="00687044"/>
    <w:rsid w:val="0068704D"/>
    <w:rsid w:val="0068707F"/>
    <w:rsid w:val="00687080"/>
    <w:rsid w:val="00687112"/>
    <w:rsid w:val="0068715B"/>
    <w:rsid w:val="0068718D"/>
    <w:rsid w:val="006871A0"/>
    <w:rsid w:val="006871AB"/>
    <w:rsid w:val="006871EC"/>
    <w:rsid w:val="00687200"/>
    <w:rsid w:val="00687221"/>
    <w:rsid w:val="0068730E"/>
    <w:rsid w:val="0068747D"/>
    <w:rsid w:val="006874EB"/>
    <w:rsid w:val="006874F4"/>
    <w:rsid w:val="0068755C"/>
    <w:rsid w:val="006875E3"/>
    <w:rsid w:val="006875FF"/>
    <w:rsid w:val="0068761E"/>
    <w:rsid w:val="006877AE"/>
    <w:rsid w:val="006877BA"/>
    <w:rsid w:val="00687870"/>
    <w:rsid w:val="0068790C"/>
    <w:rsid w:val="00687972"/>
    <w:rsid w:val="006879E6"/>
    <w:rsid w:val="00687A1D"/>
    <w:rsid w:val="00687A4A"/>
    <w:rsid w:val="00687A78"/>
    <w:rsid w:val="00687AA0"/>
    <w:rsid w:val="00687AEC"/>
    <w:rsid w:val="00687AFA"/>
    <w:rsid w:val="00687BCC"/>
    <w:rsid w:val="00687C24"/>
    <w:rsid w:val="00687C82"/>
    <w:rsid w:val="00687D26"/>
    <w:rsid w:val="00687E14"/>
    <w:rsid w:val="00687E96"/>
    <w:rsid w:val="00687F21"/>
    <w:rsid w:val="00690176"/>
    <w:rsid w:val="006901CF"/>
    <w:rsid w:val="00690242"/>
    <w:rsid w:val="0069027C"/>
    <w:rsid w:val="006902C2"/>
    <w:rsid w:val="0069039F"/>
    <w:rsid w:val="006903AB"/>
    <w:rsid w:val="006903E8"/>
    <w:rsid w:val="006903EE"/>
    <w:rsid w:val="00690474"/>
    <w:rsid w:val="0069050E"/>
    <w:rsid w:val="0069051D"/>
    <w:rsid w:val="0069058B"/>
    <w:rsid w:val="006905D5"/>
    <w:rsid w:val="0069073C"/>
    <w:rsid w:val="0069084D"/>
    <w:rsid w:val="006908E8"/>
    <w:rsid w:val="0069092D"/>
    <w:rsid w:val="006909A9"/>
    <w:rsid w:val="006909E5"/>
    <w:rsid w:val="00690BBB"/>
    <w:rsid w:val="00690BE2"/>
    <w:rsid w:val="00690C1F"/>
    <w:rsid w:val="00690DD3"/>
    <w:rsid w:val="00690EAC"/>
    <w:rsid w:val="00690F5C"/>
    <w:rsid w:val="0069102A"/>
    <w:rsid w:val="00691034"/>
    <w:rsid w:val="0069111D"/>
    <w:rsid w:val="0069115B"/>
    <w:rsid w:val="0069117F"/>
    <w:rsid w:val="006911D6"/>
    <w:rsid w:val="0069124A"/>
    <w:rsid w:val="00691272"/>
    <w:rsid w:val="0069128B"/>
    <w:rsid w:val="00691295"/>
    <w:rsid w:val="0069129F"/>
    <w:rsid w:val="00691333"/>
    <w:rsid w:val="0069138C"/>
    <w:rsid w:val="00691436"/>
    <w:rsid w:val="00691466"/>
    <w:rsid w:val="0069158D"/>
    <w:rsid w:val="00691656"/>
    <w:rsid w:val="006916C2"/>
    <w:rsid w:val="0069171D"/>
    <w:rsid w:val="00691951"/>
    <w:rsid w:val="00691986"/>
    <w:rsid w:val="006919A3"/>
    <w:rsid w:val="00691A0D"/>
    <w:rsid w:val="00691AE0"/>
    <w:rsid w:val="00691B0D"/>
    <w:rsid w:val="00691B17"/>
    <w:rsid w:val="00691C61"/>
    <w:rsid w:val="00691DAB"/>
    <w:rsid w:val="00691E5F"/>
    <w:rsid w:val="00691E96"/>
    <w:rsid w:val="00691EDB"/>
    <w:rsid w:val="00691F3D"/>
    <w:rsid w:val="00691F7F"/>
    <w:rsid w:val="00691FBF"/>
    <w:rsid w:val="00691FF4"/>
    <w:rsid w:val="006920CE"/>
    <w:rsid w:val="0069212B"/>
    <w:rsid w:val="0069220C"/>
    <w:rsid w:val="006922CF"/>
    <w:rsid w:val="0069234B"/>
    <w:rsid w:val="00692378"/>
    <w:rsid w:val="006923C4"/>
    <w:rsid w:val="006923FE"/>
    <w:rsid w:val="0069242A"/>
    <w:rsid w:val="0069246E"/>
    <w:rsid w:val="00692494"/>
    <w:rsid w:val="0069261A"/>
    <w:rsid w:val="0069263D"/>
    <w:rsid w:val="006926B6"/>
    <w:rsid w:val="00692722"/>
    <w:rsid w:val="00692744"/>
    <w:rsid w:val="00692807"/>
    <w:rsid w:val="006928AA"/>
    <w:rsid w:val="006928BC"/>
    <w:rsid w:val="006928EB"/>
    <w:rsid w:val="0069291B"/>
    <w:rsid w:val="00692947"/>
    <w:rsid w:val="0069296B"/>
    <w:rsid w:val="0069296F"/>
    <w:rsid w:val="00692993"/>
    <w:rsid w:val="006929A7"/>
    <w:rsid w:val="00692AAB"/>
    <w:rsid w:val="00692B05"/>
    <w:rsid w:val="00692B12"/>
    <w:rsid w:val="00692B8D"/>
    <w:rsid w:val="00692BD2"/>
    <w:rsid w:val="00692BDF"/>
    <w:rsid w:val="00692C2A"/>
    <w:rsid w:val="00692C36"/>
    <w:rsid w:val="00692CB6"/>
    <w:rsid w:val="00692CCB"/>
    <w:rsid w:val="00692CDF"/>
    <w:rsid w:val="00692D59"/>
    <w:rsid w:val="00692D86"/>
    <w:rsid w:val="00692E88"/>
    <w:rsid w:val="00692F85"/>
    <w:rsid w:val="00693032"/>
    <w:rsid w:val="006930B6"/>
    <w:rsid w:val="00693294"/>
    <w:rsid w:val="006932A1"/>
    <w:rsid w:val="006932EF"/>
    <w:rsid w:val="00693378"/>
    <w:rsid w:val="0069339D"/>
    <w:rsid w:val="006933BA"/>
    <w:rsid w:val="006934CB"/>
    <w:rsid w:val="00693591"/>
    <w:rsid w:val="00693628"/>
    <w:rsid w:val="0069364E"/>
    <w:rsid w:val="0069366E"/>
    <w:rsid w:val="00693740"/>
    <w:rsid w:val="006937C6"/>
    <w:rsid w:val="0069383F"/>
    <w:rsid w:val="00693886"/>
    <w:rsid w:val="006938B8"/>
    <w:rsid w:val="006939AC"/>
    <w:rsid w:val="006939C2"/>
    <w:rsid w:val="00693A0E"/>
    <w:rsid w:val="00693A42"/>
    <w:rsid w:val="00693A70"/>
    <w:rsid w:val="00693AB3"/>
    <w:rsid w:val="00693B39"/>
    <w:rsid w:val="00693C93"/>
    <w:rsid w:val="00693CB1"/>
    <w:rsid w:val="00693D86"/>
    <w:rsid w:val="00693D93"/>
    <w:rsid w:val="00693D9E"/>
    <w:rsid w:val="00693DA6"/>
    <w:rsid w:val="00693DB9"/>
    <w:rsid w:val="00693E14"/>
    <w:rsid w:val="00693EF7"/>
    <w:rsid w:val="00693F59"/>
    <w:rsid w:val="0069400B"/>
    <w:rsid w:val="00694026"/>
    <w:rsid w:val="0069407D"/>
    <w:rsid w:val="006940FF"/>
    <w:rsid w:val="00694254"/>
    <w:rsid w:val="006942DA"/>
    <w:rsid w:val="0069432D"/>
    <w:rsid w:val="006943A9"/>
    <w:rsid w:val="00694432"/>
    <w:rsid w:val="0069449C"/>
    <w:rsid w:val="006944E0"/>
    <w:rsid w:val="0069451D"/>
    <w:rsid w:val="0069462F"/>
    <w:rsid w:val="00694664"/>
    <w:rsid w:val="0069468D"/>
    <w:rsid w:val="00694722"/>
    <w:rsid w:val="00694852"/>
    <w:rsid w:val="006948C1"/>
    <w:rsid w:val="006949C4"/>
    <w:rsid w:val="00694ABF"/>
    <w:rsid w:val="00694BDB"/>
    <w:rsid w:val="00694C77"/>
    <w:rsid w:val="00694C99"/>
    <w:rsid w:val="00694CCF"/>
    <w:rsid w:val="00694DDD"/>
    <w:rsid w:val="00694DE6"/>
    <w:rsid w:val="00694E29"/>
    <w:rsid w:val="00694E45"/>
    <w:rsid w:val="00694E77"/>
    <w:rsid w:val="00694E9B"/>
    <w:rsid w:val="00694F12"/>
    <w:rsid w:val="00694FB0"/>
    <w:rsid w:val="00694FC2"/>
    <w:rsid w:val="00694FDC"/>
    <w:rsid w:val="00694FDE"/>
    <w:rsid w:val="00694FEE"/>
    <w:rsid w:val="0069500F"/>
    <w:rsid w:val="00695015"/>
    <w:rsid w:val="006950DE"/>
    <w:rsid w:val="006950E6"/>
    <w:rsid w:val="00695112"/>
    <w:rsid w:val="0069526A"/>
    <w:rsid w:val="006952AC"/>
    <w:rsid w:val="006952D2"/>
    <w:rsid w:val="006952D5"/>
    <w:rsid w:val="0069533B"/>
    <w:rsid w:val="00695371"/>
    <w:rsid w:val="00695402"/>
    <w:rsid w:val="0069542F"/>
    <w:rsid w:val="006954C6"/>
    <w:rsid w:val="006954D5"/>
    <w:rsid w:val="006954F9"/>
    <w:rsid w:val="00695638"/>
    <w:rsid w:val="00695708"/>
    <w:rsid w:val="0069574E"/>
    <w:rsid w:val="00695798"/>
    <w:rsid w:val="006957C9"/>
    <w:rsid w:val="00695829"/>
    <w:rsid w:val="00695867"/>
    <w:rsid w:val="00695883"/>
    <w:rsid w:val="006958DC"/>
    <w:rsid w:val="0069597A"/>
    <w:rsid w:val="00695A53"/>
    <w:rsid w:val="00695A8C"/>
    <w:rsid w:val="00695AC8"/>
    <w:rsid w:val="00695BAC"/>
    <w:rsid w:val="00695C4B"/>
    <w:rsid w:val="00695CB7"/>
    <w:rsid w:val="00695DE3"/>
    <w:rsid w:val="00695E65"/>
    <w:rsid w:val="00695E94"/>
    <w:rsid w:val="00695F03"/>
    <w:rsid w:val="00695FDC"/>
    <w:rsid w:val="00696001"/>
    <w:rsid w:val="00696003"/>
    <w:rsid w:val="00696014"/>
    <w:rsid w:val="0069602F"/>
    <w:rsid w:val="006961A2"/>
    <w:rsid w:val="0069634A"/>
    <w:rsid w:val="006963A3"/>
    <w:rsid w:val="006963A5"/>
    <w:rsid w:val="00696413"/>
    <w:rsid w:val="006964B3"/>
    <w:rsid w:val="006964DA"/>
    <w:rsid w:val="00696501"/>
    <w:rsid w:val="00696506"/>
    <w:rsid w:val="0069650C"/>
    <w:rsid w:val="006965D0"/>
    <w:rsid w:val="00696637"/>
    <w:rsid w:val="006966C1"/>
    <w:rsid w:val="00696875"/>
    <w:rsid w:val="00696886"/>
    <w:rsid w:val="006968EF"/>
    <w:rsid w:val="0069695D"/>
    <w:rsid w:val="0069697C"/>
    <w:rsid w:val="006969B5"/>
    <w:rsid w:val="00696A8B"/>
    <w:rsid w:val="00696AC1"/>
    <w:rsid w:val="00696BB2"/>
    <w:rsid w:val="00696BCD"/>
    <w:rsid w:val="00696C20"/>
    <w:rsid w:val="00696CF7"/>
    <w:rsid w:val="00696D1C"/>
    <w:rsid w:val="00696D1D"/>
    <w:rsid w:val="00696D36"/>
    <w:rsid w:val="00696D54"/>
    <w:rsid w:val="00696E08"/>
    <w:rsid w:val="00696E27"/>
    <w:rsid w:val="00696E2A"/>
    <w:rsid w:val="00696E59"/>
    <w:rsid w:val="00696E70"/>
    <w:rsid w:val="00696E7C"/>
    <w:rsid w:val="00696E90"/>
    <w:rsid w:val="00696F4B"/>
    <w:rsid w:val="0069700F"/>
    <w:rsid w:val="006970CA"/>
    <w:rsid w:val="006971AC"/>
    <w:rsid w:val="006971CE"/>
    <w:rsid w:val="00697208"/>
    <w:rsid w:val="0069727A"/>
    <w:rsid w:val="00697389"/>
    <w:rsid w:val="006973D0"/>
    <w:rsid w:val="006973E5"/>
    <w:rsid w:val="0069747C"/>
    <w:rsid w:val="00697559"/>
    <w:rsid w:val="006975A7"/>
    <w:rsid w:val="0069766D"/>
    <w:rsid w:val="006976BB"/>
    <w:rsid w:val="00697796"/>
    <w:rsid w:val="006977AE"/>
    <w:rsid w:val="006977D1"/>
    <w:rsid w:val="00697844"/>
    <w:rsid w:val="00697851"/>
    <w:rsid w:val="00697958"/>
    <w:rsid w:val="00697997"/>
    <w:rsid w:val="00697A4A"/>
    <w:rsid w:val="00697A52"/>
    <w:rsid w:val="00697B36"/>
    <w:rsid w:val="00697B9A"/>
    <w:rsid w:val="00697BF7"/>
    <w:rsid w:val="00697C7A"/>
    <w:rsid w:val="00697CDE"/>
    <w:rsid w:val="00697D13"/>
    <w:rsid w:val="00697DB7"/>
    <w:rsid w:val="00697FE6"/>
    <w:rsid w:val="006A008F"/>
    <w:rsid w:val="006A00C6"/>
    <w:rsid w:val="006A021C"/>
    <w:rsid w:val="006A02B9"/>
    <w:rsid w:val="006A02D6"/>
    <w:rsid w:val="006A02F0"/>
    <w:rsid w:val="006A03E9"/>
    <w:rsid w:val="006A03F1"/>
    <w:rsid w:val="006A0401"/>
    <w:rsid w:val="006A0416"/>
    <w:rsid w:val="006A0477"/>
    <w:rsid w:val="006A04B8"/>
    <w:rsid w:val="006A04E0"/>
    <w:rsid w:val="006A055D"/>
    <w:rsid w:val="006A05BA"/>
    <w:rsid w:val="006A0687"/>
    <w:rsid w:val="006A06B5"/>
    <w:rsid w:val="006A073A"/>
    <w:rsid w:val="006A075B"/>
    <w:rsid w:val="006A0847"/>
    <w:rsid w:val="006A084F"/>
    <w:rsid w:val="006A0858"/>
    <w:rsid w:val="006A0884"/>
    <w:rsid w:val="006A08AD"/>
    <w:rsid w:val="006A08D9"/>
    <w:rsid w:val="006A094C"/>
    <w:rsid w:val="006A094F"/>
    <w:rsid w:val="006A0B3A"/>
    <w:rsid w:val="006A0B68"/>
    <w:rsid w:val="006A0BF2"/>
    <w:rsid w:val="006A0C47"/>
    <w:rsid w:val="006A0C51"/>
    <w:rsid w:val="006A0CAB"/>
    <w:rsid w:val="006A0E2E"/>
    <w:rsid w:val="006A0E3F"/>
    <w:rsid w:val="006A0E4C"/>
    <w:rsid w:val="006A0EA0"/>
    <w:rsid w:val="006A0EE1"/>
    <w:rsid w:val="006A0EF4"/>
    <w:rsid w:val="006A0F04"/>
    <w:rsid w:val="006A0F4F"/>
    <w:rsid w:val="006A0F6E"/>
    <w:rsid w:val="006A0FC8"/>
    <w:rsid w:val="006A1012"/>
    <w:rsid w:val="006A1091"/>
    <w:rsid w:val="006A1125"/>
    <w:rsid w:val="006A11DC"/>
    <w:rsid w:val="006A1241"/>
    <w:rsid w:val="006A142B"/>
    <w:rsid w:val="006A1477"/>
    <w:rsid w:val="006A14AD"/>
    <w:rsid w:val="006A14DB"/>
    <w:rsid w:val="006A1509"/>
    <w:rsid w:val="006A16A6"/>
    <w:rsid w:val="006A1711"/>
    <w:rsid w:val="006A172A"/>
    <w:rsid w:val="006A1759"/>
    <w:rsid w:val="006A17C3"/>
    <w:rsid w:val="006A17C4"/>
    <w:rsid w:val="006A182D"/>
    <w:rsid w:val="006A18C6"/>
    <w:rsid w:val="006A1900"/>
    <w:rsid w:val="006A1978"/>
    <w:rsid w:val="006A1A03"/>
    <w:rsid w:val="006A1A9E"/>
    <w:rsid w:val="006A1B20"/>
    <w:rsid w:val="006A1B3A"/>
    <w:rsid w:val="006A1B80"/>
    <w:rsid w:val="006A1BB6"/>
    <w:rsid w:val="006A1BC4"/>
    <w:rsid w:val="006A1C7C"/>
    <w:rsid w:val="006A1CF4"/>
    <w:rsid w:val="006A1D08"/>
    <w:rsid w:val="006A1D6E"/>
    <w:rsid w:val="006A1DEE"/>
    <w:rsid w:val="006A1DF6"/>
    <w:rsid w:val="006A1E60"/>
    <w:rsid w:val="006A1EA4"/>
    <w:rsid w:val="006A1F30"/>
    <w:rsid w:val="006A1F37"/>
    <w:rsid w:val="006A1F51"/>
    <w:rsid w:val="006A1FAE"/>
    <w:rsid w:val="006A2011"/>
    <w:rsid w:val="006A2039"/>
    <w:rsid w:val="006A2051"/>
    <w:rsid w:val="006A2136"/>
    <w:rsid w:val="006A216C"/>
    <w:rsid w:val="006A21AA"/>
    <w:rsid w:val="006A2213"/>
    <w:rsid w:val="006A2281"/>
    <w:rsid w:val="006A22AB"/>
    <w:rsid w:val="006A2310"/>
    <w:rsid w:val="006A2342"/>
    <w:rsid w:val="006A2358"/>
    <w:rsid w:val="006A244E"/>
    <w:rsid w:val="006A2479"/>
    <w:rsid w:val="006A249A"/>
    <w:rsid w:val="006A2565"/>
    <w:rsid w:val="006A2643"/>
    <w:rsid w:val="006A26A6"/>
    <w:rsid w:val="006A27E8"/>
    <w:rsid w:val="006A27F4"/>
    <w:rsid w:val="006A2872"/>
    <w:rsid w:val="006A2882"/>
    <w:rsid w:val="006A28C7"/>
    <w:rsid w:val="006A2B44"/>
    <w:rsid w:val="006A2C1A"/>
    <w:rsid w:val="006A2D32"/>
    <w:rsid w:val="006A2D8C"/>
    <w:rsid w:val="006A2DE6"/>
    <w:rsid w:val="006A2EDF"/>
    <w:rsid w:val="006A2FC3"/>
    <w:rsid w:val="006A30AF"/>
    <w:rsid w:val="006A313A"/>
    <w:rsid w:val="006A3258"/>
    <w:rsid w:val="006A32A3"/>
    <w:rsid w:val="006A337B"/>
    <w:rsid w:val="006A3419"/>
    <w:rsid w:val="006A3637"/>
    <w:rsid w:val="006A36C7"/>
    <w:rsid w:val="006A3798"/>
    <w:rsid w:val="006A383B"/>
    <w:rsid w:val="006A3846"/>
    <w:rsid w:val="006A3880"/>
    <w:rsid w:val="006A39C8"/>
    <w:rsid w:val="006A3AC2"/>
    <w:rsid w:val="006A3B62"/>
    <w:rsid w:val="006A3BE8"/>
    <w:rsid w:val="006A3C20"/>
    <w:rsid w:val="006A3D1C"/>
    <w:rsid w:val="006A3D27"/>
    <w:rsid w:val="006A3D79"/>
    <w:rsid w:val="006A3DB2"/>
    <w:rsid w:val="006A3E19"/>
    <w:rsid w:val="006A3E38"/>
    <w:rsid w:val="006A3EB8"/>
    <w:rsid w:val="006A3F0B"/>
    <w:rsid w:val="006A3F65"/>
    <w:rsid w:val="006A3FD8"/>
    <w:rsid w:val="006A4006"/>
    <w:rsid w:val="006A40B6"/>
    <w:rsid w:val="006A4256"/>
    <w:rsid w:val="006A42D3"/>
    <w:rsid w:val="006A4364"/>
    <w:rsid w:val="006A4369"/>
    <w:rsid w:val="006A4417"/>
    <w:rsid w:val="006A4419"/>
    <w:rsid w:val="006A4431"/>
    <w:rsid w:val="006A4491"/>
    <w:rsid w:val="006A459F"/>
    <w:rsid w:val="006A45B8"/>
    <w:rsid w:val="006A45E1"/>
    <w:rsid w:val="006A46F6"/>
    <w:rsid w:val="006A4724"/>
    <w:rsid w:val="006A474C"/>
    <w:rsid w:val="006A478F"/>
    <w:rsid w:val="006A47F6"/>
    <w:rsid w:val="006A480A"/>
    <w:rsid w:val="006A481E"/>
    <w:rsid w:val="006A4837"/>
    <w:rsid w:val="006A4868"/>
    <w:rsid w:val="006A486A"/>
    <w:rsid w:val="006A48CE"/>
    <w:rsid w:val="006A48D8"/>
    <w:rsid w:val="006A4908"/>
    <w:rsid w:val="006A4A15"/>
    <w:rsid w:val="006A4ACF"/>
    <w:rsid w:val="006A4B13"/>
    <w:rsid w:val="006A4B29"/>
    <w:rsid w:val="006A4C04"/>
    <w:rsid w:val="006A4CFE"/>
    <w:rsid w:val="006A4D86"/>
    <w:rsid w:val="006A4D97"/>
    <w:rsid w:val="006A4DAA"/>
    <w:rsid w:val="006A4DD4"/>
    <w:rsid w:val="006A4DD8"/>
    <w:rsid w:val="006A4E71"/>
    <w:rsid w:val="006A4EBF"/>
    <w:rsid w:val="006A4ED3"/>
    <w:rsid w:val="006A4EE7"/>
    <w:rsid w:val="006A4F02"/>
    <w:rsid w:val="006A4FA0"/>
    <w:rsid w:val="006A5010"/>
    <w:rsid w:val="006A50D6"/>
    <w:rsid w:val="006A50E2"/>
    <w:rsid w:val="006A513A"/>
    <w:rsid w:val="006A5160"/>
    <w:rsid w:val="006A52E2"/>
    <w:rsid w:val="006A52E8"/>
    <w:rsid w:val="006A5370"/>
    <w:rsid w:val="006A538D"/>
    <w:rsid w:val="006A53AC"/>
    <w:rsid w:val="006A550E"/>
    <w:rsid w:val="006A553C"/>
    <w:rsid w:val="006A560E"/>
    <w:rsid w:val="006A56D5"/>
    <w:rsid w:val="006A571D"/>
    <w:rsid w:val="006A576C"/>
    <w:rsid w:val="006A57E3"/>
    <w:rsid w:val="006A5805"/>
    <w:rsid w:val="006A5884"/>
    <w:rsid w:val="006A58BC"/>
    <w:rsid w:val="006A58BF"/>
    <w:rsid w:val="006A5942"/>
    <w:rsid w:val="006A598E"/>
    <w:rsid w:val="006A59E9"/>
    <w:rsid w:val="006A59F4"/>
    <w:rsid w:val="006A5A12"/>
    <w:rsid w:val="006A5A26"/>
    <w:rsid w:val="006A5A2F"/>
    <w:rsid w:val="006A5B9A"/>
    <w:rsid w:val="006A5CFC"/>
    <w:rsid w:val="006A5D31"/>
    <w:rsid w:val="006A5DE1"/>
    <w:rsid w:val="006A6012"/>
    <w:rsid w:val="006A60E0"/>
    <w:rsid w:val="006A610D"/>
    <w:rsid w:val="006A6191"/>
    <w:rsid w:val="006A6220"/>
    <w:rsid w:val="006A6457"/>
    <w:rsid w:val="006A6473"/>
    <w:rsid w:val="006A663A"/>
    <w:rsid w:val="006A6643"/>
    <w:rsid w:val="006A6694"/>
    <w:rsid w:val="006A66D2"/>
    <w:rsid w:val="006A6759"/>
    <w:rsid w:val="006A67F6"/>
    <w:rsid w:val="006A68B6"/>
    <w:rsid w:val="006A6948"/>
    <w:rsid w:val="006A695F"/>
    <w:rsid w:val="006A6A02"/>
    <w:rsid w:val="006A6AE8"/>
    <w:rsid w:val="006A6C2D"/>
    <w:rsid w:val="006A6CEB"/>
    <w:rsid w:val="006A6D0A"/>
    <w:rsid w:val="006A6D0D"/>
    <w:rsid w:val="006A6D19"/>
    <w:rsid w:val="006A6DAD"/>
    <w:rsid w:val="006A6DD6"/>
    <w:rsid w:val="006A6DDE"/>
    <w:rsid w:val="006A6EEA"/>
    <w:rsid w:val="006A6F3A"/>
    <w:rsid w:val="006A6F77"/>
    <w:rsid w:val="006A704B"/>
    <w:rsid w:val="006A70AA"/>
    <w:rsid w:val="006A715A"/>
    <w:rsid w:val="006A717A"/>
    <w:rsid w:val="006A71B8"/>
    <w:rsid w:val="006A7218"/>
    <w:rsid w:val="006A7270"/>
    <w:rsid w:val="006A7271"/>
    <w:rsid w:val="006A72F3"/>
    <w:rsid w:val="006A735C"/>
    <w:rsid w:val="006A7379"/>
    <w:rsid w:val="006A73BA"/>
    <w:rsid w:val="006A73C3"/>
    <w:rsid w:val="006A7451"/>
    <w:rsid w:val="006A74A5"/>
    <w:rsid w:val="006A7615"/>
    <w:rsid w:val="006A764D"/>
    <w:rsid w:val="006A76E1"/>
    <w:rsid w:val="006A7727"/>
    <w:rsid w:val="006A772C"/>
    <w:rsid w:val="006A7772"/>
    <w:rsid w:val="006A77D2"/>
    <w:rsid w:val="006A78A3"/>
    <w:rsid w:val="006A7928"/>
    <w:rsid w:val="006A799B"/>
    <w:rsid w:val="006A7D33"/>
    <w:rsid w:val="006A7D67"/>
    <w:rsid w:val="006A7DC0"/>
    <w:rsid w:val="006A7DCB"/>
    <w:rsid w:val="006A7E4D"/>
    <w:rsid w:val="006A7F63"/>
    <w:rsid w:val="006A7FC1"/>
    <w:rsid w:val="006A7FEE"/>
    <w:rsid w:val="006AB7A6"/>
    <w:rsid w:val="006B006C"/>
    <w:rsid w:val="006B0077"/>
    <w:rsid w:val="006B010F"/>
    <w:rsid w:val="006B0144"/>
    <w:rsid w:val="006B0185"/>
    <w:rsid w:val="006B0192"/>
    <w:rsid w:val="006B01FC"/>
    <w:rsid w:val="006B02D6"/>
    <w:rsid w:val="006B0376"/>
    <w:rsid w:val="006B03BB"/>
    <w:rsid w:val="006B03F3"/>
    <w:rsid w:val="006B0470"/>
    <w:rsid w:val="006B062E"/>
    <w:rsid w:val="006B06B5"/>
    <w:rsid w:val="006B0763"/>
    <w:rsid w:val="006B0773"/>
    <w:rsid w:val="006B084A"/>
    <w:rsid w:val="006B0891"/>
    <w:rsid w:val="006B08F5"/>
    <w:rsid w:val="006B0919"/>
    <w:rsid w:val="006B091D"/>
    <w:rsid w:val="006B0A52"/>
    <w:rsid w:val="006B0AC2"/>
    <w:rsid w:val="006B0BBD"/>
    <w:rsid w:val="006B0BFA"/>
    <w:rsid w:val="006B0D93"/>
    <w:rsid w:val="006B0E35"/>
    <w:rsid w:val="006B0F7F"/>
    <w:rsid w:val="006B107F"/>
    <w:rsid w:val="006B10BF"/>
    <w:rsid w:val="006B10C0"/>
    <w:rsid w:val="006B10F0"/>
    <w:rsid w:val="006B1117"/>
    <w:rsid w:val="006B112D"/>
    <w:rsid w:val="006B1134"/>
    <w:rsid w:val="006B117A"/>
    <w:rsid w:val="006B11D2"/>
    <w:rsid w:val="006B1212"/>
    <w:rsid w:val="006B1252"/>
    <w:rsid w:val="006B127E"/>
    <w:rsid w:val="006B133E"/>
    <w:rsid w:val="006B137E"/>
    <w:rsid w:val="006B140C"/>
    <w:rsid w:val="006B150D"/>
    <w:rsid w:val="006B1548"/>
    <w:rsid w:val="006B15E5"/>
    <w:rsid w:val="006B161A"/>
    <w:rsid w:val="006B163A"/>
    <w:rsid w:val="006B168A"/>
    <w:rsid w:val="006B168F"/>
    <w:rsid w:val="006B1696"/>
    <w:rsid w:val="006B17B4"/>
    <w:rsid w:val="006B17C3"/>
    <w:rsid w:val="006B17C7"/>
    <w:rsid w:val="006B1872"/>
    <w:rsid w:val="006B18D6"/>
    <w:rsid w:val="006B1983"/>
    <w:rsid w:val="006B1A2D"/>
    <w:rsid w:val="006B1A46"/>
    <w:rsid w:val="006B1C68"/>
    <w:rsid w:val="006B1CF1"/>
    <w:rsid w:val="006B1CF2"/>
    <w:rsid w:val="006B1D13"/>
    <w:rsid w:val="006B1D7A"/>
    <w:rsid w:val="006B1D8E"/>
    <w:rsid w:val="006B1E1F"/>
    <w:rsid w:val="006B1F42"/>
    <w:rsid w:val="006B1FB3"/>
    <w:rsid w:val="006B2063"/>
    <w:rsid w:val="006B2081"/>
    <w:rsid w:val="006B20BF"/>
    <w:rsid w:val="006B20FA"/>
    <w:rsid w:val="006B21B1"/>
    <w:rsid w:val="006B2240"/>
    <w:rsid w:val="006B224A"/>
    <w:rsid w:val="006B22B8"/>
    <w:rsid w:val="006B22C1"/>
    <w:rsid w:val="006B2364"/>
    <w:rsid w:val="006B2368"/>
    <w:rsid w:val="006B23AB"/>
    <w:rsid w:val="006B23AE"/>
    <w:rsid w:val="006B242F"/>
    <w:rsid w:val="006B2496"/>
    <w:rsid w:val="006B249E"/>
    <w:rsid w:val="006B24CA"/>
    <w:rsid w:val="006B24DD"/>
    <w:rsid w:val="006B24F3"/>
    <w:rsid w:val="006B2518"/>
    <w:rsid w:val="006B25F7"/>
    <w:rsid w:val="006B267E"/>
    <w:rsid w:val="006B269A"/>
    <w:rsid w:val="006B26EB"/>
    <w:rsid w:val="006B2713"/>
    <w:rsid w:val="006B271D"/>
    <w:rsid w:val="006B2765"/>
    <w:rsid w:val="006B2767"/>
    <w:rsid w:val="006B2821"/>
    <w:rsid w:val="006B282D"/>
    <w:rsid w:val="006B2838"/>
    <w:rsid w:val="006B28EB"/>
    <w:rsid w:val="006B2A20"/>
    <w:rsid w:val="006B2B82"/>
    <w:rsid w:val="006B2CF4"/>
    <w:rsid w:val="006B2CF9"/>
    <w:rsid w:val="006B2D12"/>
    <w:rsid w:val="006B2DAF"/>
    <w:rsid w:val="006B2E28"/>
    <w:rsid w:val="006B2EE4"/>
    <w:rsid w:val="006B2EFF"/>
    <w:rsid w:val="006B2F21"/>
    <w:rsid w:val="006B2F86"/>
    <w:rsid w:val="006B2FE7"/>
    <w:rsid w:val="006B3091"/>
    <w:rsid w:val="006B30EE"/>
    <w:rsid w:val="006B31E9"/>
    <w:rsid w:val="006B31EF"/>
    <w:rsid w:val="006B3294"/>
    <w:rsid w:val="006B32D3"/>
    <w:rsid w:val="006B32DE"/>
    <w:rsid w:val="006B3341"/>
    <w:rsid w:val="006B3362"/>
    <w:rsid w:val="006B339D"/>
    <w:rsid w:val="006B33BA"/>
    <w:rsid w:val="006B3447"/>
    <w:rsid w:val="006B346E"/>
    <w:rsid w:val="006B34BA"/>
    <w:rsid w:val="006B3504"/>
    <w:rsid w:val="006B3522"/>
    <w:rsid w:val="006B3547"/>
    <w:rsid w:val="006B361A"/>
    <w:rsid w:val="006B36C5"/>
    <w:rsid w:val="006B3777"/>
    <w:rsid w:val="006B37B5"/>
    <w:rsid w:val="006B3811"/>
    <w:rsid w:val="006B3820"/>
    <w:rsid w:val="006B382C"/>
    <w:rsid w:val="006B38A3"/>
    <w:rsid w:val="006B38EF"/>
    <w:rsid w:val="006B38F7"/>
    <w:rsid w:val="006B3900"/>
    <w:rsid w:val="006B39C0"/>
    <w:rsid w:val="006B3A2C"/>
    <w:rsid w:val="006B3B4A"/>
    <w:rsid w:val="006B3B63"/>
    <w:rsid w:val="006B3BB5"/>
    <w:rsid w:val="006B3BFC"/>
    <w:rsid w:val="006B3CC1"/>
    <w:rsid w:val="006B3D24"/>
    <w:rsid w:val="006B3D3F"/>
    <w:rsid w:val="006B3D62"/>
    <w:rsid w:val="006B3D85"/>
    <w:rsid w:val="006B3E56"/>
    <w:rsid w:val="006B3EDB"/>
    <w:rsid w:val="006B3F3E"/>
    <w:rsid w:val="006B4093"/>
    <w:rsid w:val="006B40AE"/>
    <w:rsid w:val="006B40B9"/>
    <w:rsid w:val="006B412F"/>
    <w:rsid w:val="006B4142"/>
    <w:rsid w:val="006B414C"/>
    <w:rsid w:val="006B4172"/>
    <w:rsid w:val="006B4178"/>
    <w:rsid w:val="006B4193"/>
    <w:rsid w:val="006B424A"/>
    <w:rsid w:val="006B4303"/>
    <w:rsid w:val="006B4332"/>
    <w:rsid w:val="006B4371"/>
    <w:rsid w:val="006B4376"/>
    <w:rsid w:val="006B43BD"/>
    <w:rsid w:val="006B4404"/>
    <w:rsid w:val="006B4431"/>
    <w:rsid w:val="006B444F"/>
    <w:rsid w:val="006B460F"/>
    <w:rsid w:val="006B4616"/>
    <w:rsid w:val="006B46A5"/>
    <w:rsid w:val="006B4708"/>
    <w:rsid w:val="006B473D"/>
    <w:rsid w:val="006B474E"/>
    <w:rsid w:val="006B47F1"/>
    <w:rsid w:val="006B489D"/>
    <w:rsid w:val="006B4958"/>
    <w:rsid w:val="006B49C3"/>
    <w:rsid w:val="006B49E2"/>
    <w:rsid w:val="006B4A4E"/>
    <w:rsid w:val="006B4AAE"/>
    <w:rsid w:val="006B4AC5"/>
    <w:rsid w:val="006B4ACE"/>
    <w:rsid w:val="006B4B6F"/>
    <w:rsid w:val="006B4B77"/>
    <w:rsid w:val="006B4C73"/>
    <w:rsid w:val="006B4D04"/>
    <w:rsid w:val="006B4DD1"/>
    <w:rsid w:val="006B4E01"/>
    <w:rsid w:val="006B4E13"/>
    <w:rsid w:val="006B4E3C"/>
    <w:rsid w:val="006B4EB2"/>
    <w:rsid w:val="006B4F21"/>
    <w:rsid w:val="006B4F46"/>
    <w:rsid w:val="006B4FE9"/>
    <w:rsid w:val="006B4FF2"/>
    <w:rsid w:val="006B5012"/>
    <w:rsid w:val="006B503E"/>
    <w:rsid w:val="006B50B9"/>
    <w:rsid w:val="006B50F9"/>
    <w:rsid w:val="006B5105"/>
    <w:rsid w:val="006B51E2"/>
    <w:rsid w:val="006B5286"/>
    <w:rsid w:val="006B5323"/>
    <w:rsid w:val="006B5399"/>
    <w:rsid w:val="006B53DE"/>
    <w:rsid w:val="006B540E"/>
    <w:rsid w:val="006B5410"/>
    <w:rsid w:val="006B543B"/>
    <w:rsid w:val="006B54C3"/>
    <w:rsid w:val="006B559C"/>
    <w:rsid w:val="006B55AA"/>
    <w:rsid w:val="006B5649"/>
    <w:rsid w:val="006B575F"/>
    <w:rsid w:val="006B578A"/>
    <w:rsid w:val="006B5943"/>
    <w:rsid w:val="006B59D5"/>
    <w:rsid w:val="006B59FA"/>
    <w:rsid w:val="006B5A1A"/>
    <w:rsid w:val="006B5A68"/>
    <w:rsid w:val="006B5A8D"/>
    <w:rsid w:val="006B5ADB"/>
    <w:rsid w:val="006B5AE8"/>
    <w:rsid w:val="006B5B03"/>
    <w:rsid w:val="006B5B39"/>
    <w:rsid w:val="006B5B43"/>
    <w:rsid w:val="006B5B6A"/>
    <w:rsid w:val="006B5CF1"/>
    <w:rsid w:val="006B5E76"/>
    <w:rsid w:val="006B5FD6"/>
    <w:rsid w:val="006B605D"/>
    <w:rsid w:val="006B6095"/>
    <w:rsid w:val="006B60CE"/>
    <w:rsid w:val="006B613F"/>
    <w:rsid w:val="006B6147"/>
    <w:rsid w:val="006B614C"/>
    <w:rsid w:val="006B6182"/>
    <w:rsid w:val="006B61A0"/>
    <w:rsid w:val="006B61D3"/>
    <w:rsid w:val="006B625D"/>
    <w:rsid w:val="006B62AF"/>
    <w:rsid w:val="006B62EC"/>
    <w:rsid w:val="006B6364"/>
    <w:rsid w:val="006B6385"/>
    <w:rsid w:val="006B63C5"/>
    <w:rsid w:val="006B6402"/>
    <w:rsid w:val="006B644F"/>
    <w:rsid w:val="006B64D6"/>
    <w:rsid w:val="006B6585"/>
    <w:rsid w:val="006B6641"/>
    <w:rsid w:val="006B67C7"/>
    <w:rsid w:val="006B67E5"/>
    <w:rsid w:val="006B68DE"/>
    <w:rsid w:val="006B6919"/>
    <w:rsid w:val="006B695D"/>
    <w:rsid w:val="006B6981"/>
    <w:rsid w:val="006B6985"/>
    <w:rsid w:val="006B6996"/>
    <w:rsid w:val="006B69AF"/>
    <w:rsid w:val="006B69E9"/>
    <w:rsid w:val="006B6A24"/>
    <w:rsid w:val="006B6A9E"/>
    <w:rsid w:val="006B6AC2"/>
    <w:rsid w:val="006B6B5C"/>
    <w:rsid w:val="006B6B90"/>
    <w:rsid w:val="006B6B93"/>
    <w:rsid w:val="006B6BF7"/>
    <w:rsid w:val="006B6C1C"/>
    <w:rsid w:val="006B6C29"/>
    <w:rsid w:val="006B6CB4"/>
    <w:rsid w:val="006B6CEE"/>
    <w:rsid w:val="006B6D49"/>
    <w:rsid w:val="006B6D63"/>
    <w:rsid w:val="006B6DB7"/>
    <w:rsid w:val="006B6E87"/>
    <w:rsid w:val="006B6F6E"/>
    <w:rsid w:val="006B701B"/>
    <w:rsid w:val="006B70E1"/>
    <w:rsid w:val="006B710B"/>
    <w:rsid w:val="006B7198"/>
    <w:rsid w:val="006B71F7"/>
    <w:rsid w:val="006B7246"/>
    <w:rsid w:val="006B7265"/>
    <w:rsid w:val="006B72E8"/>
    <w:rsid w:val="006B7302"/>
    <w:rsid w:val="006B7362"/>
    <w:rsid w:val="006B736A"/>
    <w:rsid w:val="006B736B"/>
    <w:rsid w:val="006B7376"/>
    <w:rsid w:val="006B73C3"/>
    <w:rsid w:val="006B746C"/>
    <w:rsid w:val="006B7479"/>
    <w:rsid w:val="006B7481"/>
    <w:rsid w:val="006B74E2"/>
    <w:rsid w:val="006B74EB"/>
    <w:rsid w:val="006B75CA"/>
    <w:rsid w:val="006B75E5"/>
    <w:rsid w:val="006B761D"/>
    <w:rsid w:val="006B76DA"/>
    <w:rsid w:val="006B7701"/>
    <w:rsid w:val="006B7886"/>
    <w:rsid w:val="006B790E"/>
    <w:rsid w:val="006B793D"/>
    <w:rsid w:val="006B7A2F"/>
    <w:rsid w:val="006B7A32"/>
    <w:rsid w:val="006B7A46"/>
    <w:rsid w:val="006B7A66"/>
    <w:rsid w:val="006B7AA0"/>
    <w:rsid w:val="006B7AE6"/>
    <w:rsid w:val="006B7B7C"/>
    <w:rsid w:val="006B7C04"/>
    <w:rsid w:val="006B7D88"/>
    <w:rsid w:val="006B7DC1"/>
    <w:rsid w:val="006B7E70"/>
    <w:rsid w:val="006B7E96"/>
    <w:rsid w:val="006B7F15"/>
    <w:rsid w:val="006B7F38"/>
    <w:rsid w:val="006B7F5F"/>
    <w:rsid w:val="006C0054"/>
    <w:rsid w:val="006C0058"/>
    <w:rsid w:val="006C007E"/>
    <w:rsid w:val="006C01CF"/>
    <w:rsid w:val="006C0212"/>
    <w:rsid w:val="006C0253"/>
    <w:rsid w:val="006C02A3"/>
    <w:rsid w:val="006C033F"/>
    <w:rsid w:val="006C0341"/>
    <w:rsid w:val="006C03D8"/>
    <w:rsid w:val="006C03E3"/>
    <w:rsid w:val="006C0455"/>
    <w:rsid w:val="006C047E"/>
    <w:rsid w:val="006C04D5"/>
    <w:rsid w:val="006C05E8"/>
    <w:rsid w:val="006C0601"/>
    <w:rsid w:val="006C0620"/>
    <w:rsid w:val="006C0691"/>
    <w:rsid w:val="006C06ED"/>
    <w:rsid w:val="006C06F7"/>
    <w:rsid w:val="006C0787"/>
    <w:rsid w:val="006C07E8"/>
    <w:rsid w:val="006C0812"/>
    <w:rsid w:val="006C0824"/>
    <w:rsid w:val="006C088C"/>
    <w:rsid w:val="006C08E1"/>
    <w:rsid w:val="006C097F"/>
    <w:rsid w:val="006C09A1"/>
    <w:rsid w:val="006C0A3E"/>
    <w:rsid w:val="006C0AA3"/>
    <w:rsid w:val="006C0AF2"/>
    <w:rsid w:val="006C0C43"/>
    <w:rsid w:val="006C0C56"/>
    <w:rsid w:val="006C0D21"/>
    <w:rsid w:val="006C0DC8"/>
    <w:rsid w:val="006C0E2B"/>
    <w:rsid w:val="006C0F2E"/>
    <w:rsid w:val="006C0F3A"/>
    <w:rsid w:val="006C0F82"/>
    <w:rsid w:val="006C0FB9"/>
    <w:rsid w:val="006C0FBF"/>
    <w:rsid w:val="006C0FCE"/>
    <w:rsid w:val="006C0FE5"/>
    <w:rsid w:val="006C10D8"/>
    <w:rsid w:val="006C1161"/>
    <w:rsid w:val="006C1169"/>
    <w:rsid w:val="006C11C0"/>
    <w:rsid w:val="006C1395"/>
    <w:rsid w:val="006C13A6"/>
    <w:rsid w:val="006C143E"/>
    <w:rsid w:val="006C1454"/>
    <w:rsid w:val="006C1491"/>
    <w:rsid w:val="006C14C0"/>
    <w:rsid w:val="006C14E9"/>
    <w:rsid w:val="006C1552"/>
    <w:rsid w:val="006C15B4"/>
    <w:rsid w:val="006C1602"/>
    <w:rsid w:val="006C1630"/>
    <w:rsid w:val="006C1633"/>
    <w:rsid w:val="006C1679"/>
    <w:rsid w:val="006C16AB"/>
    <w:rsid w:val="006C16CE"/>
    <w:rsid w:val="006C16FC"/>
    <w:rsid w:val="006C172D"/>
    <w:rsid w:val="006C178F"/>
    <w:rsid w:val="006C17DA"/>
    <w:rsid w:val="006C17E7"/>
    <w:rsid w:val="006C1843"/>
    <w:rsid w:val="006C188A"/>
    <w:rsid w:val="006C1A1F"/>
    <w:rsid w:val="006C1A21"/>
    <w:rsid w:val="006C1A23"/>
    <w:rsid w:val="006C1A3A"/>
    <w:rsid w:val="006C1A9F"/>
    <w:rsid w:val="006C1AB1"/>
    <w:rsid w:val="006C1AD3"/>
    <w:rsid w:val="006C1AE3"/>
    <w:rsid w:val="006C1B22"/>
    <w:rsid w:val="006C1B8F"/>
    <w:rsid w:val="006C1BBB"/>
    <w:rsid w:val="006C1BE0"/>
    <w:rsid w:val="006C1C54"/>
    <w:rsid w:val="006C1CA4"/>
    <w:rsid w:val="006C1CDD"/>
    <w:rsid w:val="006C1D22"/>
    <w:rsid w:val="006C1D77"/>
    <w:rsid w:val="006C1DBF"/>
    <w:rsid w:val="006C1E1B"/>
    <w:rsid w:val="006C1F70"/>
    <w:rsid w:val="006C1FB9"/>
    <w:rsid w:val="006C207D"/>
    <w:rsid w:val="006C2093"/>
    <w:rsid w:val="006C210C"/>
    <w:rsid w:val="006C2124"/>
    <w:rsid w:val="006C2205"/>
    <w:rsid w:val="006C2274"/>
    <w:rsid w:val="006C2358"/>
    <w:rsid w:val="006C237F"/>
    <w:rsid w:val="006C2389"/>
    <w:rsid w:val="006C23AD"/>
    <w:rsid w:val="006C23E1"/>
    <w:rsid w:val="006C242B"/>
    <w:rsid w:val="006C2539"/>
    <w:rsid w:val="006C2663"/>
    <w:rsid w:val="006C270A"/>
    <w:rsid w:val="006C273F"/>
    <w:rsid w:val="006C27AC"/>
    <w:rsid w:val="006C2806"/>
    <w:rsid w:val="006C2838"/>
    <w:rsid w:val="006C283D"/>
    <w:rsid w:val="006C2866"/>
    <w:rsid w:val="006C28A7"/>
    <w:rsid w:val="006C28AF"/>
    <w:rsid w:val="006C28ED"/>
    <w:rsid w:val="006C290E"/>
    <w:rsid w:val="006C29AF"/>
    <w:rsid w:val="006C2A23"/>
    <w:rsid w:val="006C2A71"/>
    <w:rsid w:val="006C2AB3"/>
    <w:rsid w:val="006C2BF3"/>
    <w:rsid w:val="006C2C0E"/>
    <w:rsid w:val="006C2C21"/>
    <w:rsid w:val="006C2C89"/>
    <w:rsid w:val="006C2C93"/>
    <w:rsid w:val="006C2CA6"/>
    <w:rsid w:val="006C2CE5"/>
    <w:rsid w:val="006C2D0C"/>
    <w:rsid w:val="006C2DC9"/>
    <w:rsid w:val="006C2DF5"/>
    <w:rsid w:val="006C2E8B"/>
    <w:rsid w:val="006C2F41"/>
    <w:rsid w:val="006C3087"/>
    <w:rsid w:val="006C30C8"/>
    <w:rsid w:val="006C30DD"/>
    <w:rsid w:val="006C3107"/>
    <w:rsid w:val="006C3118"/>
    <w:rsid w:val="006C311D"/>
    <w:rsid w:val="006C3189"/>
    <w:rsid w:val="006C31E0"/>
    <w:rsid w:val="006C31FE"/>
    <w:rsid w:val="006C32B9"/>
    <w:rsid w:val="006C3300"/>
    <w:rsid w:val="006C33DB"/>
    <w:rsid w:val="006C3404"/>
    <w:rsid w:val="006C340A"/>
    <w:rsid w:val="006C3462"/>
    <w:rsid w:val="006C3503"/>
    <w:rsid w:val="006C350B"/>
    <w:rsid w:val="006C35EF"/>
    <w:rsid w:val="006C3660"/>
    <w:rsid w:val="006C368B"/>
    <w:rsid w:val="006C3711"/>
    <w:rsid w:val="006C3740"/>
    <w:rsid w:val="006C388C"/>
    <w:rsid w:val="006C3933"/>
    <w:rsid w:val="006C39CF"/>
    <w:rsid w:val="006C3A07"/>
    <w:rsid w:val="006C3B10"/>
    <w:rsid w:val="006C3C3D"/>
    <w:rsid w:val="006C3D35"/>
    <w:rsid w:val="006C3DCC"/>
    <w:rsid w:val="006C3E69"/>
    <w:rsid w:val="006C3E6A"/>
    <w:rsid w:val="006C3ED1"/>
    <w:rsid w:val="006C3EE8"/>
    <w:rsid w:val="006C400E"/>
    <w:rsid w:val="006C4069"/>
    <w:rsid w:val="006C409E"/>
    <w:rsid w:val="006C4122"/>
    <w:rsid w:val="006C41C5"/>
    <w:rsid w:val="006C41CC"/>
    <w:rsid w:val="006C422E"/>
    <w:rsid w:val="006C432B"/>
    <w:rsid w:val="006C432D"/>
    <w:rsid w:val="006C4463"/>
    <w:rsid w:val="006C4469"/>
    <w:rsid w:val="006C467A"/>
    <w:rsid w:val="006C46EA"/>
    <w:rsid w:val="006C474A"/>
    <w:rsid w:val="006C4751"/>
    <w:rsid w:val="006C47FA"/>
    <w:rsid w:val="006C4938"/>
    <w:rsid w:val="006C49F8"/>
    <w:rsid w:val="006C4A78"/>
    <w:rsid w:val="006C4A94"/>
    <w:rsid w:val="006C4AA3"/>
    <w:rsid w:val="006C4B57"/>
    <w:rsid w:val="006C4BB2"/>
    <w:rsid w:val="006C4C0B"/>
    <w:rsid w:val="006C4C19"/>
    <w:rsid w:val="006C4C94"/>
    <w:rsid w:val="006C4C9F"/>
    <w:rsid w:val="006C4CB8"/>
    <w:rsid w:val="006C4D5E"/>
    <w:rsid w:val="006C4DCA"/>
    <w:rsid w:val="006C4DDC"/>
    <w:rsid w:val="006C4E12"/>
    <w:rsid w:val="006C4E63"/>
    <w:rsid w:val="006C4E7D"/>
    <w:rsid w:val="006C4EAE"/>
    <w:rsid w:val="006C4EEC"/>
    <w:rsid w:val="006C4F4E"/>
    <w:rsid w:val="006C4FA0"/>
    <w:rsid w:val="006C4FB4"/>
    <w:rsid w:val="006C5025"/>
    <w:rsid w:val="006C5033"/>
    <w:rsid w:val="006C5035"/>
    <w:rsid w:val="006C5059"/>
    <w:rsid w:val="006C50E6"/>
    <w:rsid w:val="006C51B9"/>
    <w:rsid w:val="006C51CE"/>
    <w:rsid w:val="006C5246"/>
    <w:rsid w:val="006C539A"/>
    <w:rsid w:val="006C556A"/>
    <w:rsid w:val="006C55B4"/>
    <w:rsid w:val="006C55EA"/>
    <w:rsid w:val="006C56AD"/>
    <w:rsid w:val="006C56BF"/>
    <w:rsid w:val="006C5744"/>
    <w:rsid w:val="006C574B"/>
    <w:rsid w:val="006C575C"/>
    <w:rsid w:val="006C57BB"/>
    <w:rsid w:val="006C57C2"/>
    <w:rsid w:val="006C57E4"/>
    <w:rsid w:val="006C5813"/>
    <w:rsid w:val="006C581D"/>
    <w:rsid w:val="006C5997"/>
    <w:rsid w:val="006C5998"/>
    <w:rsid w:val="006C59C0"/>
    <w:rsid w:val="006C5A11"/>
    <w:rsid w:val="006C5AFD"/>
    <w:rsid w:val="006C5AFF"/>
    <w:rsid w:val="006C5B34"/>
    <w:rsid w:val="006C5B83"/>
    <w:rsid w:val="006C5BDE"/>
    <w:rsid w:val="006C5C0F"/>
    <w:rsid w:val="006C5C36"/>
    <w:rsid w:val="006C5C42"/>
    <w:rsid w:val="006C5C57"/>
    <w:rsid w:val="006C5CC2"/>
    <w:rsid w:val="006C5CDA"/>
    <w:rsid w:val="006C5CE6"/>
    <w:rsid w:val="006C5D08"/>
    <w:rsid w:val="006C5D4B"/>
    <w:rsid w:val="006C5D83"/>
    <w:rsid w:val="006C5DE0"/>
    <w:rsid w:val="006C5E05"/>
    <w:rsid w:val="006C5E5F"/>
    <w:rsid w:val="006C5E7F"/>
    <w:rsid w:val="006C5EE0"/>
    <w:rsid w:val="006C5FD4"/>
    <w:rsid w:val="006C601E"/>
    <w:rsid w:val="006C60F6"/>
    <w:rsid w:val="006C612A"/>
    <w:rsid w:val="006C6210"/>
    <w:rsid w:val="006C6404"/>
    <w:rsid w:val="006C6438"/>
    <w:rsid w:val="006C6466"/>
    <w:rsid w:val="006C646A"/>
    <w:rsid w:val="006C64D1"/>
    <w:rsid w:val="006C6504"/>
    <w:rsid w:val="006C659B"/>
    <w:rsid w:val="006C65CD"/>
    <w:rsid w:val="006C6632"/>
    <w:rsid w:val="006C6672"/>
    <w:rsid w:val="006C6691"/>
    <w:rsid w:val="006C679B"/>
    <w:rsid w:val="006C687C"/>
    <w:rsid w:val="006C688F"/>
    <w:rsid w:val="006C69CA"/>
    <w:rsid w:val="006C6A0B"/>
    <w:rsid w:val="006C6A0C"/>
    <w:rsid w:val="006C6B06"/>
    <w:rsid w:val="006C6B66"/>
    <w:rsid w:val="006C6B8D"/>
    <w:rsid w:val="006C6BA0"/>
    <w:rsid w:val="006C6BE9"/>
    <w:rsid w:val="006C6C28"/>
    <w:rsid w:val="006C6C77"/>
    <w:rsid w:val="006C6CBD"/>
    <w:rsid w:val="006C6CDC"/>
    <w:rsid w:val="006C6D53"/>
    <w:rsid w:val="006C6D83"/>
    <w:rsid w:val="006C6D8F"/>
    <w:rsid w:val="006C6F4B"/>
    <w:rsid w:val="006C7083"/>
    <w:rsid w:val="006C70BC"/>
    <w:rsid w:val="006C70DC"/>
    <w:rsid w:val="006C723B"/>
    <w:rsid w:val="006C7246"/>
    <w:rsid w:val="006C729A"/>
    <w:rsid w:val="006C73A5"/>
    <w:rsid w:val="006C743E"/>
    <w:rsid w:val="006C7494"/>
    <w:rsid w:val="006C75A0"/>
    <w:rsid w:val="006C767E"/>
    <w:rsid w:val="006C76AD"/>
    <w:rsid w:val="006C76CE"/>
    <w:rsid w:val="006C77B8"/>
    <w:rsid w:val="006C77F5"/>
    <w:rsid w:val="006C782C"/>
    <w:rsid w:val="006C791D"/>
    <w:rsid w:val="006C7942"/>
    <w:rsid w:val="006C7972"/>
    <w:rsid w:val="006C7977"/>
    <w:rsid w:val="006C7998"/>
    <w:rsid w:val="006C7A3D"/>
    <w:rsid w:val="006C7A75"/>
    <w:rsid w:val="006C7AA1"/>
    <w:rsid w:val="006C7ADB"/>
    <w:rsid w:val="006C7AFD"/>
    <w:rsid w:val="006C7C19"/>
    <w:rsid w:val="006C7CE3"/>
    <w:rsid w:val="006C7D06"/>
    <w:rsid w:val="006C7D3D"/>
    <w:rsid w:val="006C7D5E"/>
    <w:rsid w:val="006C7DAE"/>
    <w:rsid w:val="006C7E51"/>
    <w:rsid w:val="006C7EB2"/>
    <w:rsid w:val="006C7F97"/>
    <w:rsid w:val="006C7F9D"/>
    <w:rsid w:val="006D0142"/>
    <w:rsid w:val="006D0146"/>
    <w:rsid w:val="006D01B9"/>
    <w:rsid w:val="006D0241"/>
    <w:rsid w:val="006D0270"/>
    <w:rsid w:val="006D02E1"/>
    <w:rsid w:val="006D04DD"/>
    <w:rsid w:val="006D0515"/>
    <w:rsid w:val="006D0562"/>
    <w:rsid w:val="006D05AD"/>
    <w:rsid w:val="006D0605"/>
    <w:rsid w:val="006D0673"/>
    <w:rsid w:val="006D06B4"/>
    <w:rsid w:val="006D06E3"/>
    <w:rsid w:val="006D0716"/>
    <w:rsid w:val="006D072F"/>
    <w:rsid w:val="006D07A7"/>
    <w:rsid w:val="006D07B6"/>
    <w:rsid w:val="006D07D0"/>
    <w:rsid w:val="006D07D8"/>
    <w:rsid w:val="006D07ED"/>
    <w:rsid w:val="006D0812"/>
    <w:rsid w:val="006D0815"/>
    <w:rsid w:val="006D0870"/>
    <w:rsid w:val="006D087D"/>
    <w:rsid w:val="006D0894"/>
    <w:rsid w:val="006D090A"/>
    <w:rsid w:val="006D0965"/>
    <w:rsid w:val="006D09A7"/>
    <w:rsid w:val="006D09D0"/>
    <w:rsid w:val="006D09E5"/>
    <w:rsid w:val="006D0AB0"/>
    <w:rsid w:val="006D0ABF"/>
    <w:rsid w:val="006D0AC5"/>
    <w:rsid w:val="006D0B2F"/>
    <w:rsid w:val="006D0C12"/>
    <w:rsid w:val="006D0CAD"/>
    <w:rsid w:val="006D0CCF"/>
    <w:rsid w:val="006D0CD0"/>
    <w:rsid w:val="006D0CD7"/>
    <w:rsid w:val="006D0D0A"/>
    <w:rsid w:val="006D0D3C"/>
    <w:rsid w:val="006D0D4D"/>
    <w:rsid w:val="006D0D4F"/>
    <w:rsid w:val="006D0D6A"/>
    <w:rsid w:val="006D0D71"/>
    <w:rsid w:val="006D0D81"/>
    <w:rsid w:val="006D0D9B"/>
    <w:rsid w:val="006D0E13"/>
    <w:rsid w:val="006D0E17"/>
    <w:rsid w:val="006D0E2C"/>
    <w:rsid w:val="006D0E4E"/>
    <w:rsid w:val="006D0FFD"/>
    <w:rsid w:val="006D107D"/>
    <w:rsid w:val="006D11C3"/>
    <w:rsid w:val="006D11FC"/>
    <w:rsid w:val="006D1217"/>
    <w:rsid w:val="006D1253"/>
    <w:rsid w:val="006D1265"/>
    <w:rsid w:val="006D12A7"/>
    <w:rsid w:val="006D12CF"/>
    <w:rsid w:val="006D12FC"/>
    <w:rsid w:val="006D1306"/>
    <w:rsid w:val="006D135E"/>
    <w:rsid w:val="006D1367"/>
    <w:rsid w:val="006D13BA"/>
    <w:rsid w:val="006D1464"/>
    <w:rsid w:val="006D14C0"/>
    <w:rsid w:val="006D14E1"/>
    <w:rsid w:val="006D1568"/>
    <w:rsid w:val="006D15AD"/>
    <w:rsid w:val="006D16A5"/>
    <w:rsid w:val="006D16B6"/>
    <w:rsid w:val="006D182C"/>
    <w:rsid w:val="006D1848"/>
    <w:rsid w:val="006D184A"/>
    <w:rsid w:val="006D1874"/>
    <w:rsid w:val="006D18D0"/>
    <w:rsid w:val="006D18EC"/>
    <w:rsid w:val="006D19DD"/>
    <w:rsid w:val="006D1AC7"/>
    <w:rsid w:val="006D1B3C"/>
    <w:rsid w:val="006D1B42"/>
    <w:rsid w:val="006D1B8B"/>
    <w:rsid w:val="006D1BB5"/>
    <w:rsid w:val="006D1C01"/>
    <w:rsid w:val="006D1C70"/>
    <w:rsid w:val="006D1C81"/>
    <w:rsid w:val="006D1D03"/>
    <w:rsid w:val="006D1D6C"/>
    <w:rsid w:val="006D1DB8"/>
    <w:rsid w:val="006D1E07"/>
    <w:rsid w:val="006D1E79"/>
    <w:rsid w:val="006D1E8A"/>
    <w:rsid w:val="006D1EBB"/>
    <w:rsid w:val="006D1FA0"/>
    <w:rsid w:val="006D1FD4"/>
    <w:rsid w:val="006D2008"/>
    <w:rsid w:val="006D202D"/>
    <w:rsid w:val="006D20F6"/>
    <w:rsid w:val="006D2124"/>
    <w:rsid w:val="006D21D1"/>
    <w:rsid w:val="006D21E7"/>
    <w:rsid w:val="006D2206"/>
    <w:rsid w:val="006D2242"/>
    <w:rsid w:val="006D225C"/>
    <w:rsid w:val="006D22FC"/>
    <w:rsid w:val="006D230C"/>
    <w:rsid w:val="006D24FC"/>
    <w:rsid w:val="006D2507"/>
    <w:rsid w:val="006D250F"/>
    <w:rsid w:val="006D25E4"/>
    <w:rsid w:val="006D2718"/>
    <w:rsid w:val="006D277D"/>
    <w:rsid w:val="006D283B"/>
    <w:rsid w:val="006D284A"/>
    <w:rsid w:val="006D285E"/>
    <w:rsid w:val="006D28C5"/>
    <w:rsid w:val="006D28CB"/>
    <w:rsid w:val="006D2A50"/>
    <w:rsid w:val="006D2B34"/>
    <w:rsid w:val="006D2B45"/>
    <w:rsid w:val="006D2BA0"/>
    <w:rsid w:val="006D2BA5"/>
    <w:rsid w:val="006D2BAF"/>
    <w:rsid w:val="006D2BB3"/>
    <w:rsid w:val="006D2C34"/>
    <w:rsid w:val="006D2C95"/>
    <w:rsid w:val="006D2C9D"/>
    <w:rsid w:val="006D2CDE"/>
    <w:rsid w:val="006D2D3A"/>
    <w:rsid w:val="006D2DB1"/>
    <w:rsid w:val="006D2E03"/>
    <w:rsid w:val="006D2EA9"/>
    <w:rsid w:val="006D2EAC"/>
    <w:rsid w:val="006D2EF2"/>
    <w:rsid w:val="006D2EF9"/>
    <w:rsid w:val="006D2F0C"/>
    <w:rsid w:val="006D2F11"/>
    <w:rsid w:val="006D2FE0"/>
    <w:rsid w:val="006D3019"/>
    <w:rsid w:val="006D3037"/>
    <w:rsid w:val="006D311C"/>
    <w:rsid w:val="006D318D"/>
    <w:rsid w:val="006D31B2"/>
    <w:rsid w:val="006D333A"/>
    <w:rsid w:val="006D33F2"/>
    <w:rsid w:val="006D33F8"/>
    <w:rsid w:val="006D35F0"/>
    <w:rsid w:val="006D36FD"/>
    <w:rsid w:val="006D3715"/>
    <w:rsid w:val="006D386D"/>
    <w:rsid w:val="006D3979"/>
    <w:rsid w:val="006D39FD"/>
    <w:rsid w:val="006D3AD7"/>
    <w:rsid w:val="006D3B98"/>
    <w:rsid w:val="006D3BCA"/>
    <w:rsid w:val="006D3CED"/>
    <w:rsid w:val="006D3D3B"/>
    <w:rsid w:val="006D3D4A"/>
    <w:rsid w:val="006D3D63"/>
    <w:rsid w:val="006D3E00"/>
    <w:rsid w:val="006D3E83"/>
    <w:rsid w:val="006D3F26"/>
    <w:rsid w:val="006D3F36"/>
    <w:rsid w:val="006D3F95"/>
    <w:rsid w:val="006D404A"/>
    <w:rsid w:val="006D4079"/>
    <w:rsid w:val="006D40A3"/>
    <w:rsid w:val="006D413A"/>
    <w:rsid w:val="006D41AB"/>
    <w:rsid w:val="006D41D0"/>
    <w:rsid w:val="006D4254"/>
    <w:rsid w:val="006D42F0"/>
    <w:rsid w:val="006D4396"/>
    <w:rsid w:val="006D4446"/>
    <w:rsid w:val="006D4543"/>
    <w:rsid w:val="006D455E"/>
    <w:rsid w:val="006D4592"/>
    <w:rsid w:val="006D45B3"/>
    <w:rsid w:val="006D45EE"/>
    <w:rsid w:val="006D46BF"/>
    <w:rsid w:val="006D46FB"/>
    <w:rsid w:val="006D46FF"/>
    <w:rsid w:val="006D4742"/>
    <w:rsid w:val="006D4794"/>
    <w:rsid w:val="006D47BE"/>
    <w:rsid w:val="006D47FD"/>
    <w:rsid w:val="006D480B"/>
    <w:rsid w:val="006D4896"/>
    <w:rsid w:val="006D48BE"/>
    <w:rsid w:val="006D48E7"/>
    <w:rsid w:val="006D493F"/>
    <w:rsid w:val="006D4961"/>
    <w:rsid w:val="006D4971"/>
    <w:rsid w:val="006D499B"/>
    <w:rsid w:val="006D49EE"/>
    <w:rsid w:val="006D4A99"/>
    <w:rsid w:val="006D4BE9"/>
    <w:rsid w:val="006D4BEF"/>
    <w:rsid w:val="006D4BFE"/>
    <w:rsid w:val="006D4C26"/>
    <w:rsid w:val="006D4CDD"/>
    <w:rsid w:val="006D4CF8"/>
    <w:rsid w:val="006D4D18"/>
    <w:rsid w:val="006D4E2F"/>
    <w:rsid w:val="006D4E49"/>
    <w:rsid w:val="006D4E50"/>
    <w:rsid w:val="006D4E57"/>
    <w:rsid w:val="006D4E77"/>
    <w:rsid w:val="006D4EE0"/>
    <w:rsid w:val="006D4F11"/>
    <w:rsid w:val="006D4F5C"/>
    <w:rsid w:val="006D4FBD"/>
    <w:rsid w:val="006D5024"/>
    <w:rsid w:val="006D50D8"/>
    <w:rsid w:val="006D5127"/>
    <w:rsid w:val="006D5304"/>
    <w:rsid w:val="006D5322"/>
    <w:rsid w:val="006D5339"/>
    <w:rsid w:val="006D5359"/>
    <w:rsid w:val="006D5376"/>
    <w:rsid w:val="006D5381"/>
    <w:rsid w:val="006D53B7"/>
    <w:rsid w:val="006D550D"/>
    <w:rsid w:val="006D554C"/>
    <w:rsid w:val="006D5564"/>
    <w:rsid w:val="006D56C1"/>
    <w:rsid w:val="006D573C"/>
    <w:rsid w:val="006D5795"/>
    <w:rsid w:val="006D5882"/>
    <w:rsid w:val="006D591E"/>
    <w:rsid w:val="006D5950"/>
    <w:rsid w:val="006D59E4"/>
    <w:rsid w:val="006D5A50"/>
    <w:rsid w:val="006D5A8B"/>
    <w:rsid w:val="006D5B3C"/>
    <w:rsid w:val="006D5DDF"/>
    <w:rsid w:val="006D5DEF"/>
    <w:rsid w:val="006D5EB7"/>
    <w:rsid w:val="006D6099"/>
    <w:rsid w:val="006D60B1"/>
    <w:rsid w:val="006D60DF"/>
    <w:rsid w:val="006D6127"/>
    <w:rsid w:val="006D612B"/>
    <w:rsid w:val="006D615A"/>
    <w:rsid w:val="006D620F"/>
    <w:rsid w:val="006D632E"/>
    <w:rsid w:val="006D6446"/>
    <w:rsid w:val="006D64EB"/>
    <w:rsid w:val="006D6501"/>
    <w:rsid w:val="006D6527"/>
    <w:rsid w:val="006D655B"/>
    <w:rsid w:val="006D659A"/>
    <w:rsid w:val="006D65A5"/>
    <w:rsid w:val="006D65B4"/>
    <w:rsid w:val="006D667E"/>
    <w:rsid w:val="006D66B2"/>
    <w:rsid w:val="006D670E"/>
    <w:rsid w:val="006D6722"/>
    <w:rsid w:val="006D679F"/>
    <w:rsid w:val="006D67D7"/>
    <w:rsid w:val="006D67F1"/>
    <w:rsid w:val="006D6807"/>
    <w:rsid w:val="006D69CA"/>
    <w:rsid w:val="006D6B3D"/>
    <w:rsid w:val="006D6B74"/>
    <w:rsid w:val="006D6C1E"/>
    <w:rsid w:val="006D6C3E"/>
    <w:rsid w:val="006D6C4A"/>
    <w:rsid w:val="006D6C80"/>
    <w:rsid w:val="006D6CF1"/>
    <w:rsid w:val="006D6E0C"/>
    <w:rsid w:val="006D6E25"/>
    <w:rsid w:val="006D6E39"/>
    <w:rsid w:val="006D6E87"/>
    <w:rsid w:val="006D6E93"/>
    <w:rsid w:val="006D6F36"/>
    <w:rsid w:val="006D7011"/>
    <w:rsid w:val="006D7067"/>
    <w:rsid w:val="006D70AF"/>
    <w:rsid w:val="006D70BF"/>
    <w:rsid w:val="006D70E3"/>
    <w:rsid w:val="006D7142"/>
    <w:rsid w:val="006D71F8"/>
    <w:rsid w:val="006D7323"/>
    <w:rsid w:val="006D736A"/>
    <w:rsid w:val="006D73C3"/>
    <w:rsid w:val="006D73C7"/>
    <w:rsid w:val="006D73DB"/>
    <w:rsid w:val="006D7421"/>
    <w:rsid w:val="006D7476"/>
    <w:rsid w:val="006D74CD"/>
    <w:rsid w:val="006D74F4"/>
    <w:rsid w:val="006D752A"/>
    <w:rsid w:val="006D75A5"/>
    <w:rsid w:val="006D760B"/>
    <w:rsid w:val="006D7629"/>
    <w:rsid w:val="006D7632"/>
    <w:rsid w:val="006D7669"/>
    <w:rsid w:val="006D7684"/>
    <w:rsid w:val="006D76AA"/>
    <w:rsid w:val="006D76C8"/>
    <w:rsid w:val="006D7702"/>
    <w:rsid w:val="006D7712"/>
    <w:rsid w:val="006D771E"/>
    <w:rsid w:val="006D7753"/>
    <w:rsid w:val="006D77EE"/>
    <w:rsid w:val="006D7846"/>
    <w:rsid w:val="006D784F"/>
    <w:rsid w:val="006D7909"/>
    <w:rsid w:val="006D79AA"/>
    <w:rsid w:val="006D79E4"/>
    <w:rsid w:val="006D7A0B"/>
    <w:rsid w:val="006D7A5E"/>
    <w:rsid w:val="006D7AA6"/>
    <w:rsid w:val="006D7B1E"/>
    <w:rsid w:val="006D7B24"/>
    <w:rsid w:val="006D7BB5"/>
    <w:rsid w:val="006D7BE5"/>
    <w:rsid w:val="006D7C02"/>
    <w:rsid w:val="006D7C16"/>
    <w:rsid w:val="006D7C95"/>
    <w:rsid w:val="006D7D6E"/>
    <w:rsid w:val="006D7DC9"/>
    <w:rsid w:val="006D7DCF"/>
    <w:rsid w:val="006D7E94"/>
    <w:rsid w:val="006D7EEE"/>
    <w:rsid w:val="006E0009"/>
    <w:rsid w:val="006E0085"/>
    <w:rsid w:val="006E00E1"/>
    <w:rsid w:val="006E013B"/>
    <w:rsid w:val="006E019C"/>
    <w:rsid w:val="006E0209"/>
    <w:rsid w:val="006E0237"/>
    <w:rsid w:val="006E02A3"/>
    <w:rsid w:val="006E0390"/>
    <w:rsid w:val="006E047F"/>
    <w:rsid w:val="006E058E"/>
    <w:rsid w:val="006E0608"/>
    <w:rsid w:val="006E0609"/>
    <w:rsid w:val="006E068C"/>
    <w:rsid w:val="006E069C"/>
    <w:rsid w:val="006E06C0"/>
    <w:rsid w:val="006E073B"/>
    <w:rsid w:val="006E076C"/>
    <w:rsid w:val="006E07A5"/>
    <w:rsid w:val="006E07CA"/>
    <w:rsid w:val="006E07D3"/>
    <w:rsid w:val="006E0807"/>
    <w:rsid w:val="006E0867"/>
    <w:rsid w:val="006E08DD"/>
    <w:rsid w:val="006E0925"/>
    <w:rsid w:val="006E09B8"/>
    <w:rsid w:val="006E0A85"/>
    <w:rsid w:val="006E0AF7"/>
    <w:rsid w:val="006E0AFF"/>
    <w:rsid w:val="006E0BB1"/>
    <w:rsid w:val="006E0BD5"/>
    <w:rsid w:val="006E0C78"/>
    <w:rsid w:val="006E0CB4"/>
    <w:rsid w:val="006E0CC2"/>
    <w:rsid w:val="006E0CC8"/>
    <w:rsid w:val="006E0D24"/>
    <w:rsid w:val="006E0F12"/>
    <w:rsid w:val="006E0F5F"/>
    <w:rsid w:val="006E0F85"/>
    <w:rsid w:val="006E10A4"/>
    <w:rsid w:val="006E10D4"/>
    <w:rsid w:val="006E1292"/>
    <w:rsid w:val="006E12D0"/>
    <w:rsid w:val="006E12D9"/>
    <w:rsid w:val="006E133B"/>
    <w:rsid w:val="006E1352"/>
    <w:rsid w:val="006E13E8"/>
    <w:rsid w:val="006E1413"/>
    <w:rsid w:val="006E1428"/>
    <w:rsid w:val="006E14F9"/>
    <w:rsid w:val="006E163A"/>
    <w:rsid w:val="006E164D"/>
    <w:rsid w:val="006E16BA"/>
    <w:rsid w:val="006E1713"/>
    <w:rsid w:val="006E171F"/>
    <w:rsid w:val="006E1730"/>
    <w:rsid w:val="006E183C"/>
    <w:rsid w:val="006E185C"/>
    <w:rsid w:val="006E1868"/>
    <w:rsid w:val="006E19B6"/>
    <w:rsid w:val="006E19C3"/>
    <w:rsid w:val="006E19FB"/>
    <w:rsid w:val="006E1A64"/>
    <w:rsid w:val="006E1A83"/>
    <w:rsid w:val="006E1A91"/>
    <w:rsid w:val="006E1B5A"/>
    <w:rsid w:val="006E1C05"/>
    <w:rsid w:val="006E1C0A"/>
    <w:rsid w:val="006E1C57"/>
    <w:rsid w:val="006E1CAB"/>
    <w:rsid w:val="006E1CF8"/>
    <w:rsid w:val="006E1D9D"/>
    <w:rsid w:val="006E1E39"/>
    <w:rsid w:val="006E1F0D"/>
    <w:rsid w:val="006E216C"/>
    <w:rsid w:val="006E21A4"/>
    <w:rsid w:val="006E22AB"/>
    <w:rsid w:val="006E22D8"/>
    <w:rsid w:val="006E22FB"/>
    <w:rsid w:val="006E22FC"/>
    <w:rsid w:val="006E2307"/>
    <w:rsid w:val="006E2388"/>
    <w:rsid w:val="006E23A2"/>
    <w:rsid w:val="006E23B6"/>
    <w:rsid w:val="006E243C"/>
    <w:rsid w:val="006E2478"/>
    <w:rsid w:val="006E2498"/>
    <w:rsid w:val="006E24C8"/>
    <w:rsid w:val="006E2615"/>
    <w:rsid w:val="006E2742"/>
    <w:rsid w:val="006E27C1"/>
    <w:rsid w:val="006E27C3"/>
    <w:rsid w:val="006E27D2"/>
    <w:rsid w:val="006E28EA"/>
    <w:rsid w:val="006E2906"/>
    <w:rsid w:val="006E2926"/>
    <w:rsid w:val="006E298D"/>
    <w:rsid w:val="006E2A9A"/>
    <w:rsid w:val="006E2AEC"/>
    <w:rsid w:val="006E2BA4"/>
    <w:rsid w:val="006E2C90"/>
    <w:rsid w:val="006E2CA6"/>
    <w:rsid w:val="006E2CC4"/>
    <w:rsid w:val="006E2CE4"/>
    <w:rsid w:val="006E2D58"/>
    <w:rsid w:val="006E2DBC"/>
    <w:rsid w:val="006E2DD4"/>
    <w:rsid w:val="006E2E0B"/>
    <w:rsid w:val="006E2E23"/>
    <w:rsid w:val="006E2F64"/>
    <w:rsid w:val="006E2F67"/>
    <w:rsid w:val="006E2F87"/>
    <w:rsid w:val="006E2F8D"/>
    <w:rsid w:val="006E300E"/>
    <w:rsid w:val="006E305C"/>
    <w:rsid w:val="006E3096"/>
    <w:rsid w:val="006E3159"/>
    <w:rsid w:val="006E3214"/>
    <w:rsid w:val="006E3240"/>
    <w:rsid w:val="006E324D"/>
    <w:rsid w:val="006E3372"/>
    <w:rsid w:val="006E3490"/>
    <w:rsid w:val="006E34FF"/>
    <w:rsid w:val="006E3531"/>
    <w:rsid w:val="006E355B"/>
    <w:rsid w:val="006E3574"/>
    <w:rsid w:val="006E358D"/>
    <w:rsid w:val="006E3758"/>
    <w:rsid w:val="006E375E"/>
    <w:rsid w:val="006E378F"/>
    <w:rsid w:val="006E37A5"/>
    <w:rsid w:val="006E3841"/>
    <w:rsid w:val="006E3A49"/>
    <w:rsid w:val="006E3A67"/>
    <w:rsid w:val="006E3A98"/>
    <w:rsid w:val="006E3B0E"/>
    <w:rsid w:val="006E3B6A"/>
    <w:rsid w:val="006E3BAB"/>
    <w:rsid w:val="006E3BF7"/>
    <w:rsid w:val="006E3C14"/>
    <w:rsid w:val="006E3CD0"/>
    <w:rsid w:val="006E3D59"/>
    <w:rsid w:val="006E3DF1"/>
    <w:rsid w:val="006E3E59"/>
    <w:rsid w:val="006E3E5E"/>
    <w:rsid w:val="006E3EBB"/>
    <w:rsid w:val="006E3EC8"/>
    <w:rsid w:val="006E3ED9"/>
    <w:rsid w:val="006E3F8C"/>
    <w:rsid w:val="006E403E"/>
    <w:rsid w:val="006E4097"/>
    <w:rsid w:val="006E40B6"/>
    <w:rsid w:val="006E422D"/>
    <w:rsid w:val="006E424B"/>
    <w:rsid w:val="006E4326"/>
    <w:rsid w:val="006E444A"/>
    <w:rsid w:val="006E44D7"/>
    <w:rsid w:val="006E454A"/>
    <w:rsid w:val="006E45C9"/>
    <w:rsid w:val="006E45F0"/>
    <w:rsid w:val="006E4633"/>
    <w:rsid w:val="006E4646"/>
    <w:rsid w:val="006E469C"/>
    <w:rsid w:val="006E46DF"/>
    <w:rsid w:val="006E4740"/>
    <w:rsid w:val="006E4797"/>
    <w:rsid w:val="006E4837"/>
    <w:rsid w:val="006E485D"/>
    <w:rsid w:val="006E4869"/>
    <w:rsid w:val="006E48DB"/>
    <w:rsid w:val="006E48DC"/>
    <w:rsid w:val="006E48F6"/>
    <w:rsid w:val="006E499A"/>
    <w:rsid w:val="006E499E"/>
    <w:rsid w:val="006E4A8F"/>
    <w:rsid w:val="006E4A9D"/>
    <w:rsid w:val="006E4AE5"/>
    <w:rsid w:val="006E4AF6"/>
    <w:rsid w:val="006E4BB4"/>
    <w:rsid w:val="006E4C6C"/>
    <w:rsid w:val="006E4E6D"/>
    <w:rsid w:val="006E4ECA"/>
    <w:rsid w:val="006E4F9A"/>
    <w:rsid w:val="006E503D"/>
    <w:rsid w:val="006E504E"/>
    <w:rsid w:val="006E5077"/>
    <w:rsid w:val="006E507F"/>
    <w:rsid w:val="006E5085"/>
    <w:rsid w:val="006E5255"/>
    <w:rsid w:val="006E52FA"/>
    <w:rsid w:val="006E53AD"/>
    <w:rsid w:val="006E548D"/>
    <w:rsid w:val="006E5496"/>
    <w:rsid w:val="006E54B4"/>
    <w:rsid w:val="006E54F5"/>
    <w:rsid w:val="006E5506"/>
    <w:rsid w:val="006E5521"/>
    <w:rsid w:val="006E5539"/>
    <w:rsid w:val="006E55E1"/>
    <w:rsid w:val="006E5613"/>
    <w:rsid w:val="006E5614"/>
    <w:rsid w:val="006E5675"/>
    <w:rsid w:val="006E56BA"/>
    <w:rsid w:val="006E56E9"/>
    <w:rsid w:val="006E5791"/>
    <w:rsid w:val="006E57A4"/>
    <w:rsid w:val="006E5873"/>
    <w:rsid w:val="006E5912"/>
    <w:rsid w:val="006E5995"/>
    <w:rsid w:val="006E59FB"/>
    <w:rsid w:val="006E5A99"/>
    <w:rsid w:val="006E5AB9"/>
    <w:rsid w:val="006E5AC4"/>
    <w:rsid w:val="006E5AEA"/>
    <w:rsid w:val="006E5B9E"/>
    <w:rsid w:val="006E5BBD"/>
    <w:rsid w:val="006E5BD0"/>
    <w:rsid w:val="006E5C3F"/>
    <w:rsid w:val="006E5C4E"/>
    <w:rsid w:val="006E5CB4"/>
    <w:rsid w:val="006E5D6C"/>
    <w:rsid w:val="006E5D8B"/>
    <w:rsid w:val="006E5E52"/>
    <w:rsid w:val="006E5F30"/>
    <w:rsid w:val="006E5FB2"/>
    <w:rsid w:val="006E6043"/>
    <w:rsid w:val="006E604D"/>
    <w:rsid w:val="006E6077"/>
    <w:rsid w:val="006E6084"/>
    <w:rsid w:val="006E611B"/>
    <w:rsid w:val="006E6161"/>
    <w:rsid w:val="006E6197"/>
    <w:rsid w:val="006E61E6"/>
    <w:rsid w:val="006E637E"/>
    <w:rsid w:val="006E6579"/>
    <w:rsid w:val="006E65E2"/>
    <w:rsid w:val="006E663A"/>
    <w:rsid w:val="006E6706"/>
    <w:rsid w:val="006E6788"/>
    <w:rsid w:val="006E682A"/>
    <w:rsid w:val="006E68DA"/>
    <w:rsid w:val="006E6926"/>
    <w:rsid w:val="006E6A45"/>
    <w:rsid w:val="006E6A5F"/>
    <w:rsid w:val="006E6AC6"/>
    <w:rsid w:val="006E6B3B"/>
    <w:rsid w:val="006E6BB5"/>
    <w:rsid w:val="006E6BD9"/>
    <w:rsid w:val="006E6CD4"/>
    <w:rsid w:val="006E6DA1"/>
    <w:rsid w:val="006E6DC8"/>
    <w:rsid w:val="006E6E1D"/>
    <w:rsid w:val="006E6E3D"/>
    <w:rsid w:val="006E6F1D"/>
    <w:rsid w:val="006E6F76"/>
    <w:rsid w:val="006E6F9D"/>
    <w:rsid w:val="006E6FEB"/>
    <w:rsid w:val="006E702A"/>
    <w:rsid w:val="006E7063"/>
    <w:rsid w:val="006E70F0"/>
    <w:rsid w:val="006E7139"/>
    <w:rsid w:val="006E713B"/>
    <w:rsid w:val="006E71BA"/>
    <w:rsid w:val="006E71FA"/>
    <w:rsid w:val="006E728F"/>
    <w:rsid w:val="006E735D"/>
    <w:rsid w:val="006E73BF"/>
    <w:rsid w:val="006E73CD"/>
    <w:rsid w:val="006E7404"/>
    <w:rsid w:val="006E745A"/>
    <w:rsid w:val="006E7490"/>
    <w:rsid w:val="006E74CD"/>
    <w:rsid w:val="006E768B"/>
    <w:rsid w:val="006E76CB"/>
    <w:rsid w:val="006E76F9"/>
    <w:rsid w:val="006E7700"/>
    <w:rsid w:val="006E771E"/>
    <w:rsid w:val="006E7787"/>
    <w:rsid w:val="006E7816"/>
    <w:rsid w:val="006E781F"/>
    <w:rsid w:val="006E786D"/>
    <w:rsid w:val="006E7876"/>
    <w:rsid w:val="006E789F"/>
    <w:rsid w:val="006E78E1"/>
    <w:rsid w:val="006E78ED"/>
    <w:rsid w:val="006E78F7"/>
    <w:rsid w:val="006E791B"/>
    <w:rsid w:val="006E7928"/>
    <w:rsid w:val="006E79E1"/>
    <w:rsid w:val="006E7A55"/>
    <w:rsid w:val="006E7A5E"/>
    <w:rsid w:val="006E7B96"/>
    <w:rsid w:val="006E7BF3"/>
    <w:rsid w:val="006E7C44"/>
    <w:rsid w:val="006E7D3A"/>
    <w:rsid w:val="006E7E50"/>
    <w:rsid w:val="006E7E6E"/>
    <w:rsid w:val="006E7EB1"/>
    <w:rsid w:val="006E7FE2"/>
    <w:rsid w:val="006F007A"/>
    <w:rsid w:val="006F0102"/>
    <w:rsid w:val="006F01B2"/>
    <w:rsid w:val="006F01F4"/>
    <w:rsid w:val="006F02D1"/>
    <w:rsid w:val="006F03FC"/>
    <w:rsid w:val="006F0401"/>
    <w:rsid w:val="006F0411"/>
    <w:rsid w:val="006F0449"/>
    <w:rsid w:val="006F048B"/>
    <w:rsid w:val="006F04CA"/>
    <w:rsid w:val="006F054F"/>
    <w:rsid w:val="006F05BD"/>
    <w:rsid w:val="006F0646"/>
    <w:rsid w:val="006F067A"/>
    <w:rsid w:val="006F06A7"/>
    <w:rsid w:val="006F06ED"/>
    <w:rsid w:val="006F06F3"/>
    <w:rsid w:val="006F0748"/>
    <w:rsid w:val="006F0806"/>
    <w:rsid w:val="006F081C"/>
    <w:rsid w:val="006F0864"/>
    <w:rsid w:val="006F08D0"/>
    <w:rsid w:val="006F0A88"/>
    <w:rsid w:val="006F0BAA"/>
    <w:rsid w:val="006F0BF8"/>
    <w:rsid w:val="006F0BFD"/>
    <w:rsid w:val="006F0CA7"/>
    <w:rsid w:val="006F0CB3"/>
    <w:rsid w:val="006F0CFC"/>
    <w:rsid w:val="006F0D11"/>
    <w:rsid w:val="006F0D1C"/>
    <w:rsid w:val="006F0D27"/>
    <w:rsid w:val="006F0D4F"/>
    <w:rsid w:val="006F0DCD"/>
    <w:rsid w:val="006F0DF2"/>
    <w:rsid w:val="006F0E7F"/>
    <w:rsid w:val="006F0E97"/>
    <w:rsid w:val="006F0EB5"/>
    <w:rsid w:val="006F0EE4"/>
    <w:rsid w:val="006F0FAD"/>
    <w:rsid w:val="006F0FBD"/>
    <w:rsid w:val="006F1010"/>
    <w:rsid w:val="006F103C"/>
    <w:rsid w:val="006F108B"/>
    <w:rsid w:val="006F110C"/>
    <w:rsid w:val="006F1125"/>
    <w:rsid w:val="006F11A1"/>
    <w:rsid w:val="006F11CD"/>
    <w:rsid w:val="006F1272"/>
    <w:rsid w:val="006F1274"/>
    <w:rsid w:val="006F136A"/>
    <w:rsid w:val="006F1441"/>
    <w:rsid w:val="006F147B"/>
    <w:rsid w:val="006F14DA"/>
    <w:rsid w:val="006F1568"/>
    <w:rsid w:val="006F15AE"/>
    <w:rsid w:val="006F15E7"/>
    <w:rsid w:val="006F1636"/>
    <w:rsid w:val="006F169C"/>
    <w:rsid w:val="006F16EC"/>
    <w:rsid w:val="006F1709"/>
    <w:rsid w:val="006F1828"/>
    <w:rsid w:val="006F1845"/>
    <w:rsid w:val="006F18D4"/>
    <w:rsid w:val="006F1967"/>
    <w:rsid w:val="006F1A7A"/>
    <w:rsid w:val="006F1B38"/>
    <w:rsid w:val="006F1C5D"/>
    <w:rsid w:val="006F1CD0"/>
    <w:rsid w:val="006F1D2D"/>
    <w:rsid w:val="006F1D5A"/>
    <w:rsid w:val="006F1D98"/>
    <w:rsid w:val="006F1D9A"/>
    <w:rsid w:val="006F1DE1"/>
    <w:rsid w:val="006F1DF7"/>
    <w:rsid w:val="006F1DFC"/>
    <w:rsid w:val="006F1E29"/>
    <w:rsid w:val="006F1E3D"/>
    <w:rsid w:val="006F1EAD"/>
    <w:rsid w:val="006F1EB0"/>
    <w:rsid w:val="006F1F26"/>
    <w:rsid w:val="006F1F60"/>
    <w:rsid w:val="006F1FC2"/>
    <w:rsid w:val="006F1FD7"/>
    <w:rsid w:val="006F2032"/>
    <w:rsid w:val="006F2095"/>
    <w:rsid w:val="006F20EA"/>
    <w:rsid w:val="006F214B"/>
    <w:rsid w:val="006F2152"/>
    <w:rsid w:val="006F218D"/>
    <w:rsid w:val="006F21B1"/>
    <w:rsid w:val="006F21CB"/>
    <w:rsid w:val="006F2229"/>
    <w:rsid w:val="006F22E6"/>
    <w:rsid w:val="006F231A"/>
    <w:rsid w:val="006F2322"/>
    <w:rsid w:val="006F238C"/>
    <w:rsid w:val="006F2411"/>
    <w:rsid w:val="006F241D"/>
    <w:rsid w:val="006F244C"/>
    <w:rsid w:val="006F2480"/>
    <w:rsid w:val="006F249C"/>
    <w:rsid w:val="006F24E8"/>
    <w:rsid w:val="006F250B"/>
    <w:rsid w:val="006F253B"/>
    <w:rsid w:val="006F25F4"/>
    <w:rsid w:val="006F2736"/>
    <w:rsid w:val="006F27CC"/>
    <w:rsid w:val="006F281F"/>
    <w:rsid w:val="006F2894"/>
    <w:rsid w:val="006F2906"/>
    <w:rsid w:val="006F29C1"/>
    <w:rsid w:val="006F2A0D"/>
    <w:rsid w:val="006F2A1D"/>
    <w:rsid w:val="006F2B74"/>
    <w:rsid w:val="006F2C73"/>
    <w:rsid w:val="006F2D04"/>
    <w:rsid w:val="006F2E07"/>
    <w:rsid w:val="006F2EA3"/>
    <w:rsid w:val="006F2FBB"/>
    <w:rsid w:val="006F303E"/>
    <w:rsid w:val="006F315D"/>
    <w:rsid w:val="006F3249"/>
    <w:rsid w:val="006F324B"/>
    <w:rsid w:val="006F3252"/>
    <w:rsid w:val="006F328E"/>
    <w:rsid w:val="006F33D5"/>
    <w:rsid w:val="006F341B"/>
    <w:rsid w:val="006F34D9"/>
    <w:rsid w:val="006F352A"/>
    <w:rsid w:val="006F3533"/>
    <w:rsid w:val="006F355F"/>
    <w:rsid w:val="006F3564"/>
    <w:rsid w:val="006F3576"/>
    <w:rsid w:val="006F359D"/>
    <w:rsid w:val="006F35D5"/>
    <w:rsid w:val="006F36E9"/>
    <w:rsid w:val="006F370B"/>
    <w:rsid w:val="006F37B5"/>
    <w:rsid w:val="006F37C6"/>
    <w:rsid w:val="006F3891"/>
    <w:rsid w:val="006F3898"/>
    <w:rsid w:val="006F38E7"/>
    <w:rsid w:val="006F3A6B"/>
    <w:rsid w:val="006F3C2B"/>
    <w:rsid w:val="006F3C48"/>
    <w:rsid w:val="006F3C79"/>
    <w:rsid w:val="006F3CBE"/>
    <w:rsid w:val="006F3CE4"/>
    <w:rsid w:val="006F3CEF"/>
    <w:rsid w:val="006F3D0B"/>
    <w:rsid w:val="006F3D77"/>
    <w:rsid w:val="006F3DB8"/>
    <w:rsid w:val="006F3E25"/>
    <w:rsid w:val="006F3E2B"/>
    <w:rsid w:val="006F3E6D"/>
    <w:rsid w:val="006F3EBA"/>
    <w:rsid w:val="006F3EE7"/>
    <w:rsid w:val="006F3EF2"/>
    <w:rsid w:val="006F3F36"/>
    <w:rsid w:val="006F3F71"/>
    <w:rsid w:val="006F3FA5"/>
    <w:rsid w:val="006F40FB"/>
    <w:rsid w:val="006F4126"/>
    <w:rsid w:val="006F41BC"/>
    <w:rsid w:val="006F44D4"/>
    <w:rsid w:val="006F462D"/>
    <w:rsid w:val="006F464D"/>
    <w:rsid w:val="006F471E"/>
    <w:rsid w:val="006F473A"/>
    <w:rsid w:val="006F4791"/>
    <w:rsid w:val="006F486B"/>
    <w:rsid w:val="006F4945"/>
    <w:rsid w:val="006F4A16"/>
    <w:rsid w:val="006F4A8A"/>
    <w:rsid w:val="006F4AAC"/>
    <w:rsid w:val="006F4ADD"/>
    <w:rsid w:val="006F4B8D"/>
    <w:rsid w:val="006F4BAF"/>
    <w:rsid w:val="006F4BC9"/>
    <w:rsid w:val="006F4BD3"/>
    <w:rsid w:val="006F4C28"/>
    <w:rsid w:val="006F4C8F"/>
    <w:rsid w:val="006F4CE8"/>
    <w:rsid w:val="006F4E07"/>
    <w:rsid w:val="006F4E16"/>
    <w:rsid w:val="006F4F20"/>
    <w:rsid w:val="006F4F47"/>
    <w:rsid w:val="006F4F76"/>
    <w:rsid w:val="006F4F80"/>
    <w:rsid w:val="006F5065"/>
    <w:rsid w:val="006F509B"/>
    <w:rsid w:val="006F516B"/>
    <w:rsid w:val="006F5171"/>
    <w:rsid w:val="006F51A0"/>
    <w:rsid w:val="006F51B5"/>
    <w:rsid w:val="006F51BB"/>
    <w:rsid w:val="006F51D3"/>
    <w:rsid w:val="006F51E2"/>
    <w:rsid w:val="006F5231"/>
    <w:rsid w:val="006F5242"/>
    <w:rsid w:val="006F52B9"/>
    <w:rsid w:val="006F52D5"/>
    <w:rsid w:val="006F532C"/>
    <w:rsid w:val="006F53DF"/>
    <w:rsid w:val="006F5443"/>
    <w:rsid w:val="006F547D"/>
    <w:rsid w:val="006F54CB"/>
    <w:rsid w:val="006F5519"/>
    <w:rsid w:val="006F5598"/>
    <w:rsid w:val="006F55B9"/>
    <w:rsid w:val="006F5623"/>
    <w:rsid w:val="006F5730"/>
    <w:rsid w:val="006F5747"/>
    <w:rsid w:val="006F583D"/>
    <w:rsid w:val="006F584B"/>
    <w:rsid w:val="006F5934"/>
    <w:rsid w:val="006F59BE"/>
    <w:rsid w:val="006F5A05"/>
    <w:rsid w:val="006F5A7A"/>
    <w:rsid w:val="006F5A81"/>
    <w:rsid w:val="006F5AD0"/>
    <w:rsid w:val="006F5BAC"/>
    <w:rsid w:val="006F5C52"/>
    <w:rsid w:val="006F5CC1"/>
    <w:rsid w:val="006F5CDA"/>
    <w:rsid w:val="006F5DF2"/>
    <w:rsid w:val="006F5F3B"/>
    <w:rsid w:val="006F6174"/>
    <w:rsid w:val="006F618D"/>
    <w:rsid w:val="006F61B2"/>
    <w:rsid w:val="006F61C7"/>
    <w:rsid w:val="006F6219"/>
    <w:rsid w:val="006F62A4"/>
    <w:rsid w:val="006F63C6"/>
    <w:rsid w:val="006F6458"/>
    <w:rsid w:val="006F6476"/>
    <w:rsid w:val="006F64C3"/>
    <w:rsid w:val="006F64E0"/>
    <w:rsid w:val="006F6501"/>
    <w:rsid w:val="006F6505"/>
    <w:rsid w:val="006F657F"/>
    <w:rsid w:val="006F6656"/>
    <w:rsid w:val="006F672E"/>
    <w:rsid w:val="006F6785"/>
    <w:rsid w:val="006F67B5"/>
    <w:rsid w:val="006F68E9"/>
    <w:rsid w:val="006F6923"/>
    <w:rsid w:val="006F6971"/>
    <w:rsid w:val="006F69B2"/>
    <w:rsid w:val="006F69DF"/>
    <w:rsid w:val="006F69E4"/>
    <w:rsid w:val="006F6A25"/>
    <w:rsid w:val="006F6A54"/>
    <w:rsid w:val="006F6ABF"/>
    <w:rsid w:val="006F6B28"/>
    <w:rsid w:val="006F6B5B"/>
    <w:rsid w:val="006F6BAD"/>
    <w:rsid w:val="006F6C07"/>
    <w:rsid w:val="006F6C0E"/>
    <w:rsid w:val="006F6C47"/>
    <w:rsid w:val="006F6C95"/>
    <w:rsid w:val="006F6D62"/>
    <w:rsid w:val="006F6F2D"/>
    <w:rsid w:val="006F6F78"/>
    <w:rsid w:val="006F7064"/>
    <w:rsid w:val="006F70D1"/>
    <w:rsid w:val="006F7140"/>
    <w:rsid w:val="006F7166"/>
    <w:rsid w:val="006F716C"/>
    <w:rsid w:val="006F7191"/>
    <w:rsid w:val="006F71F0"/>
    <w:rsid w:val="006F728B"/>
    <w:rsid w:val="006F7295"/>
    <w:rsid w:val="006F729D"/>
    <w:rsid w:val="006F72E9"/>
    <w:rsid w:val="006F7334"/>
    <w:rsid w:val="006F7392"/>
    <w:rsid w:val="006F73A1"/>
    <w:rsid w:val="006F73F9"/>
    <w:rsid w:val="006F7498"/>
    <w:rsid w:val="006F75FB"/>
    <w:rsid w:val="006F7665"/>
    <w:rsid w:val="006F770D"/>
    <w:rsid w:val="006F7767"/>
    <w:rsid w:val="006F77BE"/>
    <w:rsid w:val="006F7855"/>
    <w:rsid w:val="006F7882"/>
    <w:rsid w:val="006F7893"/>
    <w:rsid w:val="006F7AB4"/>
    <w:rsid w:val="006F7B48"/>
    <w:rsid w:val="006F7B91"/>
    <w:rsid w:val="006F7BE3"/>
    <w:rsid w:val="006F7CAF"/>
    <w:rsid w:val="006F7CD5"/>
    <w:rsid w:val="006F7D0C"/>
    <w:rsid w:val="006F7D1B"/>
    <w:rsid w:val="006F7DB3"/>
    <w:rsid w:val="006F7DCC"/>
    <w:rsid w:val="006F7E0B"/>
    <w:rsid w:val="006F7E10"/>
    <w:rsid w:val="006F7E42"/>
    <w:rsid w:val="006F7F0D"/>
    <w:rsid w:val="00700087"/>
    <w:rsid w:val="007000D4"/>
    <w:rsid w:val="00700112"/>
    <w:rsid w:val="0070012C"/>
    <w:rsid w:val="00700163"/>
    <w:rsid w:val="007002BA"/>
    <w:rsid w:val="00700357"/>
    <w:rsid w:val="007003D5"/>
    <w:rsid w:val="00700413"/>
    <w:rsid w:val="00700453"/>
    <w:rsid w:val="00700455"/>
    <w:rsid w:val="0070045D"/>
    <w:rsid w:val="007004A3"/>
    <w:rsid w:val="0070054C"/>
    <w:rsid w:val="00700587"/>
    <w:rsid w:val="007005E5"/>
    <w:rsid w:val="0070061B"/>
    <w:rsid w:val="00700703"/>
    <w:rsid w:val="0070077A"/>
    <w:rsid w:val="00700811"/>
    <w:rsid w:val="00700869"/>
    <w:rsid w:val="007008A9"/>
    <w:rsid w:val="007008F6"/>
    <w:rsid w:val="00700962"/>
    <w:rsid w:val="007009E2"/>
    <w:rsid w:val="00700C35"/>
    <w:rsid w:val="00700C8D"/>
    <w:rsid w:val="00700CCD"/>
    <w:rsid w:val="00700D22"/>
    <w:rsid w:val="00700D8E"/>
    <w:rsid w:val="00700DA4"/>
    <w:rsid w:val="00700EC0"/>
    <w:rsid w:val="00700ECA"/>
    <w:rsid w:val="00700F65"/>
    <w:rsid w:val="0070106A"/>
    <w:rsid w:val="007010B3"/>
    <w:rsid w:val="007010B6"/>
    <w:rsid w:val="007010DD"/>
    <w:rsid w:val="00701110"/>
    <w:rsid w:val="00701157"/>
    <w:rsid w:val="00701169"/>
    <w:rsid w:val="00701206"/>
    <w:rsid w:val="00701215"/>
    <w:rsid w:val="007012EC"/>
    <w:rsid w:val="007013C6"/>
    <w:rsid w:val="0070147C"/>
    <w:rsid w:val="007015D7"/>
    <w:rsid w:val="007015FD"/>
    <w:rsid w:val="0070160E"/>
    <w:rsid w:val="00701613"/>
    <w:rsid w:val="0070169B"/>
    <w:rsid w:val="007016B5"/>
    <w:rsid w:val="007016E8"/>
    <w:rsid w:val="00701750"/>
    <w:rsid w:val="00701767"/>
    <w:rsid w:val="00701823"/>
    <w:rsid w:val="00701859"/>
    <w:rsid w:val="00701887"/>
    <w:rsid w:val="00701A8F"/>
    <w:rsid w:val="00701A99"/>
    <w:rsid w:val="00701AC5"/>
    <w:rsid w:val="00701AE8"/>
    <w:rsid w:val="00701B28"/>
    <w:rsid w:val="00701C5C"/>
    <w:rsid w:val="00701C60"/>
    <w:rsid w:val="00701D07"/>
    <w:rsid w:val="00701D1D"/>
    <w:rsid w:val="00701E94"/>
    <w:rsid w:val="00701EBD"/>
    <w:rsid w:val="00701F32"/>
    <w:rsid w:val="00701FCE"/>
    <w:rsid w:val="0070201A"/>
    <w:rsid w:val="007020CE"/>
    <w:rsid w:val="007020DA"/>
    <w:rsid w:val="00702155"/>
    <w:rsid w:val="0070215D"/>
    <w:rsid w:val="00702179"/>
    <w:rsid w:val="007021DB"/>
    <w:rsid w:val="007022B1"/>
    <w:rsid w:val="00702307"/>
    <w:rsid w:val="007023F1"/>
    <w:rsid w:val="00702428"/>
    <w:rsid w:val="0070242C"/>
    <w:rsid w:val="00702471"/>
    <w:rsid w:val="00702485"/>
    <w:rsid w:val="007024A9"/>
    <w:rsid w:val="007024AD"/>
    <w:rsid w:val="007024C3"/>
    <w:rsid w:val="00702508"/>
    <w:rsid w:val="0070265C"/>
    <w:rsid w:val="00702671"/>
    <w:rsid w:val="007026BE"/>
    <w:rsid w:val="0070273E"/>
    <w:rsid w:val="0070276B"/>
    <w:rsid w:val="00702856"/>
    <w:rsid w:val="00702919"/>
    <w:rsid w:val="00702971"/>
    <w:rsid w:val="007029EA"/>
    <w:rsid w:val="00702A7F"/>
    <w:rsid w:val="00702AAB"/>
    <w:rsid w:val="00702AC9"/>
    <w:rsid w:val="00702B1D"/>
    <w:rsid w:val="00702CA3"/>
    <w:rsid w:val="00702DB6"/>
    <w:rsid w:val="00702DC3"/>
    <w:rsid w:val="00702E85"/>
    <w:rsid w:val="00702EAF"/>
    <w:rsid w:val="00702ED3"/>
    <w:rsid w:val="00702F24"/>
    <w:rsid w:val="00702F26"/>
    <w:rsid w:val="00702F77"/>
    <w:rsid w:val="00702FA9"/>
    <w:rsid w:val="00702FD1"/>
    <w:rsid w:val="00702FE4"/>
    <w:rsid w:val="00702FE5"/>
    <w:rsid w:val="00703071"/>
    <w:rsid w:val="00703086"/>
    <w:rsid w:val="007030A8"/>
    <w:rsid w:val="007030A9"/>
    <w:rsid w:val="0070330B"/>
    <w:rsid w:val="00703370"/>
    <w:rsid w:val="007033DC"/>
    <w:rsid w:val="007033F5"/>
    <w:rsid w:val="0070346C"/>
    <w:rsid w:val="007034E0"/>
    <w:rsid w:val="007034F3"/>
    <w:rsid w:val="0070353D"/>
    <w:rsid w:val="00703546"/>
    <w:rsid w:val="0070354E"/>
    <w:rsid w:val="0070357F"/>
    <w:rsid w:val="0070363B"/>
    <w:rsid w:val="00703654"/>
    <w:rsid w:val="0070366C"/>
    <w:rsid w:val="00703688"/>
    <w:rsid w:val="00703706"/>
    <w:rsid w:val="0070371D"/>
    <w:rsid w:val="00703732"/>
    <w:rsid w:val="007037E0"/>
    <w:rsid w:val="007037E6"/>
    <w:rsid w:val="00703805"/>
    <w:rsid w:val="007038A2"/>
    <w:rsid w:val="00703907"/>
    <w:rsid w:val="0070394D"/>
    <w:rsid w:val="00703963"/>
    <w:rsid w:val="00703A07"/>
    <w:rsid w:val="00703A22"/>
    <w:rsid w:val="00703AAA"/>
    <w:rsid w:val="00703B0A"/>
    <w:rsid w:val="00703B62"/>
    <w:rsid w:val="00703B77"/>
    <w:rsid w:val="00703B7F"/>
    <w:rsid w:val="00703B90"/>
    <w:rsid w:val="00703BD4"/>
    <w:rsid w:val="00703CF1"/>
    <w:rsid w:val="00703D0B"/>
    <w:rsid w:val="00703D37"/>
    <w:rsid w:val="00703D45"/>
    <w:rsid w:val="00703D67"/>
    <w:rsid w:val="00703E63"/>
    <w:rsid w:val="00703E78"/>
    <w:rsid w:val="00703E8B"/>
    <w:rsid w:val="00704019"/>
    <w:rsid w:val="007040D8"/>
    <w:rsid w:val="0070410D"/>
    <w:rsid w:val="00704113"/>
    <w:rsid w:val="00704127"/>
    <w:rsid w:val="00704212"/>
    <w:rsid w:val="00704234"/>
    <w:rsid w:val="00704241"/>
    <w:rsid w:val="00704409"/>
    <w:rsid w:val="00704457"/>
    <w:rsid w:val="00704494"/>
    <w:rsid w:val="00704503"/>
    <w:rsid w:val="00704594"/>
    <w:rsid w:val="0070464B"/>
    <w:rsid w:val="0070466A"/>
    <w:rsid w:val="0070467A"/>
    <w:rsid w:val="007046DF"/>
    <w:rsid w:val="00704705"/>
    <w:rsid w:val="00704761"/>
    <w:rsid w:val="00704817"/>
    <w:rsid w:val="0070489C"/>
    <w:rsid w:val="00704900"/>
    <w:rsid w:val="0070490E"/>
    <w:rsid w:val="00704A22"/>
    <w:rsid w:val="00704A3B"/>
    <w:rsid w:val="00704ACD"/>
    <w:rsid w:val="00704B06"/>
    <w:rsid w:val="00704B78"/>
    <w:rsid w:val="00704BAD"/>
    <w:rsid w:val="00704C08"/>
    <w:rsid w:val="00704C4F"/>
    <w:rsid w:val="00704CB6"/>
    <w:rsid w:val="00704CC8"/>
    <w:rsid w:val="00704CE3"/>
    <w:rsid w:val="00704CF6"/>
    <w:rsid w:val="00704D38"/>
    <w:rsid w:val="00704DC2"/>
    <w:rsid w:val="00704DD0"/>
    <w:rsid w:val="00704DDC"/>
    <w:rsid w:val="00704E41"/>
    <w:rsid w:val="00704EBD"/>
    <w:rsid w:val="00704EFE"/>
    <w:rsid w:val="00704F85"/>
    <w:rsid w:val="00704FE8"/>
    <w:rsid w:val="00704FF6"/>
    <w:rsid w:val="0070500E"/>
    <w:rsid w:val="00705049"/>
    <w:rsid w:val="007050F7"/>
    <w:rsid w:val="00705130"/>
    <w:rsid w:val="0070513F"/>
    <w:rsid w:val="0070518B"/>
    <w:rsid w:val="007051E5"/>
    <w:rsid w:val="0070536F"/>
    <w:rsid w:val="007053AC"/>
    <w:rsid w:val="007053FA"/>
    <w:rsid w:val="00705423"/>
    <w:rsid w:val="00705451"/>
    <w:rsid w:val="007054DF"/>
    <w:rsid w:val="00705505"/>
    <w:rsid w:val="00705517"/>
    <w:rsid w:val="00705551"/>
    <w:rsid w:val="007055A1"/>
    <w:rsid w:val="0070569D"/>
    <w:rsid w:val="007056D3"/>
    <w:rsid w:val="007056E4"/>
    <w:rsid w:val="00705818"/>
    <w:rsid w:val="007058EC"/>
    <w:rsid w:val="0070599E"/>
    <w:rsid w:val="007059DC"/>
    <w:rsid w:val="00705A2D"/>
    <w:rsid w:val="00705BAB"/>
    <w:rsid w:val="00705BAE"/>
    <w:rsid w:val="00705BC3"/>
    <w:rsid w:val="00705BE3"/>
    <w:rsid w:val="00705C0E"/>
    <w:rsid w:val="00705C9A"/>
    <w:rsid w:val="00705CA1"/>
    <w:rsid w:val="00705CA9"/>
    <w:rsid w:val="00705CF0"/>
    <w:rsid w:val="00705D89"/>
    <w:rsid w:val="00705E1F"/>
    <w:rsid w:val="00705E8B"/>
    <w:rsid w:val="00705ED7"/>
    <w:rsid w:val="00705EF0"/>
    <w:rsid w:val="00705EF9"/>
    <w:rsid w:val="00705F82"/>
    <w:rsid w:val="00705F94"/>
    <w:rsid w:val="00706001"/>
    <w:rsid w:val="00706136"/>
    <w:rsid w:val="00706195"/>
    <w:rsid w:val="007061D0"/>
    <w:rsid w:val="007062EA"/>
    <w:rsid w:val="00706315"/>
    <w:rsid w:val="0070633B"/>
    <w:rsid w:val="0070634B"/>
    <w:rsid w:val="00706355"/>
    <w:rsid w:val="00706389"/>
    <w:rsid w:val="00706392"/>
    <w:rsid w:val="00706401"/>
    <w:rsid w:val="00706450"/>
    <w:rsid w:val="00706452"/>
    <w:rsid w:val="00706487"/>
    <w:rsid w:val="007064B1"/>
    <w:rsid w:val="007065A9"/>
    <w:rsid w:val="0070660E"/>
    <w:rsid w:val="00706697"/>
    <w:rsid w:val="007066BE"/>
    <w:rsid w:val="0070676C"/>
    <w:rsid w:val="007067DD"/>
    <w:rsid w:val="007067E9"/>
    <w:rsid w:val="00706878"/>
    <w:rsid w:val="007069BF"/>
    <w:rsid w:val="00706A0B"/>
    <w:rsid w:val="00706B31"/>
    <w:rsid w:val="00706B48"/>
    <w:rsid w:val="00706B68"/>
    <w:rsid w:val="00706BA5"/>
    <w:rsid w:val="00706BC4"/>
    <w:rsid w:val="00706C03"/>
    <w:rsid w:val="00706C19"/>
    <w:rsid w:val="00706C55"/>
    <w:rsid w:val="00706CE8"/>
    <w:rsid w:val="00706D10"/>
    <w:rsid w:val="00706D72"/>
    <w:rsid w:val="00706D82"/>
    <w:rsid w:val="00706ECD"/>
    <w:rsid w:val="00706ED8"/>
    <w:rsid w:val="00706F35"/>
    <w:rsid w:val="00706F65"/>
    <w:rsid w:val="00706F6A"/>
    <w:rsid w:val="00706FEC"/>
    <w:rsid w:val="0070703E"/>
    <w:rsid w:val="00707079"/>
    <w:rsid w:val="007071B1"/>
    <w:rsid w:val="007071BA"/>
    <w:rsid w:val="007071DF"/>
    <w:rsid w:val="007071F0"/>
    <w:rsid w:val="007072C2"/>
    <w:rsid w:val="0070739E"/>
    <w:rsid w:val="007073EF"/>
    <w:rsid w:val="00707454"/>
    <w:rsid w:val="00707510"/>
    <w:rsid w:val="00707521"/>
    <w:rsid w:val="0070753A"/>
    <w:rsid w:val="0070763F"/>
    <w:rsid w:val="00707691"/>
    <w:rsid w:val="007076C4"/>
    <w:rsid w:val="007076D9"/>
    <w:rsid w:val="00707864"/>
    <w:rsid w:val="007078ED"/>
    <w:rsid w:val="00707908"/>
    <w:rsid w:val="00707946"/>
    <w:rsid w:val="00707952"/>
    <w:rsid w:val="00707A3C"/>
    <w:rsid w:val="00707A54"/>
    <w:rsid w:val="00707AAF"/>
    <w:rsid w:val="00707AC2"/>
    <w:rsid w:val="00707B16"/>
    <w:rsid w:val="00707B95"/>
    <w:rsid w:val="00707BD0"/>
    <w:rsid w:val="00707BD1"/>
    <w:rsid w:val="00707BF0"/>
    <w:rsid w:val="00707C1C"/>
    <w:rsid w:val="00707C51"/>
    <w:rsid w:val="00707C7D"/>
    <w:rsid w:val="00707CDC"/>
    <w:rsid w:val="00707D69"/>
    <w:rsid w:val="00707D73"/>
    <w:rsid w:val="00707DCA"/>
    <w:rsid w:val="00707DF7"/>
    <w:rsid w:val="00707E3E"/>
    <w:rsid w:val="00707EB3"/>
    <w:rsid w:val="00707F3C"/>
    <w:rsid w:val="00707F88"/>
    <w:rsid w:val="00707F9C"/>
    <w:rsid w:val="00707FA1"/>
    <w:rsid w:val="00707FBF"/>
    <w:rsid w:val="00707FF2"/>
    <w:rsid w:val="007100A3"/>
    <w:rsid w:val="0071012D"/>
    <w:rsid w:val="0071013A"/>
    <w:rsid w:val="0071014E"/>
    <w:rsid w:val="00710263"/>
    <w:rsid w:val="007102EF"/>
    <w:rsid w:val="0071034A"/>
    <w:rsid w:val="00710363"/>
    <w:rsid w:val="00710369"/>
    <w:rsid w:val="00710478"/>
    <w:rsid w:val="007104BF"/>
    <w:rsid w:val="007104EB"/>
    <w:rsid w:val="00710536"/>
    <w:rsid w:val="007105E2"/>
    <w:rsid w:val="007106E0"/>
    <w:rsid w:val="007107FC"/>
    <w:rsid w:val="00710862"/>
    <w:rsid w:val="007108B9"/>
    <w:rsid w:val="00710959"/>
    <w:rsid w:val="007109D7"/>
    <w:rsid w:val="00710A36"/>
    <w:rsid w:val="00710A77"/>
    <w:rsid w:val="00710B24"/>
    <w:rsid w:val="00710BA4"/>
    <w:rsid w:val="00710C12"/>
    <w:rsid w:val="00710C49"/>
    <w:rsid w:val="00710CFB"/>
    <w:rsid w:val="00710CFE"/>
    <w:rsid w:val="00710D61"/>
    <w:rsid w:val="00710D6B"/>
    <w:rsid w:val="00710D6F"/>
    <w:rsid w:val="00710E53"/>
    <w:rsid w:val="00710EEC"/>
    <w:rsid w:val="0071107D"/>
    <w:rsid w:val="00711170"/>
    <w:rsid w:val="0071119D"/>
    <w:rsid w:val="00711214"/>
    <w:rsid w:val="007112C1"/>
    <w:rsid w:val="007112C4"/>
    <w:rsid w:val="0071131B"/>
    <w:rsid w:val="00711383"/>
    <w:rsid w:val="007113CA"/>
    <w:rsid w:val="00711413"/>
    <w:rsid w:val="00711476"/>
    <w:rsid w:val="007114A7"/>
    <w:rsid w:val="007114C0"/>
    <w:rsid w:val="007114D1"/>
    <w:rsid w:val="007115E4"/>
    <w:rsid w:val="007116D5"/>
    <w:rsid w:val="007117A9"/>
    <w:rsid w:val="00711806"/>
    <w:rsid w:val="0071180B"/>
    <w:rsid w:val="0071181B"/>
    <w:rsid w:val="0071188D"/>
    <w:rsid w:val="007118B2"/>
    <w:rsid w:val="00711A33"/>
    <w:rsid w:val="00711AC2"/>
    <w:rsid w:val="00711B2E"/>
    <w:rsid w:val="00711B66"/>
    <w:rsid w:val="00711BBF"/>
    <w:rsid w:val="00711C66"/>
    <w:rsid w:val="00711C6C"/>
    <w:rsid w:val="00711CDA"/>
    <w:rsid w:val="00711CF9"/>
    <w:rsid w:val="00711D07"/>
    <w:rsid w:val="00711DDD"/>
    <w:rsid w:val="00711E24"/>
    <w:rsid w:val="00711E61"/>
    <w:rsid w:val="00711F2A"/>
    <w:rsid w:val="00711F72"/>
    <w:rsid w:val="00711F76"/>
    <w:rsid w:val="0071203E"/>
    <w:rsid w:val="00712041"/>
    <w:rsid w:val="007120CE"/>
    <w:rsid w:val="00712108"/>
    <w:rsid w:val="00712146"/>
    <w:rsid w:val="0071215A"/>
    <w:rsid w:val="007121A0"/>
    <w:rsid w:val="007121F2"/>
    <w:rsid w:val="00712231"/>
    <w:rsid w:val="00712239"/>
    <w:rsid w:val="0071223D"/>
    <w:rsid w:val="00712254"/>
    <w:rsid w:val="007122CA"/>
    <w:rsid w:val="007122CF"/>
    <w:rsid w:val="007122D1"/>
    <w:rsid w:val="007122DF"/>
    <w:rsid w:val="007123AE"/>
    <w:rsid w:val="00712447"/>
    <w:rsid w:val="007124A9"/>
    <w:rsid w:val="00712589"/>
    <w:rsid w:val="007125CF"/>
    <w:rsid w:val="007126D6"/>
    <w:rsid w:val="0071273B"/>
    <w:rsid w:val="007127BA"/>
    <w:rsid w:val="00712869"/>
    <w:rsid w:val="007128A1"/>
    <w:rsid w:val="00712902"/>
    <w:rsid w:val="007129B7"/>
    <w:rsid w:val="00712A30"/>
    <w:rsid w:val="00712A5D"/>
    <w:rsid w:val="00712AF9"/>
    <w:rsid w:val="00712B3E"/>
    <w:rsid w:val="00712B5A"/>
    <w:rsid w:val="00712B85"/>
    <w:rsid w:val="00712BB3"/>
    <w:rsid w:val="00712C28"/>
    <w:rsid w:val="00712C35"/>
    <w:rsid w:val="00712D1F"/>
    <w:rsid w:val="00712D62"/>
    <w:rsid w:val="00712DB6"/>
    <w:rsid w:val="00712DD8"/>
    <w:rsid w:val="00712DE1"/>
    <w:rsid w:val="00712E38"/>
    <w:rsid w:val="00712E45"/>
    <w:rsid w:val="00712E5B"/>
    <w:rsid w:val="00712F99"/>
    <w:rsid w:val="00712FD5"/>
    <w:rsid w:val="00713098"/>
    <w:rsid w:val="007130AC"/>
    <w:rsid w:val="00713112"/>
    <w:rsid w:val="007131E8"/>
    <w:rsid w:val="0071320F"/>
    <w:rsid w:val="0071327C"/>
    <w:rsid w:val="007132A5"/>
    <w:rsid w:val="007132C2"/>
    <w:rsid w:val="00713328"/>
    <w:rsid w:val="007133C8"/>
    <w:rsid w:val="00713428"/>
    <w:rsid w:val="007134A3"/>
    <w:rsid w:val="0071352A"/>
    <w:rsid w:val="0071353B"/>
    <w:rsid w:val="00713800"/>
    <w:rsid w:val="0071382E"/>
    <w:rsid w:val="007139AF"/>
    <w:rsid w:val="007139BC"/>
    <w:rsid w:val="00713A52"/>
    <w:rsid w:val="00713BBB"/>
    <w:rsid w:val="00713BD1"/>
    <w:rsid w:val="00713CAE"/>
    <w:rsid w:val="00713CFE"/>
    <w:rsid w:val="00713D1A"/>
    <w:rsid w:val="00713D2A"/>
    <w:rsid w:val="00713D5E"/>
    <w:rsid w:val="00713EB4"/>
    <w:rsid w:val="00713F14"/>
    <w:rsid w:val="00713F85"/>
    <w:rsid w:val="00713FA1"/>
    <w:rsid w:val="00713FDC"/>
    <w:rsid w:val="0071403D"/>
    <w:rsid w:val="0071405C"/>
    <w:rsid w:val="00714064"/>
    <w:rsid w:val="007140BC"/>
    <w:rsid w:val="007140C0"/>
    <w:rsid w:val="00714266"/>
    <w:rsid w:val="00714312"/>
    <w:rsid w:val="0071439E"/>
    <w:rsid w:val="007143CC"/>
    <w:rsid w:val="007143CE"/>
    <w:rsid w:val="0071440F"/>
    <w:rsid w:val="00714431"/>
    <w:rsid w:val="00714484"/>
    <w:rsid w:val="007145B1"/>
    <w:rsid w:val="0071460A"/>
    <w:rsid w:val="0071463B"/>
    <w:rsid w:val="00714687"/>
    <w:rsid w:val="00714696"/>
    <w:rsid w:val="0071469D"/>
    <w:rsid w:val="007146D5"/>
    <w:rsid w:val="00714733"/>
    <w:rsid w:val="00714820"/>
    <w:rsid w:val="0071487B"/>
    <w:rsid w:val="00714893"/>
    <w:rsid w:val="007148CC"/>
    <w:rsid w:val="007148DC"/>
    <w:rsid w:val="00714952"/>
    <w:rsid w:val="00714989"/>
    <w:rsid w:val="007149FF"/>
    <w:rsid w:val="00714AC4"/>
    <w:rsid w:val="00714B04"/>
    <w:rsid w:val="00714B55"/>
    <w:rsid w:val="00714BE8"/>
    <w:rsid w:val="00714C09"/>
    <w:rsid w:val="00714C9E"/>
    <w:rsid w:val="00714CBA"/>
    <w:rsid w:val="00714CCB"/>
    <w:rsid w:val="00714CE6"/>
    <w:rsid w:val="00714D00"/>
    <w:rsid w:val="00714D03"/>
    <w:rsid w:val="00714D90"/>
    <w:rsid w:val="00714F82"/>
    <w:rsid w:val="00714FC4"/>
    <w:rsid w:val="00715085"/>
    <w:rsid w:val="00715207"/>
    <w:rsid w:val="0071521A"/>
    <w:rsid w:val="00715305"/>
    <w:rsid w:val="00715362"/>
    <w:rsid w:val="00715398"/>
    <w:rsid w:val="007153B4"/>
    <w:rsid w:val="00715438"/>
    <w:rsid w:val="00715542"/>
    <w:rsid w:val="00715577"/>
    <w:rsid w:val="0071566D"/>
    <w:rsid w:val="0071576E"/>
    <w:rsid w:val="0071587C"/>
    <w:rsid w:val="00715884"/>
    <w:rsid w:val="00715903"/>
    <w:rsid w:val="00715964"/>
    <w:rsid w:val="00715972"/>
    <w:rsid w:val="0071599A"/>
    <w:rsid w:val="007159F0"/>
    <w:rsid w:val="00715A4E"/>
    <w:rsid w:val="00715B7A"/>
    <w:rsid w:val="00715C0A"/>
    <w:rsid w:val="00715C4F"/>
    <w:rsid w:val="00715CA6"/>
    <w:rsid w:val="00715D79"/>
    <w:rsid w:val="00715E5A"/>
    <w:rsid w:val="00715EF5"/>
    <w:rsid w:val="00715F5D"/>
    <w:rsid w:val="00715F6B"/>
    <w:rsid w:val="00715FD9"/>
    <w:rsid w:val="00715FF0"/>
    <w:rsid w:val="00716003"/>
    <w:rsid w:val="00716091"/>
    <w:rsid w:val="00716102"/>
    <w:rsid w:val="0071610D"/>
    <w:rsid w:val="0071631F"/>
    <w:rsid w:val="00716349"/>
    <w:rsid w:val="00716370"/>
    <w:rsid w:val="00716452"/>
    <w:rsid w:val="0071645D"/>
    <w:rsid w:val="00716489"/>
    <w:rsid w:val="007164D2"/>
    <w:rsid w:val="00716551"/>
    <w:rsid w:val="0071659E"/>
    <w:rsid w:val="007165EE"/>
    <w:rsid w:val="0071682F"/>
    <w:rsid w:val="00716893"/>
    <w:rsid w:val="00716937"/>
    <w:rsid w:val="007169D6"/>
    <w:rsid w:val="00716A7F"/>
    <w:rsid w:val="00716AFB"/>
    <w:rsid w:val="00716AFE"/>
    <w:rsid w:val="00716D55"/>
    <w:rsid w:val="00716D99"/>
    <w:rsid w:val="00716E12"/>
    <w:rsid w:val="00716E6D"/>
    <w:rsid w:val="00716E81"/>
    <w:rsid w:val="00716E9B"/>
    <w:rsid w:val="00716F45"/>
    <w:rsid w:val="00716F98"/>
    <w:rsid w:val="00717006"/>
    <w:rsid w:val="00717105"/>
    <w:rsid w:val="00717128"/>
    <w:rsid w:val="00717175"/>
    <w:rsid w:val="00717203"/>
    <w:rsid w:val="00717254"/>
    <w:rsid w:val="0071726C"/>
    <w:rsid w:val="00717280"/>
    <w:rsid w:val="00717284"/>
    <w:rsid w:val="00717294"/>
    <w:rsid w:val="007172AA"/>
    <w:rsid w:val="007172EC"/>
    <w:rsid w:val="007172F4"/>
    <w:rsid w:val="00717347"/>
    <w:rsid w:val="0071736A"/>
    <w:rsid w:val="007173EA"/>
    <w:rsid w:val="00717473"/>
    <w:rsid w:val="007174EC"/>
    <w:rsid w:val="00717527"/>
    <w:rsid w:val="007175CF"/>
    <w:rsid w:val="007175FF"/>
    <w:rsid w:val="0071761D"/>
    <w:rsid w:val="00717695"/>
    <w:rsid w:val="0071769D"/>
    <w:rsid w:val="007176A6"/>
    <w:rsid w:val="007176FA"/>
    <w:rsid w:val="00717743"/>
    <w:rsid w:val="0071776C"/>
    <w:rsid w:val="0071787E"/>
    <w:rsid w:val="0071792C"/>
    <w:rsid w:val="00717989"/>
    <w:rsid w:val="0071798C"/>
    <w:rsid w:val="007179D2"/>
    <w:rsid w:val="00717AC3"/>
    <w:rsid w:val="00717AC5"/>
    <w:rsid w:val="00717B70"/>
    <w:rsid w:val="00717C00"/>
    <w:rsid w:val="00717C79"/>
    <w:rsid w:val="00717C8A"/>
    <w:rsid w:val="00717D55"/>
    <w:rsid w:val="00717EBA"/>
    <w:rsid w:val="00717EEC"/>
    <w:rsid w:val="00717EF1"/>
    <w:rsid w:val="00717F05"/>
    <w:rsid w:val="00717F57"/>
    <w:rsid w:val="00717F81"/>
    <w:rsid w:val="00717FB5"/>
    <w:rsid w:val="00717FDB"/>
    <w:rsid w:val="00720008"/>
    <w:rsid w:val="0072006D"/>
    <w:rsid w:val="00720074"/>
    <w:rsid w:val="0072007D"/>
    <w:rsid w:val="007200A5"/>
    <w:rsid w:val="00720176"/>
    <w:rsid w:val="007201D8"/>
    <w:rsid w:val="0072035B"/>
    <w:rsid w:val="00720387"/>
    <w:rsid w:val="007203F0"/>
    <w:rsid w:val="007204B1"/>
    <w:rsid w:val="007204DF"/>
    <w:rsid w:val="007204F7"/>
    <w:rsid w:val="0072056C"/>
    <w:rsid w:val="00720571"/>
    <w:rsid w:val="007205CD"/>
    <w:rsid w:val="00720642"/>
    <w:rsid w:val="0072066A"/>
    <w:rsid w:val="00720769"/>
    <w:rsid w:val="007207A3"/>
    <w:rsid w:val="007207B0"/>
    <w:rsid w:val="007207E8"/>
    <w:rsid w:val="0072082D"/>
    <w:rsid w:val="0072087F"/>
    <w:rsid w:val="007208D3"/>
    <w:rsid w:val="007209ED"/>
    <w:rsid w:val="00720A47"/>
    <w:rsid w:val="00720A4C"/>
    <w:rsid w:val="00720A77"/>
    <w:rsid w:val="00720ACB"/>
    <w:rsid w:val="00720AF3"/>
    <w:rsid w:val="00720B2A"/>
    <w:rsid w:val="00720B74"/>
    <w:rsid w:val="00720BBF"/>
    <w:rsid w:val="00720BEC"/>
    <w:rsid w:val="00720C5B"/>
    <w:rsid w:val="00720CB9"/>
    <w:rsid w:val="00720CCF"/>
    <w:rsid w:val="00720D0B"/>
    <w:rsid w:val="00720D44"/>
    <w:rsid w:val="00720E8F"/>
    <w:rsid w:val="00720F4A"/>
    <w:rsid w:val="00720FB7"/>
    <w:rsid w:val="00720FB9"/>
    <w:rsid w:val="007210ED"/>
    <w:rsid w:val="0072113D"/>
    <w:rsid w:val="00721148"/>
    <w:rsid w:val="007211BB"/>
    <w:rsid w:val="007211F5"/>
    <w:rsid w:val="00721295"/>
    <w:rsid w:val="00721377"/>
    <w:rsid w:val="00721416"/>
    <w:rsid w:val="00721618"/>
    <w:rsid w:val="007216A1"/>
    <w:rsid w:val="007216C6"/>
    <w:rsid w:val="007216C8"/>
    <w:rsid w:val="00721763"/>
    <w:rsid w:val="00721776"/>
    <w:rsid w:val="007217C7"/>
    <w:rsid w:val="007217EC"/>
    <w:rsid w:val="00721805"/>
    <w:rsid w:val="0072183A"/>
    <w:rsid w:val="0072193E"/>
    <w:rsid w:val="00721966"/>
    <w:rsid w:val="00721982"/>
    <w:rsid w:val="007219C4"/>
    <w:rsid w:val="007219E4"/>
    <w:rsid w:val="007219F8"/>
    <w:rsid w:val="007219FD"/>
    <w:rsid w:val="00721A16"/>
    <w:rsid w:val="00721A2F"/>
    <w:rsid w:val="00721A99"/>
    <w:rsid w:val="00721B88"/>
    <w:rsid w:val="00721BAB"/>
    <w:rsid w:val="00721DF0"/>
    <w:rsid w:val="00721F53"/>
    <w:rsid w:val="00722003"/>
    <w:rsid w:val="00722025"/>
    <w:rsid w:val="00722073"/>
    <w:rsid w:val="0072211D"/>
    <w:rsid w:val="007221B8"/>
    <w:rsid w:val="007221CC"/>
    <w:rsid w:val="007221DF"/>
    <w:rsid w:val="007222DB"/>
    <w:rsid w:val="007222F9"/>
    <w:rsid w:val="0072237E"/>
    <w:rsid w:val="0072248A"/>
    <w:rsid w:val="007224E8"/>
    <w:rsid w:val="00722533"/>
    <w:rsid w:val="0072255A"/>
    <w:rsid w:val="0072255E"/>
    <w:rsid w:val="00722584"/>
    <w:rsid w:val="00722647"/>
    <w:rsid w:val="007226BE"/>
    <w:rsid w:val="00722734"/>
    <w:rsid w:val="0072274A"/>
    <w:rsid w:val="007227A7"/>
    <w:rsid w:val="007227CB"/>
    <w:rsid w:val="007227E0"/>
    <w:rsid w:val="007227F2"/>
    <w:rsid w:val="007227F4"/>
    <w:rsid w:val="00722827"/>
    <w:rsid w:val="00722843"/>
    <w:rsid w:val="0072284D"/>
    <w:rsid w:val="007228A3"/>
    <w:rsid w:val="0072299A"/>
    <w:rsid w:val="00722A1C"/>
    <w:rsid w:val="00722A34"/>
    <w:rsid w:val="00722A47"/>
    <w:rsid w:val="00722A8B"/>
    <w:rsid w:val="00722AC7"/>
    <w:rsid w:val="00722B29"/>
    <w:rsid w:val="00722B48"/>
    <w:rsid w:val="00722B52"/>
    <w:rsid w:val="00722CE1"/>
    <w:rsid w:val="00722D41"/>
    <w:rsid w:val="00722D58"/>
    <w:rsid w:val="00722D7F"/>
    <w:rsid w:val="00722EDE"/>
    <w:rsid w:val="00722EFD"/>
    <w:rsid w:val="00722F75"/>
    <w:rsid w:val="00722FA7"/>
    <w:rsid w:val="00723006"/>
    <w:rsid w:val="00723017"/>
    <w:rsid w:val="00723076"/>
    <w:rsid w:val="007230C4"/>
    <w:rsid w:val="007230C7"/>
    <w:rsid w:val="007231C8"/>
    <w:rsid w:val="007231EA"/>
    <w:rsid w:val="007231F8"/>
    <w:rsid w:val="0072325C"/>
    <w:rsid w:val="00723332"/>
    <w:rsid w:val="00723343"/>
    <w:rsid w:val="00723436"/>
    <w:rsid w:val="00723457"/>
    <w:rsid w:val="00723475"/>
    <w:rsid w:val="007234B6"/>
    <w:rsid w:val="007234CB"/>
    <w:rsid w:val="0072356D"/>
    <w:rsid w:val="007235C7"/>
    <w:rsid w:val="00723652"/>
    <w:rsid w:val="0072365C"/>
    <w:rsid w:val="007236AD"/>
    <w:rsid w:val="007236F4"/>
    <w:rsid w:val="0072371A"/>
    <w:rsid w:val="00723798"/>
    <w:rsid w:val="0072398C"/>
    <w:rsid w:val="00723990"/>
    <w:rsid w:val="007239B6"/>
    <w:rsid w:val="007239CF"/>
    <w:rsid w:val="00723A95"/>
    <w:rsid w:val="00723C12"/>
    <w:rsid w:val="00723C16"/>
    <w:rsid w:val="00723C4E"/>
    <w:rsid w:val="00723C8A"/>
    <w:rsid w:val="00723DE0"/>
    <w:rsid w:val="00723E2C"/>
    <w:rsid w:val="00723E7D"/>
    <w:rsid w:val="00723F70"/>
    <w:rsid w:val="00723F79"/>
    <w:rsid w:val="00723FC7"/>
    <w:rsid w:val="00723FD4"/>
    <w:rsid w:val="0072401A"/>
    <w:rsid w:val="00724075"/>
    <w:rsid w:val="00724171"/>
    <w:rsid w:val="00724224"/>
    <w:rsid w:val="00724257"/>
    <w:rsid w:val="0072428E"/>
    <w:rsid w:val="0072435F"/>
    <w:rsid w:val="007244FD"/>
    <w:rsid w:val="00724589"/>
    <w:rsid w:val="0072459C"/>
    <w:rsid w:val="007245EB"/>
    <w:rsid w:val="00724615"/>
    <w:rsid w:val="0072461B"/>
    <w:rsid w:val="00724663"/>
    <w:rsid w:val="007247B5"/>
    <w:rsid w:val="007247F0"/>
    <w:rsid w:val="0072486C"/>
    <w:rsid w:val="0072487B"/>
    <w:rsid w:val="00724888"/>
    <w:rsid w:val="007248B6"/>
    <w:rsid w:val="007249A3"/>
    <w:rsid w:val="007249A7"/>
    <w:rsid w:val="00724A64"/>
    <w:rsid w:val="00724AFE"/>
    <w:rsid w:val="00724B60"/>
    <w:rsid w:val="00724BEC"/>
    <w:rsid w:val="00724C14"/>
    <w:rsid w:val="00724D0C"/>
    <w:rsid w:val="00724D98"/>
    <w:rsid w:val="00724E68"/>
    <w:rsid w:val="00724E69"/>
    <w:rsid w:val="00724E75"/>
    <w:rsid w:val="00724EB9"/>
    <w:rsid w:val="00724EDF"/>
    <w:rsid w:val="00724EF0"/>
    <w:rsid w:val="00724EFC"/>
    <w:rsid w:val="00724F2D"/>
    <w:rsid w:val="00724F9D"/>
    <w:rsid w:val="00724FEB"/>
    <w:rsid w:val="00725001"/>
    <w:rsid w:val="0072501C"/>
    <w:rsid w:val="00725052"/>
    <w:rsid w:val="007250BD"/>
    <w:rsid w:val="0072517E"/>
    <w:rsid w:val="0072523C"/>
    <w:rsid w:val="0072526A"/>
    <w:rsid w:val="007252BA"/>
    <w:rsid w:val="0072536E"/>
    <w:rsid w:val="00725378"/>
    <w:rsid w:val="00725385"/>
    <w:rsid w:val="00725459"/>
    <w:rsid w:val="007254F8"/>
    <w:rsid w:val="00725562"/>
    <w:rsid w:val="007255BA"/>
    <w:rsid w:val="007255E8"/>
    <w:rsid w:val="00725602"/>
    <w:rsid w:val="00725666"/>
    <w:rsid w:val="00725673"/>
    <w:rsid w:val="007256BA"/>
    <w:rsid w:val="007256D2"/>
    <w:rsid w:val="007256F6"/>
    <w:rsid w:val="007256FF"/>
    <w:rsid w:val="00725780"/>
    <w:rsid w:val="00725785"/>
    <w:rsid w:val="00725830"/>
    <w:rsid w:val="007258BA"/>
    <w:rsid w:val="0072591E"/>
    <w:rsid w:val="0072593E"/>
    <w:rsid w:val="0072597B"/>
    <w:rsid w:val="00725A3F"/>
    <w:rsid w:val="00725A8C"/>
    <w:rsid w:val="00725B83"/>
    <w:rsid w:val="00725E6A"/>
    <w:rsid w:val="00725EAF"/>
    <w:rsid w:val="00725F57"/>
    <w:rsid w:val="00725F76"/>
    <w:rsid w:val="00725F85"/>
    <w:rsid w:val="00725FC5"/>
    <w:rsid w:val="00726001"/>
    <w:rsid w:val="0072608F"/>
    <w:rsid w:val="007260C0"/>
    <w:rsid w:val="00726122"/>
    <w:rsid w:val="00726243"/>
    <w:rsid w:val="0072626C"/>
    <w:rsid w:val="007262B2"/>
    <w:rsid w:val="0072631F"/>
    <w:rsid w:val="0072635B"/>
    <w:rsid w:val="0072638A"/>
    <w:rsid w:val="007263C6"/>
    <w:rsid w:val="00726441"/>
    <w:rsid w:val="00726458"/>
    <w:rsid w:val="0072647E"/>
    <w:rsid w:val="0072652D"/>
    <w:rsid w:val="0072653A"/>
    <w:rsid w:val="00726578"/>
    <w:rsid w:val="007265B7"/>
    <w:rsid w:val="0072661E"/>
    <w:rsid w:val="00726659"/>
    <w:rsid w:val="007267EF"/>
    <w:rsid w:val="00726807"/>
    <w:rsid w:val="0072690D"/>
    <w:rsid w:val="0072692F"/>
    <w:rsid w:val="00726940"/>
    <w:rsid w:val="0072695C"/>
    <w:rsid w:val="0072696C"/>
    <w:rsid w:val="00726A38"/>
    <w:rsid w:val="00726B0C"/>
    <w:rsid w:val="00726B10"/>
    <w:rsid w:val="00726B16"/>
    <w:rsid w:val="00726B35"/>
    <w:rsid w:val="00726B50"/>
    <w:rsid w:val="00726C08"/>
    <w:rsid w:val="00726C5B"/>
    <w:rsid w:val="00726C7B"/>
    <w:rsid w:val="00726C8D"/>
    <w:rsid w:val="00726CE0"/>
    <w:rsid w:val="00726CFB"/>
    <w:rsid w:val="00726D44"/>
    <w:rsid w:val="00726D75"/>
    <w:rsid w:val="00726EB5"/>
    <w:rsid w:val="00726EBC"/>
    <w:rsid w:val="00726F27"/>
    <w:rsid w:val="00726F96"/>
    <w:rsid w:val="00726FDC"/>
    <w:rsid w:val="00727032"/>
    <w:rsid w:val="0072704C"/>
    <w:rsid w:val="00727077"/>
    <w:rsid w:val="007271C3"/>
    <w:rsid w:val="007271DF"/>
    <w:rsid w:val="00727231"/>
    <w:rsid w:val="00727272"/>
    <w:rsid w:val="0072731A"/>
    <w:rsid w:val="0072739B"/>
    <w:rsid w:val="007273ED"/>
    <w:rsid w:val="007273F2"/>
    <w:rsid w:val="00727590"/>
    <w:rsid w:val="007275B5"/>
    <w:rsid w:val="007276D3"/>
    <w:rsid w:val="007276D6"/>
    <w:rsid w:val="007276F8"/>
    <w:rsid w:val="00727701"/>
    <w:rsid w:val="00727752"/>
    <w:rsid w:val="00727772"/>
    <w:rsid w:val="00727782"/>
    <w:rsid w:val="007277E2"/>
    <w:rsid w:val="00727807"/>
    <w:rsid w:val="0072787C"/>
    <w:rsid w:val="00727885"/>
    <w:rsid w:val="007278B3"/>
    <w:rsid w:val="007278E7"/>
    <w:rsid w:val="0072790C"/>
    <w:rsid w:val="00727930"/>
    <w:rsid w:val="00727938"/>
    <w:rsid w:val="00727952"/>
    <w:rsid w:val="00727A02"/>
    <w:rsid w:val="00727AC4"/>
    <w:rsid w:val="00727B05"/>
    <w:rsid w:val="00727B72"/>
    <w:rsid w:val="00727BC4"/>
    <w:rsid w:val="00727C95"/>
    <w:rsid w:val="00727D61"/>
    <w:rsid w:val="00727DBC"/>
    <w:rsid w:val="00727DF6"/>
    <w:rsid w:val="00727E03"/>
    <w:rsid w:val="00727EC7"/>
    <w:rsid w:val="00727F18"/>
    <w:rsid w:val="00727FE0"/>
    <w:rsid w:val="00730066"/>
    <w:rsid w:val="007300B9"/>
    <w:rsid w:val="00730134"/>
    <w:rsid w:val="0073013B"/>
    <w:rsid w:val="00730152"/>
    <w:rsid w:val="00730164"/>
    <w:rsid w:val="007301D5"/>
    <w:rsid w:val="007301F0"/>
    <w:rsid w:val="00730230"/>
    <w:rsid w:val="0073029F"/>
    <w:rsid w:val="00730303"/>
    <w:rsid w:val="007303C6"/>
    <w:rsid w:val="007303DF"/>
    <w:rsid w:val="007303EE"/>
    <w:rsid w:val="0073056A"/>
    <w:rsid w:val="0073057D"/>
    <w:rsid w:val="00730762"/>
    <w:rsid w:val="00730788"/>
    <w:rsid w:val="00730817"/>
    <w:rsid w:val="00730842"/>
    <w:rsid w:val="0073090C"/>
    <w:rsid w:val="0073092F"/>
    <w:rsid w:val="00730972"/>
    <w:rsid w:val="007309CB"/>
    <w:rsid w:val="00730AAC"/>
    <w:rsid w:val="00730AC5"/>
    <w:rsid w:val="00730AFF"/>
    <w:rsid w:val="00730B2D"/>
    <w:rsid w:val="00730B45"/>
    <w:rsid w:val="00730B64"/>
    <w:rsid w:val="00730B7E"/>
    <w:rsid w:val="00730BC3"/>
    <w:rsid w:val="00730C08"/>
    <w:rsid w:val="00730DFE"/>
    <w:rsid w:val="00730E6C"/>
    <w:rsid w:val="00730FA4"/>
    <w:rsid w:val="007310DD"/>
    <w:rsid w:val="007310E1"/>
    <w:rsid w:val="0073118F"/>
    <w:rsid w:val="00731236"/>
    <w:rsid w:val="00731423"/>
    <w:rsid w:val="00731431"/>
    <w:rsid w:val="0073146B"/>
    <w:rsid w:val="00731517"/>
    <w:rsid w:val="00731556"/>
    <w:rsid w:val="00731567"/>
    <w:rsid w:val="007315B1"/>
    <w:rsid w:val="007315DC"/>
    <w:rsid w:val="007315EF"/>
    <w:rsid w:val="00731620"/>
    <w:rsid w:val="0073163B"/>
    <w:rsid w:val="00731666"/>
    <w:rsid w:val="0073167A"/>
    <w:rsid w:val="0073173E"/>
    <w:rsid w:val="00731769"/>
    <w:rsid w:val="00731845"/>
    <w:rsid w:val="00731878"/>
    <w:rsid w:val="00731998"/>
    <w:rsid w:val="0073199A"/>
    <w:rsid w:val="00731A57"/>
    <w:rsid w:val="00731AB0"/>
    <w:rsid w:val="00731ABF"/>
    <w:rsid w:val="00731B11"/>
    <w:rsid w:val="00731B3D"/>
    <w:rsid w:val="00731B89"/>
    <w:rsid w:val="00731CD2"/>
    <w:rsid w:val="00731D58"/>
    <w:rsid w:val="00731D96"/>
    <w:rsid w:val="00731DF1"/>
    <w:rsid w:val="00731E62"/>
    <w:rsid w:val="00731E7F"/>
    <w:rsid w:val="00731F56"/>
    <w:rsid w:val="00731F7F"/>
    <w:rsid w:val="00732038"/>
    <w:rsid w:val="00732064"/>
    <w:rsid w:val="007320F2"/>
    <w:rsid w:val="007320FC"/>
    <w:rsid w:val="0073214D"/>
    <w:rsid w:val="0073219A"/>
    <w:rsid w:val="0073219B"/>
    <w:rsid w:val="007321A9"/>
    <w:rsid w:val="0073222B"/>
    <w:rsid w:val="0073224A"/>
    <w:rsid w:val="00732301"/>
    <w:rsid w:val="007323A9"/>
    <w:rsid w:val="007323CA"/>
    <w:rsid w:val="007323FE"/>
    <w:rsid w:val="0073242D"/>
    <w:rsid w:val="00732437"/>
    <w:rsid w:val="0073248F"/>
    <w:rsid w:val="007324BA"/>
    <w:rsid w:val="007324FB"/>
    <w:rsid w:val="00732691"/>
    <w:rsid w:val="00732699"/>
    <w:rsid w:val="007326B3"/>
    <w:rsid w:val="00732708"/>
    <w:rsid w:val="0073283C"/>
    <w:rsid w:val="00732863"/>
    <w:rsid w:val="007328A3"/>
    <w:rsid w:val="00732961"/>
    <w:rsid w:val="00732A91"/>
    <w:rsid w:val="00732B50"/>
    <w:rsid w:val="00732C14"/>
    <w:rsid w:val="00732CC0"/>
    <w:rsid w:val="00732D90"/>
    <w:rsid w:val="00732DB4"/>
    <w:rsid w:val="00732FDB"/>
    <w:rsid w:val="0073317B"/>
    <w:rsid w:val="007331C6"/>
    <w:rsid w:val="0073322B"/>
    <w:rsid w:val="00733261"/>
    <w:rsid w:val="00733482"/>
    <w:rsid w:val="007334FE"/>
    <w:rsid w:val="00733541"/>
    <w:rsid w:val="007335C5"/>
    <w:rsid w:val="007335D0"/>
    <w:rsid w:val="00733642"/>
    <w:rsid w:val="00733676"/>
    <w:rsid w:val="00733716"/>
    <w:rsid w:val="00733769"/>
    <w:rsid w:val="007337D8"/>
    <w:rsid w:val="007337DC"/>
    <w:rsid w:val="007337E4"/>
    <w:rsid w:val="00733800"/>
    <w:rsid w:val="0073383D"/>
    <w:rsid w:val="00733904"/>
    <w:rsid w:val="00733952"/>
    <w:rsid w:val="00733969"/>
    <w:rsid w:val="007339A4"/>
    <w:rsid w:val="007339FA"/>
    <w:rsid w:val="00733ABE"/>
    <w:rsid w:val="00733B92"/>
    <w:rsid w:val="00733B98"/>
    <w:rsid w:val="00733C5F"/>
    <w:rsid w:val="00733CAB"/>
    <w:rsid w:val="00733CB5"/>
    <w:rsid w:val="00733CE2"/>
    <w:rsid w:val="00733D96"/>
    <w:rsid w:val="00733E2F"/>
    <w:rsid w:val="00733E68"/>
    <w:rsid w:val="00733E6F"/>
    <w:rsid w:val="00733E7B"/>
    <w:rsid w:val="00733EB8"/>
    <w:rsid w:val="00733FC1"/>
    <w:rsid w:val="00734034"/>
    <w:rsid w:val="0073419C"/>
    <w:rsid w:val="007341B7"/>
    <w:rsid w:val="007341E9"/>
    <w:rsid w:val="0073421B"/>
    <w:rsid w:val="00734375"/>
    <w:rsid w:val="00734397"/>
    <w:rsid w:val="00734420"/>
    <w:rsid w:val="0073447E"/>
    <w:rsid w:val="007344C7"/>
    <w:rsid w:val="0073451A"/>
    <w:rsid w:val="0073455E"/>
    <w:rsid w:val="007345AE"/>
    <w:rsid w:val="007345E7"/>
    <w:rsid w:val="0073463A"/>
    <w:rsid w:val="0073466D"/>
    <w:rsid w:val="007346DA"/>
    <w:rsid w:val="007347D4"/>
    <w:rsid w:val="00734879"/>
    <w:rsid w:val="00734892"/>
    <w:rsid w:val="007348A4"/>
    <w:rsid w:val="007348C2"/>
    <w:rsid w:val="007348F7"/>
    <w:rsid w:val="00734996"/>
    <w:rsid w:val="00734A3A"/>
    <w:rsid w:val="00734B71"/>
    <w:rsid w:val="00734B7C"/>
    <w:rsid w:val="00734BE0"/>
    <w:rsid w:val="00734C46"/>
    <w:rsid w:val="00734C8D"/>
    <w:rsid w:val="00734D27"/>
    <w:rsid w:val="00734DD0"/>
    <w:rsid w:val="00734E03"/>
    <w:rsid w:val="00734E86"/>
    <w:rsid w:val="00734ED1"/>
    <w:rsid w:val="00734F1C"/>
    <w:rsid w:val="00734F2E"/>
    <w:rsid w:val="00734F56"/>
    <w:rsid w:val="0073502E"/>
    <w:rsid w:val="00735102"/>
    <w:rsid w:val="00735139"/>
    <w:rsid w:val="0073516C"/>
    <w:rsid w:val="007352B9"/>
    <w:rsid w:val="007352C4"/>
    <w:rsid w:val="00735392"/>
    <w:rsid w:val="00735479"/>
    <w:rsid w:val="007354C4"/>
    <w:rsid w:val="00735603"/>
    <w:rsid w:val="00735645"/>
    <w:rsid w:val="0073572C"/>
    <w:rsid w:val="0073576A"/>
    <w:rsid w:val="0073576E"/>
    <w:rsid w:val="007357C5"/>
    <w:rsid w:val="007357FC"/>
    <w:rsid w:val="0073588C"/>
    <w:rsid w:val="007358FF"/>
    <w:rsid w:val="00735A1B"/>
    <w:rsid w:val="00735BB8"/>
    <w:rsid w:val="00735C53"/>
    <w:rsid w:val="00735D12"/>
    <w:rsid w:val="00735DC5"/>
    <w:rsid w:val="00735E81"/>
    <w:rsid w:val="00735EA1"/>
    <w:rsid w:val="00735F14"/>
    <w:rsid w:val="00735F20"/>
    <w:rsid w:val="00736036"/>
    <w:rsid w:val="0073606B"/>
    <w:rsid w:val="007360FD"/>
    <w:rsid w:val="007361E1"/>
    <w:rsid w:val="007361F9"/>
    <w:rsid w:val="007362A3"/>
    <w:rsid w:val="007362E0"/>
    <w:rsid w:val="007362E7"/>
    <w:rsid w:val="007363A0"/>
    <w:rsid w:val="0073644B"/>
    <w:rsid w:val="0073653B"/>
    <w:rsid w:val="0073653C"/>
    <w:rsid w:val="00736574"/>
    <w:rsid w:val="00736664"/>
    <w:rsid w:val="0073677A"/>
    <w:rsid w:val="00736785"/>
    <w:rsid w:val="0073678E"/>
    <w:rsid w:val="0073679B"/>
    <w:rsid w:val="007367CC"/>
    <w:rsid w:val="00736952"/>
    <w:rsid w:val="00736997"/>
    <w:rsid w:val="00736B0F"/>
    <w:rsid w:val="00736B24"/>
    <w:rsid w:val="00736B29"/>
    <w:rsid w:val="00736B32"/>
    <w:rsid w:val="00736BA2"/>
    <w:rsid w:val="00736C31"/>
    <w:rsid w:val="00736CD8"/>
    <w:rsid w:val="00736D23"/>
    <w:rsid w:val="00736D6F"/>
    <w:rsid w:val="00736E19"/>
    <w:rsid w:val="00736E29"/>
    <w:rsid w:val="00736E45"/>
    <w:rsid w:val="00736E63"/>
    <w:rsid w:val="00736E89"/>
    <w:rsid w:val="00736EEF"/>
    <w:rsid w:val="00736F3C"/>
    <w:rsid w:val="00737000"/>
    <w:rsid w:val="00737152"/>
    <w:rsid w:val="007372EC"/>
    <w:rsid w:val="0073732A"/>
    <w:rsid w:val="00737367"/>
    <w:rsid w:val="0073742C"/>
    <w:rsid w:val="0073749D"/>
    <w:rsid w:val="007374A4"/>
    <w:rsid w:val="0073756E"/>
    <w:rsid w:val="007375D5"/>
    <w:rsid w:val="007375FA"/>
    <w:rsid w:val="007376BB"/>
    <w:rsid w:val="007376DF"/>
    <w:rsid w:val="00737753"/>
    <w:rsid w:val="007377F4"/>
    <w:rsid w:val="00737807"/>
    <w:rsid w:val="00737817"/>
    <w:rsid w:val="0073787B"/>
    <w:rsid w:val="007378B0"/>
    <w:rsid w:val="007378DA"/>
    <w:rsid w:val="007379F9"/>
    <w:rsid w:val="00737BD9"/>
    <w:rsid w:val="00737BE7"/>
    <w:rsid w:val="00737C30"/>
    <w:rsid w:val="00737C3D"/>
    <w:rsid w:val="00737C4C"/>
    <w:rsid w:val="00737CE2"/>
    <w:rsid w:val="00737D0B"/>
    <w:rsid w:val="00737D34"/>
    <w:rsid w:val="00737F21"/>
    <w:rsid w:val="00737FD0"/>
    <w:rsid w:val="0074004A"/>
    <w:rsid w:val="00740068"/>
    <w:rsid w:val="0074010B"/>
    <w:rsid w:val="0074010E"/>
    <w:rsid w:val="007401D3"/>
    <w:rsid w:val="0074021C"/>
    <w:rsid w:val="0074029A"/>
    <w:rsid w:val="0074029E"/>
    <w:rsid w:val="0074035D"/>
    <w:rsid w:val="00740366"/>
    <w:rsid w:val="00740456"/>
    <w:rsid w:val="007404E6"/>
    <w:rsid w:val="00740540"/>
    <w:rsid w:val="00740544"/>
    <w:rsid w:val="007405E0"/>
    <w:rsid w:val="00740605"/>
    <w:rsid w:val="00740625"/>
    <w:rsid w:val="0074064A"/>
    <w:rsid w:val="0074069B"/>
    <w:rsid w:val="007406FD"/>
    <w:rsid w:val="0074073A"/>
    <w:rsid w:val="00740775"/>
    <w:rsid w:val="00740779"/>
    <w:rsid w:val="007407B9"/>
    <w:rsid w:val="007408EC"/>
    <w:rsid w:val="007408F1"/>
    <w:rsid w:val="00740942"/>
    <w:rsid w:val="0074098E"/>
    <w:rsid w:val="00740A05"/>
    <w:rsid w:val="00740A53"/>
    <w:rsid w:val="00740A71"/>
    <w:rsid w:val="00740AD1"/>
    <w:rsid w:val="00740B65"/>
    <w:rsid w:val="00740BE9"/>
    <w:rsid w:val="00740C4B"/>
    <w:rsid w:val="00740CC9"/>
    <w:rsid w:val="00740D75"/>
    <w:rsid w:val="00740DE6"/>
    <w:rsid w:val="00740E3E"/>
    <w:rsid w:val="00740EE5"/>
    <w:rsid w:val="00740F0D"/>
    <w:rsid w:val="00740FAD"/>
    <w:rsid w:val="00740FCB"/>
    <w:rsid w:val="00740FEE"/>
    <w:rsid w:val="007410CD"/>
    <w:rsid w:val="00741196"/>
    <w:rsid w:val="007411E8"/>
    <w:rsid w:val="00741238"/>
    <w:rsid w:val="00741299"/>
    <w:rsid w:val="0074138F"/>
    <w:rsid w:val="00741481"/>
    <w:rsid w:val="00741499"/>
    <w:rsid w:val="007414E2"/>
    <w:rsid w:val="0074152F"/>
    <w:rsid w:val="00741699"/>
    <w:rsid w:val="007416E2"/>
    <w:rsid w:val="0074173E"/>
    <w:rsid w:val="007417A0"/>
    <w:rsid w:val="00741875"/>
    <w:rsid w:val="00741956"/>
    <w:rsid w:val="0074196F"/>
    <w:rsid w:val="00741995"/>
    <w:rsid w:val="007419B6"/>
    <w:rsid w:val="007419B8"/>
    <w:rsid w:val="007419F8"/>
    <w:rsid w:val="00741A19"/>
    <w:rsid w:val="00741A39"/>
    <w:rsid w:val="00741AA5"/>
    <w:rsid w:val="00741AE9"/>
    <w:rsid w:val="00741B4E"/>
    <w:rsid w:val="00741BAE"/>
    <w:rsid w:val="00741BBF"/>
    <w:rsid w:val="00741BDD"/>
    <w:rsid w:val="00741C22"/>
    <w:rsid w:val="00741CD0"/>
    <w:rsid w:val="00741D09"/>
    <w:rsid w:val="00741D69"/>
    <w:rsid w:val="00741DC7"/>
    <w:rsid w:val="00741F15"/>
    <w:rsid w:val="00741F48"/>
    <w:rsid w:val="00741F4B"/>
    <w:rsid w:val="007420BF"/>
    <w:rsid w:val="007420C0"/>
    <w:rsid w:val="00742113"/>
    <w:rsid w:val="0074211C"/>
    <w:rsid w:val="00742151"/>
    <w:rsid w:val="00742154"/>
    <w:rsid w:val="007421D9"/>
    <w:rsid w:val="00742206"/>
    <w:rsid w:val="00742224"/>
    <w:rsid w:val="00742370"/>
    <w:rsid w:val="00742390"/>
    <w:rsid w:val="0074245A"/>
    <w:rsid w:val="00742483"/>
    <w:rsid w:val="007424F8"/>
    <w:rsid w:val="0074252A"/>
    <w:rsid w:val="00742582"/>
    <w:rsid w:val="00742603"/>
    <w:rsid w:val="00742646"/>
    <w:rsid w:val="0074271C"/>
    <w:rsid w:val="00742738"/>
    <w:rsid w:val="00742744"/>
    <w:rsid w:val="0074288A"/>
    <w:rsid w:val="007428E5"/>
    <w:rsid w:val="00742990"/>
    <w:rsid w:val="007429AA"/>
    <w:rsid w:val="007429FD"/>
    <w:rsid w:val="00742A35"/>
    <w:rsid w:val="00742A9F"/>
    <w:rsid w:val="00742B05"/>
    <w:rsid w:val="00742CCD"/>
    <w:rsid w:val="00742DAB"/>
    <w:rsid w:val="00742DF1"/>
    <w:rsid w:val="00742E51"/>
    <w:rsid w:val="00742F23"/>
    <w:rsid w:val="00742F56"/>
    <w:rsid w:val="007430A5"/>
    <w:rsid w:val="0074316A"/>
    <w:rsid w:val="0074320C"/>
    <w:rsid w:val="0074326F"/>
    <w:rsid w:val="007432B2"/>
    <w:rsid w:val="007432C6"/>
    <w:rsid w:val="007433DA"/>
    <w:rsid w:val="00743447"/>
    <w:rsid w:val="0074344F"/>
    <w:rsid w:val="0074345D"/>
    <w:rsid w:val="00743492"/>
    <w:rsid w:val="00743598"/>
    <w:rsid w:val="007435ED"/>
    <w:rsid w:val="007436E4"/>
    <w:rsid w:val="00743831"/>
    <w:rsid w:val="0074398E"/>
    <w:rsid w:val="007439F3"/>
    <w:rsid w:val="00743A0B"/>
    <w:rsid w:val="00743A94"/>
    <w:rsid w:val="00743AA0"/>
    <w:rsid w:val="00743B19"/>
    <w:rsid w:val="00743C0F"/>
    <w:rsid w:val="00743C71"/>
    <w:rsid w:val="00743C82"/>
    <w:rsid w:val="00743D1B"/>
    <w:rsid w:val="00743DA8"/>
    <w:rsid w:val="00743E7C"/>
    <w:rsid w:val="00743F34"/>
    <w:rsid w:val="00743F59"/>
    <w:rsid w:val="00743FD5"/>
    <w:rsid w:val="0074403E"/>
    <w:rsid w:val="007440BB"/>
    <w:rsid w:val="007440DC"/>
    <w:rsid w:val="00744193"/>
    <w:rsid w:val="0074426E"/>
    <w:rsid w:val="007442E5"/>
    <w:rsid w:val="007442FF"/>
    <w:rsid w:val="007443AC"/>
    <w:rsid w:val="007443D8"/>
    <w:rsid w:val="0074453C"/>
    <w:rsid w:val="00744570"/>
    <w:rsid w:val="007445D6"/>
    <w:rsid w:val="007445DC"/>
    <w:rsid w:val="007446DC"/>
    <w:rsid w:val="007446F9"/>
    <w:rsid w:val="007446FE"/>
    <w:rsid w:val="0074471F"/>
    <w:rsid w:val="00744735"/>
    <w:rsid w:val="0074473C"/>
    <w:rsid w:val="0074478B"/>
    <w:rsid w:val="007447CF"/>
    <w:rsid w:val="007447FF"/>
    <w:rsid w:val="00744825"/>
    <w:rsid w:val="0074489C"/>
    <w:rsid w:val="00744A5B"/>
    <w:rsid w:val="00744BD0"/>
    <w:rsid w:val="00744C2B"/>
    <w:rsid w:val="00744CC2"/>
    <w:rsid w:val="00744CEC"/>
    <w:rsid w:val="00744D10"/>
    <w:rsid w:val="00744DAE"/>
    <w:rsid w:val="00744E0F"/>
    <w:rsid w:val="00744F28"/>
    <w:rsid w:val="00744F41"/>
    <w:rsid w:val="00744F73"/>
    <w:rsid w:val="00744FC4"/>
    <w:rsid w:val="00745021"/>
    <w:rsid w:val="00745062"/>
    <w:rsid w:val="007450BF"/>
    <w:rsid w:val="007450E1"/>
    <w:rsid w:val="00745120"/>
    <w:rsid w:val="00745171"/>
    <w:rsid w:val="00745184"/>
    <w:rsid w:val="007451ED"/>
    <w:rsid w:val="00745279"/>
    <w:rsid w:val="00745285"/>
    <w:rsid w:val="007452B0"/>
    <w:rsid w:val="007452D0"/>
    <w:rsid w:val="007452E1"/>
    <w:rsid w:val="007452EA"/>
    <w:rsid w:val="00745321"/>
    <w:rsid w:val="00745457"/>
    <w:rsid w:val="00745476"/>
    <w:rsid w:val="007454B1"/>
    <w:rsid w:val="00745517"/>
    <w:rsid w:val="0074558A"/>
    <w:rsid w:val="0074567A"/>
    <w:rsid w:val="0074568A"/>
    <w:rsid w:val="00745731"/>
    <w:rsid w:val="007457AD"/>
    <w:rsid w:val="007458AF"/>
    <w:rsid w:val="007458FD"/>
    <w:rsid w:val="0074593A"/>
    <w:rsid w:val="007459EF"/>
    <w:rsid w:val="00745A5C"/>
    <w:rsid w:val="00745BFA"/>
    <w:rsid w:val="00745C45"/>
    <w:rsid w:val="00745C5A"/>
    <w:rsid w:val="00745C8A"/>
    <w:rsid w:val="00745D0B"/>
    <w:rsid w:val="00745DB1"/>
    <w:rsid w:val="00745DFF"/>
    <w:rsid w:val="00745EDA"/>
    <w:rsid w:val="00745F3E"/>
    <w:rsid w:val="00746062"/>
    <w:rsid w:val="007460C9"/>
    <w:rsid w:val="00746143"/>
    <w:rsid w:val="007461B4"/>
    <w:rsid w:val="007461C7"/>
    <w:rsid w:val="007461E0"/>
    <w:rsid w:val="007461EA"/>
    <w:rsid w:val="00746277"/>
    <w:rsid w:val="0074627D"/>
    <w:rsid w:val="007462B4"/>
    <w:rsid w:val="00746355"/>
    <w:rsid w:val="0074650D"/>
    <w:rsid w:val="007465CD"/>
    <w:rsid w:val="007465E0"/>
    <w:rsid w:val="00746670"/>
    <w:rsid w:val="00746699"/>
    <w:rsid w:val="007466C2"/>
    <w:rsid w:val="007466DC"/>
    <w:rsid w:val="00746744"/>
    <w:rsid w:val="00746789"/>
    <w:rsid w:val="00746790"/>
    <w:rsid w:val="00746797"/>
    <w:rsid w:val="007467FF"/>
    <w:rsid w:val="007468B9"/>
    <w:rsid w:val="0074690B"/>
    <w:rsid w:val="0074694C"/>
    <w:rsid w:val="00746952"/>
    <w:rsid w:val="00746970"/>
    <w:rsid w:val="00746974"/>
    <w:rsid w:val="007469B1"/>
    <w:rsid w:val="00746A60"/>
    <w:rsid w:val="00746A61"/>
    <w:rsid w:val="00746AD1"/>
    <w:rsid w:val="00746C3F"/>
    <w:rsid w:val="00746CB4"/>
    <w:rsid w:val="00746CFB"/>
    <w:rsid w:val="00746D92"/>
    <w:rsid w:val="00746E3A"/>
    <w:rsid w:val="00746E6D"/>
    <w:rsid w:val="00747014"/>
    <w:rsid w:val="0074704C"/>
    <w:rsid w:val="007470A4"/>
    <w:rsid w:val="007470E7"/>
    <w:rsid w:val="00747147"/>
    <w:rsid w:val="007471FC"/>
    <w:rsid w:val="00747221"/>
    <w:rsid w:val="00747335"/>
    <w:rsid w:val="00747387"/>
    <w:rsid w:val="007473C1"/>
    <w:rsid w:val="0074740E"/>
    <w:rsid w:val="0074756A"/>
    <w:rsid w:val="00747582"/>
    <w:rsid w:val="007475D6"/>
    <w:rsid w:val="00747609"/>
    <w:rsid w:val="0074760F"/>
    <w:rsid w:val="00747645"/>
    <w:rsid w:val="007476DC"/>
    <w:rsid w:val="00747744"/>
    <w:rsid w:val="007477AE"/>
    <w:rsid w:val="00747852"/>
    <w:rsid w:val="0074786F"/>
    <w:rsid w:val="007478B5"/>
    <w:rsid w:val="007478E4"/>
    <w:rsid w:val="00747985"/>
    <w:rsid w:val="007479F1"/>
    <w:rsid w:val="00747A18"/>
    <w:rsid w:val="00747A5F"/>
    <w:rsid w:val="00747A68"/>
    <w:rsid w:val="00747BF9"/>
    <w:rsid w:val="00747C0E"/>
    <w:rsid w:val="00747C19"/>
    <w:rsid w:val="00747C62"/>
    <w:rsid w:val="00747D8C"/>
    <w:rsid w:val="00747E4B"/>
    <w:rsid w:val="00747ED9"/>
    <w:rsid w:val="00747F2E"/>
    <w:rsid w:val="00750032"/>
    <w:rsid w:val="0075003A"/>
    <w:rsid w:val="007500C7"/>
    <w:rsid w:val="0075013C"/>
    <w:rsid w:val="0075020F"/>
    <w:rsid w:val="00750260"/>
    <w:rsid w:val="007502C1"/>
    <w:rsid w:val="00750318"/>
    <w:rsid w:val="0075040C"/>
    <w:rsid w:val="00750479"/>
    <w:rsid w:val="00750480"/>
    <w:rsid w:val="00750498"/>
    <w:rsid w:val="007504B1"/>
    <w:rsid w:val="0075051D"/>
    <w:rsid w:val="007506A2"/>
    <w:rsid w:val="007506BB"/>
    <w:rsid w:val="00750770"/>
    <w:rsid w:val="00750822"/>
    <w:rsid w:val="00750837"/>
    <w:rsid w:val="0075085F"/>
    <w:rsid w:val="0075094C"/>
    <w:rsid w:val="00750A24"/>
    <w:rsid w:val="00750B23"/>
    <w:rsid w:val="00750B6B"/>
    <w:rsid w:val="00750B8E"/>
    <w:rsid w:val="00750B98"/>
    <w:rsid w:val="00750CCA"/>
    <w:rsid w:val="00750CD5"/>
    <w:rsid w:val="00750E01"/>
    <w:rsid w:val="00750EBE"/>
    <w:rsid w:val="00750F07"/>
    <w:rsid w:val="00750FE3"/>
    <w:rsid w:val="00751019"/>
    <w:rsid w:val="00751022"/>
    <w:rsid w:val="0075106E"/>
    <w:rsid w:val="00751074"/>
    <w:rsid w:val="007510A7"/>
    <w:rsid w:val="007511DA"/>
    <w:rsid w:val="007511E4"/>
    <w:rsid w:val="00751246"/>
    <w:rsid w:val="0075124E"/>
    <w:rsid w:val="007512C3"/>
    <w:rsid w:val="007512D4"/>
    <w:rsid w:val="0075130A"/>
    <w:rsid w:val="0075135B"/>
    <w:rsid w:val="007513B0"/>
    <w:rsid w:val="00751422"/>
    <w:rsid w:val="00751549"/>
    <w:rsid w:val="007516F4"/>
    <w:rsid w:val="00751789"/>
    <w:rsid w:val="00751815"/>
    <w:rsid w:val="00751865"/>
    <w:rsid w:val="00751879"/>
    <w:rsid w:val="007518BE"/>
    <w:rsid w:val="007518D1"/>
    <w:rsid w:val="00751922"/>
    <w:rsid w:val="00751928"/>
    <w:rsid w:val="0075199C"/>
    <w:rsid w:val="007519B8"/>
    <w:rsid w:val="00751B44"/>
    <w:rsid w:val="00751BA7"/>
    <w:rsid w:val="00751C2A"/>
    <w:rsid w:val="00751C51"/>
    <w:rsid w:val="00751C9A"/>
    <w:rsid w:val="00751CF8"/>
    <w:rsid w:val="00751E5E"/>
    <w:rsid w:val="00751ED1"/>
    <w:rsid w:val="00751F25"/>
    <w:rsid w:val="00751FF4"/>
    <w:rsid w:val="00752234"/>
    <w:rsid w:val="00752289"/>
    <w:rsid w:val="007522AA"/>
    <w:rsid w:val="007522B7"/>
    <w:rsid w:val="00752444"/>
    <w:rsid w:val="00752484"/>
    <w:rsid w:val="00752499"/>
    <w:rsid w:val="007524BD"/>
    <w:rsid w:val="007525D8"/>
    <w:rsid w:val="007525E1"/>
    <w:rsid w:val="007525F7"/>
    <w:rsid w:val="00752624"/>
    <w:rsid w:val="00752633"/>
    <w:rsid w:val="0075263D"/>
    <w:rsid w:val="00752672"/>
    <w:rsid w:val="007526DB"/>
    <w:rsid w:val="0075273A"/>
    <w:rsid w:val="0075275A"/>
    <w:rsid w:val="00752853"/>
    <w:rsid w:val="007529CE"/>
    <w:rsid w:val="00752A88"/>
    <w:rsid w:val="00752A98"/>
    <w:rsid w:val="00752A99"/>
    <w:rsid w:val="00752BBC"/>
    <w:rsid w:val="00752CE6"/>
    <w:rsid w:val="00752D06"/>
    <w:rsid w:val="00752D99"/>
    <w:rsid w:val="00752EE3"/>
    <w:rsid w:val="00752FAE"/>
    <w:rsid w:val="007530C7"/>
    <w:rsid w:val="007530FC"/>
    <w:rsid w:val="00753120"/>
    <w:rsid w:val="00753142"/>
    <w:rsid w:val="00753180"/>
    <w:rsid w:val="0075318A"/>
    <w:rsid w:val="007533E8"/>
    <w:rsid w:val="007533F9"/>
    <w:rsid w:val="0075345C"/>
    <w:rsid w:val="00753537"/>
    <w:rsid w:val="0075358A"/>
    <w:rsid w:val="00753598"/>
    <w:rsid w:val="007535B3"/>
    <w:rsid w:val="007535C1"/>
    <w:rsid w:val="007535EC"/>
    <w:rsid w:val="007535F0"/>
    <w:rsid w:val="0075361C"/>
    <w:rsid w:val="0075362D"/>
    <w:rsid w:val="00753648"/>
    <w:rsid w:val="00753664"/>
    <w:rsid w:val="0075366C"/>
    <w:rsid w:val="0075366E"/>
    <w:rsid w:val="007536F0"/>
    <w:rsid w:val="0075381A"/>
    <w:rsid w:val="00753842"/>
    <w:rsid w:val="00753930"/>
    <w:rsid w:val="00753961"/>
    <w:rsid w:val="007539C4"/>
    <w:rsid w:val="007539E6"/>
    <w:rsid w:val="00753A34"/>
    <w:rsid w:val="00753A8F"/>
    <w:rsid w:val="00753A9A"/>
    <w:rsid w:val="00753ABC"/>
    <w:rsid w:val="00753BC2"/>
    <w:rsid w:val="00753BC5"/>
    <w:rsid w:val="00753C29"/>
    <w:rsid w:val="00753CB4"/>
    <w:rsid w:val="00753E13"/>
    <w:rsid w:val="00753E4A"/>
    <w:rsid w:val="00753F52"/>
    <w:rsid w:val="00754007"/>
    <w:rsid w:val="00754031"/>
    <w:rsid w:val="00754159"/>
    <w:rsid w:val="0075415B"/>
    <w:rsid w:val="007541A3"/>
    <w:rsid w:val="007541CD"/>
    <w:rsid w:val="0075433D"/>
    <w:rsid w:val="0075448A"/>
    <w:rsid w:val="00754497"/>
    <w:rsid w:val="0075450E"/>
    <w:rsid w:val="00754596"/>
    <w:rsid w:val="00754613"/>
    <w:rsid w:val="00754678"/>
    <w:rsid w:val="00754746"/>
    <w:rsid w:val="0075482A"/>
    <w:rsid w:val="007548F3"/>
    <w:rsid w:val="00754945"/>
    <w:rsid w:val="00754A30"/>
    <w:rsid w:val="00754ABB"/>
    <w:rsid w:val="00754B0F"/>
    <w:rsid w:val="00754D3D"/>
    <w:rsid w:val="00754DE7"/>
    <w:rsid w:val="00754E3E"/>
    <w:rsid w:val="00754EDB"/>
    <w:rsid w:val="00754EDE"/>
    <w:rsid w:val="00754EF0"/>
    <w:rsid w:val="00754EF9"/>
    <w:rsid w:val="00754F0E"/>
    <w:rsid w:val="00754F26"/>
    <w:rsid w:val="00754FF0"/>
    <w:rsid w:val="00754FF2"/>
    <w:rsid w:val="00755008"/>
    <w:rsid w:val="00755038"/>
    <w:rsid w:val="007550FC"/>
    <w:rsid w:val="0075518F"/>
    <w:rsid w:val="007551F2"/>
    <w:rsid w:val="00755366"/>
    <w:rsid w:val="00755379"/>
    <w:rsid w:val="007553FF"/>
    <w:rsid w:val="0075541E"/>
    <w:rsid w:val="007554B2"/>
    <w:rsid w:val="007554B3"/>
    <w:rsid w:val="007554F5"/>
    <w:rsid w:val="00755513"/>
    <w:rsid w:val="00755662"/>
    <w:rsid w:val="0075567C"/>
    <w:rsid w:val="0075569B"/>
    <w:rsid w:val="007556B1"/>
    <w:rsid w:val="00755708"/>
    <w:rsid w:val="0075574D"/>
    <w:rsid w:val="007557C8"/>
    <w:rsid w:val="007557E0"/>
    <w:rsid w:val="00755853"/>
    <w:rsid w:val="007558A0"/>
    <w:rsid w:val="007558CA"/>
    <w:rsid w:val="007558D8"/>
    <w:rsid w:val="00755921"/>
    <w:rsid w:val="00755A36"/>
    <w:rsid w:val="00755ADC"/>
    <w:rsid w:val="00755BDD"/>
    <w:rsid w:val="00755C48"/>
    <w:rsid w:val="00755C4D"/>
    <w:rsid w:val="00755CB6"/>
    <w:rsid w:val="00755CF1"/>
    <w:rsid w:val="00755D12"/>
    <w:rsid w:val="00755D55"/>
    <w:rsid w:val="00755D96"/>
    <w:rsid w:val="00755EAE"/>
    <w:rsid w:val="00755F1F"/>
    <w:rsid w:val="00755F22"/>
    <w:rsid w:val="00755F5E"/>
    <w:rsid w:val="00755F8B"/>
    <w:rsid w:val="007560F6"/>
    <w:rsid w:val="00756113"/>
    <w:rsid w:val="0075618E"/>
    <w:rsid w:val="007561F8"/>
    <w:rsid w:val="00756209"/>
    <w:rsid w:val="007562A5"/>
    <w:rsid w:val="007562C9"/>
    <w:rsid w:val="0075630A"/>
    <w:rsid w:val="00756388"/>
    <w:rsid w:val="007563B8"/>
    <w:rsid w:val="007563CE"/>
    <w:rsid w:val="00756496"/>
    <w:rsid w:val="007564DC"/>
    <w:rsid w:val="007564E6"/>
    <w:rsid w:val="007564F5"/>
    <w:rsid w:val="00756541"/>
    <w:rsid w:val="0075660A"/>
    <w:rsid w:val="00756620"/>
    <w:rsid w:val="00756654"/>
    <w:rsid w:val="0075667F"/>
    <w:rsid w:val="007566B4"/>
    <w:rsid w:val="00756792"/>
    <w:rsid w:val="00756830"/>
    <w:rsid w:val="0075685E"/>
    <w:rsid w:val="0075687C"/>
    <w:rsid w:val="007568A9"/>
    <w:rsid w:val="0075694C"/>
    <w:rsid w:val="00756993"/>
    <w:rsid w:val="007569AE"/>
    <w:rsid w:val="007569E1"/>
    <w:rsid w:val="007569E2"/>
    <w:rsid w:val="00756A48"/>
    <w:rsid w:val="00756A51"/>
    <w:rsid w:val="00756A66"/>
    <w:rsid w:val="00756A8C"/>
    <w:rsid w:val="00756B12"/>
    <w:rsid w:val="00756B5D"/>
    <w:rsid w:val="00756B90"/>
    <w:rsid w:val="00756BF0"/>
    <w:rsid w:val="00756BF9"/>
    <w:rsid w:val="00756C0F"/>
    <w:rsid w:val="00756CAA"/>
    <w:rsid w:val="00756CBB"/>
    <w:rsid w:val="00756D28"/>
    <w:rsid w:val="00756EF3"/>
    <w:rsid w:val="007570F9"/>
    <w:rsid w:val="00757102"/>
    <w:rsid w:val="00757194"/>
    <w:rsid w:val="007571AC"/>
    <w:rsid w:val="007571E3"/>
    <w:rsid w:val="0075721F"/>
    <w:rsid w:val="00757276"/>
    <w:rsid w:val="00757401"/>
    <w:rsid w:val="0075742A"/>
    <w:rsid w:val="0075744C"/>
    <w:rsid w:val="00757518"/>
    <w:rsid w:val="0075751A"/>
    <w:rsid w:val="0075758A"/>
    <w:rsid w:val="0075761B"/>
    <w:rsid w:val="00757707"/>
    <w:rsid w:val="00757796"/>
    <w:rsid w:val="00757817"/>
    <w:rsid w:val="00757890"/>
    <w:rsid w:val="007578AE"/>
    <w:rsid w:val="007578D2"/>
    <w:rsid w:val="00757908"/>
    <w:rsid w:val="007579D5"/>
    <w:rsid w:val="00757AD9"/>
    <w:rsid w:val="00757B6D"/>
    <w:rsid w:val="00757B93"/>
    <w:rsid w:val="00757BEB"/>
    <w:rsid w:val="00757C18"/>
    <w:rsid w:val="00757C1E"/>
    <w:rsid w:val="00757C45"/>
    <w:rsid w:val="00757C57"/>
    <w:rsid w:val="00757CCE"/>
    <w:rsid w:val="00757CDA"/>
    <w:rsid w:val="00757CEE"/>
    <w:rsid w:val="00757D3A"/>
    <w:rsid w:val="00757E35"/>
    <w:rsid w:val="00757E6A"/>
    <w:rsid w:val="00757E8A"/>
    <w:rsid w:val="00757F2C"/>
    <w:rsid w:val="00757F3E"/>
    <w:rsid w:val="0076006E"/>
    <w:rsid w:val="00760076"/>
    <w:rsid w:val="00760091"/>
    <w:rsid w:val="007600B8"/>
    <w:rsid w:val="00760117"/>
    <w:rsid w:val="00760225"/>
    <w:rsid w:val="00760265"/>
    <w:rsid w:val="0076026D"/>
    <w:rsid w:val="00760291"/>
    <w:rsid w:val="007602AE"/>
    <w:rsid w:val="007602F5"/>
    <w:rsid w:val="007603DC"/>
    <w:rsid w:val="00760439"/>
    <w:rsid w:val="007604A5"/>
    <w:rsid w:val="00760540"/>
    <w:rsid w:val="007605D6"/>
    <w:rsid w:val="007606DA"/>
    <w:rsid w:val="007606EF"/>
    <w:rsid w:val="00760757"/>
    <w:rsid w:val="00760767"/>
    <w:rsid w:val="0076078B"/>
    <w:rsid w:val="007607D6"/>
    <w:rsid w:val="00760819"/>
    <w:rsid w:val="0076084D"/>
    <w:rsid w:val="007608E4"/>
    <w:rsid w:val="00760BC1"/>
    <w:rsid w:val="00760DC8"/>
    <w:rsid w:val="00760DD8"/>
    <w:rsid w:val="00760E23"/>
    <w:rsid w:val="00760EC9"/>
    <w:rsid w:val="00760F26"/>
    <w:rsid w:val="00760F34"/>
    <w:rsid w:val="00760F9B"/>
    <w:rsid w:val="00761143"/>
    <w:rsid w:val="00761153"/>
    <w:rsid w:val="007611CB"/>
    <w:rsid w:val="0076124C"/>
    <w:rsid w:val="0076138E"/>
    <w:rsid w:val="007613FA"/>
    <w:rsid w:val="007613FB"/>
    <w:rsid w:val="00761441"/>
    <w:rsid w:val="007614C3"/>
    <w:rsid w:val="007614F9"/>
    <w:rsid w:val="0076156F"/>
    <w:rsid w:val="007615CD"/>
    <w:rsid w:val="0076167E"/>
    <w:rsid w:val="0076172C"/>
    <w:rsid w:val="0076175C"/>
    <w:rsid w:val="007617C6"/>
    <w:rsid w:val="00761865"/>
    <w:rsid w:val="0076188E"/>
    <w:rsid w:val="007618D7"/>
    <w:rsid w:val="00761915"/>
    <w:rsid w:val="00761974"/>
    <w:rsid w:val="00761AB8"/>
    <w:rsid w:val="00761B20"/>
    <w:rsid w:val="00761C9B"/>
    <w:rsid w:val="00761C9D"/>
    <w:rsid w:val="00761CAE"/>
    <w:rsid w:val="00761CD2"/>
    <w:rsid w:val="00761D65"/>
    <w:rsid w:val="00761DDF"/>
    <w:rsid w:val="00761DF8"/>
    <w:rsid w:val="00761E80"/>
    <w:rsid w:val="00761EAD"/>
    <w:rsid w:val="00761EE0"/>
    <w:rsid w:val="00761FE1"/>
    <w:rsid w:val="00762000"/>
    <w:rsid w:val="007620A7"/>
    <w:rsid w:val="007620B1"/>
    <w:rsid w:val="007620C7"/>
    <w:rsid w:val="0076211B"/>
    <w:rsid w:val="0076212D"/>
    <w:rsid w:val="007621B4"/>
    <w:rsid w:val="007621EC"/>
    <w:rsid w:val="00762263"/>
    <w:rsid w:val="007622AE"/>
    <w:rsid w:val="00762344"/>
    <w:rsid w:val="00762371"/>
    <w:rsid w:val="007624B1"/>
    <w:rsid w:val="00762539"/>
    <w:rsid w:val="007625C3"/>
    <w:rsid w:val="007625E5"/>
    <w:rsid w:val="007626FA"/>
    <w:rsid w:val="00762709"/>
    <w:rsid w:val="007627C1"/>
    <w:rsid w:val="0076281E"/>
    <w:rsid w:val="00762856"/>
    <w:rsid w:val="00762895"/>
    <w:rsid w:val="0076298C"/>
    <w:rsid w:val="007629C1"/>
    <w:rsid w:val="00762A35"/>
    <w:rsid w:val="00762A5A"/>
    <w:rsid w:val="00762B52"/>
    <w:rsid w:val="00762BAB"/>
    <w:rsid w:val="00762BC9"/>
    <w:rsid w:val="00762BF4"/>
    <w:rsid w:val="00762C0B"/>
    <w:rsid w:val="00762C77"/>
    <w:rsid w:val="00762E15"/>
    <w:rsid w:val="00762EAA"/>
    <w:rsid w:val="00762EE1"/>
    <w:rsid w:val="0076304E"/>
    <w:rsid w:val="0076304F"/>
    <w:rsid w:val="007630C7"/>
    <w:rsid w:val="00763121"/>
    <w:rsid w:val="00763184"/>
    <w:rsid w:val="00763207"/>
    <w:rsid w:val="0076320E"/>
    <w:rsid w:val="007632B0"/>
    <w:rsid w:val="00763319"/>
    <w:rsid w:val="0076337E"/>
    <w:rsid w:val="007633C2"/>
    <w:rsid w:val="00763485"/>
    <w:rsid w:val="00763486"/>
    <w:rsid w:val="007634F5"/>
    <w:rsid w:val="00763531"/>
    <w:rsid w:val="00763607"/>
    <w:rsid w:val="00763611"/>
    <w:rsid w:val="00763614"/>
    <w:rsid w:val="00763630"/>
    <w:rsid w:val="007636A5"/>
    <w:rsid w:val="0076371F"/>
    <w:rsid w:val="00763769"/>
    <w:rsid w:val="00763861"/>
    <w:rsid w:val="0076386D"/>
    <w:rsid w:val="007638BE"/>
    <w:rsid w:val="007638E5"/>
    <w:rsid w:val="00763983"/>
    <w:rsid w:val="00763A2F"/>
    <w:rsid w:val="00763ABC"/>
    <w:rsid w:val="00763AD2"/>
    <w:rsid w:val="00763B79"/>
    <w:rsid w:val="00763B8E"/>
    <w:rsid w:val="00763CB9"/>
    <w:rsid w:val="00763CF6"/>
    <w:rsid w:val="00763D63"/>
    <w:rsid w:val="00763D9D"/>
    <w:rsid w:val="00763DAC"/>
    <w:rsid w:val="00763F27"/>
    <w:rsid w:val="00763FA2"/>
    <w:rsid w:val="00763FB2"/>
    <w:rsid w:val="00764042"/>
    <w:rsid w:val="007640B4"/>
    <w:rsid w:val="0076410D"/>
    <w:rsid w:val="007641AC"/>
    <w:rsid w:val="007641CC"/>
    <w:rsid w:val="007641E0"/>
    <w:rsid w:val="007642CD"/>
    <w:rsid w:val="0076431B"/>
    <w:rsid w:val="00764351"/>
    <w:rsid w:val="0076437F"/>
    <w:rsid w:val="007643C7"/>
    <w:rsid w:val="007643D2"/>
    <w:rsid w:val="007644CA"/>
    <w:rsid w:val="00764510"/>
    <w:rsid w:val="0076451A"/>
    <w:rsid w:val="0076454C"/>
    <w:rsid w:val="007645AC"/>
    <w:rsid w:val="007645C5"/>
    <w:rsid w:val="0076462A"/>
    <w:rsid w:val="00764648"/>
    <w:rsid w:val="0076472C"/>
    <w:rsid w:val="0076474C"/>
    <w:rsid w:val="007647CF"/>
    <w:rsid w:val="0076489B"/>
    <w:rsid w:val="00764955"/>
    <w:rsid w:val="0076497D"/>
    <w:rsid w:val="007649A9"/>
    <w:rsid w:val="00764A52"/>
    <w:rsid w:val="00764A94"/>
    <w:rsid w:val="00764AD0"/>
    <w:rsid w:val="00764ADF"/>
    <w:rsid w:val="00764B27"/>
    <w:rsid w:val="00764BA0"/>
    <w:rsid w:val="00764BE9"/>
    <w:rsid w:val="00764C05"/>
    <w:rsid w:val="00764CC3"/>
    <w:rsid w:val="00764CD1"/>
    <w:rsid w:val="00764D27"/>
    <w:rsid w:val="00764E9D"/>
    <w:rsid w:val="00764EC7"/>
    <w:rsid w:val="00764F18"/>
    <w:rsid w:val="00764F79"/>
    <w:rsid w:val="0076509D"/>
    <w:rsid w:val="0076515E"/>
    <w:rsid w:val="0076517F"/>
    <w:rsid w:val="0076519F"/>
    <w:rsid w:val="007651DC"/>
    <w:rsid w:val="007652A6"/>
    <w:rsid w:val="00765357"/>
    <w:rsid w:val="007654B0"/>
    <w:rsid w:val="00765537"/>
    <w:rsid w:val="00765592"/>
    <w:rsid w:val="007655C1"/>
    <w:rsid w:val="007655FB"/>
    <w:rsid w:val="00765626"/>
    <w:rsid w:val="00765664"/>
    <w:rsid w:val="00765670"/>
    <w:rsid w:val="007656E0"/>
    <w:rsid w:val="00765725"/>
    <w:rsid w:val="00765731"/>
    <w:rsid w:val="00765739"/>
    <w:rsid w:val="007657F7"/>
    <w:rsid w:val="00765894"/>
    <w:rsid w:val="007658AC"/>
    <w:rsid w:val="007658B1"/>
    <w:rsid w:val="007659BD"/>
    <w:rsid w:val="00765A22"/>
    <w:rsid w:val="00765A31"/>
    <w:rsid w:val="00765A68"/>
    <w:rsid w:val="00765AA2"/>
    <w:rsid w:val="00765B03"/>
    <w:rsid w:val="00765B3F"/>
    <w:rsid w:val="00765C36"/>
    <w:rsid w:val="00765C68"/>
    <w:rsid w:val="00765CAD"/>
    <w:rsid w:val="00765E0C"/>
    <w:rsid w:val="00765FBC"/>
    <w:rsid w:val="0076601E"/>
    <w:rsid w:val="00766022"/>
    <w:rsid w:val="0076604F"/>
    <w:rsid w:val="0076618F"/>
    <w:rsid w:val="0076619C"/>
    <w:rsid w:val="007661B7"/>
    <w:rsid w:val="00766233"/>
    <w:rsid w:val="0076624A"/>
    <w:rsid w:val="007662CE"/>
    <w:rsid w:val="00766364"/>
    <w:rsid w:val="00766369"/>
    <w:rsid w:val="00766454"/>
    <w:rsid w:val="0076645B"/>
    <w:rsid w:val="007664AC"/>
    <w:rsid w:val="007664B5"/>
    <w:rsid w:val="007664F2"/>
    <w:rsid w:val="0076652A"/>
    <w:rsid w:val="00766558"/>
    <w:rsid w:val="007665B4"/>
    <w:rsid w:val="007665C4"/>
    <w:rsid w:val="007665C7"/>
    <w:rsid w:val="007665F7"/>
    <w:rsid w:val="00766698"/>
    <w:rsid w:val="00766765"/>
    <w:rsid w:val="0076678A"/>
    <w:rsid w:val="007668A1"/>
    <w:rsid w:val="007668CE"/>
    <w:rsid w:val="007668E2"/>
    <w:rsid w:val="0076693B"/>
    <w:rsid w:val="00766999"/>
    <w:rsid w:val="007669DC"/>
    <w:rsid w:val="007669E5"/>
    <w:rsid w:val="00766AFA"/>
    <w:rsid w:val="00766B41"/>
    <w:rsid w:val="00766C23"/>
    <w:rsid w:val="00766C25"/>
    <w:rsid w:val="00766CEC"/>
    <w:rsid w:val="00766D09"/>
    <w:rsid w:val="00766D91"/>
    <w:rsid w:val="00766E7B"/>
    <w:rsid w:val="00766F30"/>
    <w:rsid w:val="00767036"/>
    <w:rsid w:val="00767151"/>
    <w:rsid w:val="00767161"/>
    <w:rsid w:val="0076718A"/>
    <w:rsid w:val="0076726F"/>
    <w:rsid w:val="00767307"/>
    <w:rsid w:val="007673DE"/>
    <w:rsid w:val="007673F3"/>
    <w:rsid w:val="0076744E"/>
    <w:rsid w:val="0076754C"/>
    <w:rsid w:val="0076761B"/>
    <w:rsid w:val="007676CB"/>
    <w:rsid w:val="0076784E"/>
    <w:rsid w:val="007678F9"/>
    <w:rsid w:val="0076790D"/>
    <w:rsid w:val="0076796D"/>
    <w:rsid w:val="00767975"/>
    <w:rsid w:val="00767983"/>
    <w:rsid w:val="00767A2E"/>
    <w:rsid w:val="00767AF9"/>
    <w:rsid w:val="00767AFF"/>
    <w:rsid w:val="00767B1E"/>
    <w:rsid w:val="00767BD0"/>
    <w:rsid w:val="00767C67"/>
    <w:rsid w:val="00767C68"/>
    <w:rsid w:val="00767CE7"/>
    <w:rsid w:val="00767D15"/>
    <w:rsid w:val="00767D3C"/>
    <w:rsid w:val="00767D3E"/>
    <w:rsid w:val="00767D56"/>
    <w:rsid w:val="00767D68"/>
    <w:rsid w:val="00767DB1"/>
    <w:rsid w:val="00767DCF"/>
    <w:rsid w:val="00767FEA"/>
    <w:rsid w:val="0077010E"/>
    <w:rsid w:val="0077015E"/>
    <w:rsid w:val="00770175"/>
    <w:rsid w:val="007702FD"/>
    <w:rsid w:val="007703A2"/>
    <w:rsid w:val="007703D2"/>
    <w:rsid w:val="00770478"/>
    <w:rsid w:val="007704A8"/>
    <w:rsid w:val="00770639"/>
    <w:rsid w:val="007706F7"/>
    <w:rsid w:val="00770723"/>
    <w:rsid w:val="00770793"/>
    <w:rsid w:val="00770821"/>
    <w:rsid w:val="00770905"/>
    <w:rsid w:val="0077094F"/>
    <w:rsid w:val="007709A2"/>
    <w:rsid w:val="007709B0"/>
    <w:rsid w:val="007709E5"/>
    <w:rsid w:val="00770A58"/>
    <w:rsid w:val="00770ADC"/>
    <w:rsid w:val="00770AFC"/>
    <w:rsid w:val="00770B35"/>
    <w:rsid w:val="00770BD5"/>
    <w:rsid w:val="00770C7C"/>
    <w:rsid w:val="00770C80"/>
    <w:rsid w:val="00770CED"/>
    <w:rsid w:val="00770D0C"/>
    <w:rsid w:val="00770D82"/>
    <w:rsid w:val="00770E41"/>
    <w:rsid w:val="00770E50"/>
    <w:rsid w:val="00770F5B"/>
    <w:rsid w:val="00770FCD"/>
    <w:rsid w:val="00770FE7"/>
    <w:rsid w:val="0077100B"/>
    <w:rsid w:val="00771024"/>
    <w:rsid w:val="00771061"/>
    <w:rsid w:val="007710A5"/>
    <w:rsid w:val="00771111"/>
    <w:rsid w:val="00771137"/>
    <w:rsid w:val="0077128A"/>
    <w:rsid w:val="00771304"/>
    <w:rsid w:val="0077142C"/>
    <w:rsid w:val="0077149F"/>
    <w:rsid w:val="0077159D"/>
    <w:rsid w:val="007715D3"/>
    <w:rsid w:val="0077171B"/>
    <w:rsid w:val="0077173B"/>
    <w:rsid w:val="00771774"/>
    <w:rsid w:val="007717AE"/>
    <w:rsid w:val="007717D2"/>
    <w:rsid w:val="00771863"/>
    <w:rsid w:val="0077188F"/>
    <w:rsid w:val="007718D8"/>
    <w:rsid w:val="007718F4"/>
    <w:rsid w:val="00771AE2"/>
    <w:rsid w:val="00771B52"/>
    <w:rsid w:val="00771B60"/>
    <w:rsid w:val="00771BDC"/>
    <w:rsid w:val="00771C1E"/>
    <w:rsid w:val="00771C2C"/>
    <w:rsid w:val="00771C56"/>
    <w:rsid w:val="00771D58"/>
    <w:rsid w:val="00771F05"/>
    <w:rsid w:val="00771F28"/>
    <w:rsid w:val="00771F91"/>
    <w:rsid w:val="0077216D"/>
    <w:rsid w:val="0077216E"/>
    <w:rsid w:val="007721CA"/>
    <w:rsid w:val="007721DD"/>
    <w:rsid w:val="00772221"/>
    <w:rsid w:val="00772223"/>
    <w:rsid w:val="00772237"/>
    <w:rsid w:val="0077246E"/>
    <w:rsid w:val="007724DD"/>
    <w:rsid w:val="007724F2"/>
    <w:rsid w:val="00772532"/>
    <w:rsid w:val="0077254D"/>
    <w:rsid w:val="007725AD"/>
    <w:rsid w:val="007725D8"/>
    <w:rsid w:val="00772649"/>
    <w:rsid w:val="0077265A"/>
    <w:rsid w:val="00772689"/>
    <w:rsid w:val="007726C8"/>
    <w:rsid w:val="0077271C"/>
    <w:rsid w:val="007727B2"/>
    <w:rsid w:val="007727F0"/>
    <w:rsid w:val="0077281E"/>
    <w:rsid w:val="0077287A"/>
    <w:rsid w:val="007728D2"/>
    <w:rsid w:val="007728DF"/>
    <w:rsid w:val="00772943"/>
    <w:rsid w:val="0077297D"/>
    <w:rsid w:val="00772A22"/>
    <w:rsid w:val="00772A23"/>
    <w:rsid w:val="00772A95"/>
    <w:rsid w:val="00772A9B"/>
    <w:rsid w:val="00772AB1"/>
    <w:rsid w:val="00772B4B"/>
    <w:rsid w:val="00772BC2"/>
    <w:rsid w:val="00772BDE"/>
    <w:rsid w:val="00772BF6"/>
    <w:rsid w:val="00772BFF"/>
    <w:rsid w:val="00772C2B"/>
    <w:rsid w:val="00772C5B"/>
    <w:rsid w:val="00772C83"/>
    <w:rsid w:val="00772C8B"/>
    <w:rsid w:val="00772CD6"/>
    <w:rsid w:val="00772D84"/>
    <w:rsid w:val="00772DAC"/>
    <w:rsid w:val="00772DB6"/>
    <w:rsid w:val="00772E3A"/>
    <w:rsid w:val="00772E4E"/>
    <w:rsid w:val="00772E65"/>
    <w:rsid w:val="00772FD9"/>
    <w:rsid w:val="00773026"/>
    <w:rsid w:val="00773123"/>
    <w:rsid w:val="007731CC"/>
    <w:rsid w:val="007732A8"/>
    <w:rsid w:val="0077330E"/>
    <w:rsid w:val="0077337F"/>
    <w:rsid w:val="007733A8"/>
    <w:rsid w:val="007733B4"/>
    <w:rsid w:val="007733DD"/>
    <w:rsid w:val="00773527"/>
    <w:rsid w:val="00773530"/>
    <w:rsid w:val="00773536"/>
    <w:rsid w:val="00773588"/>
    <w:rsid w:val="00773729"/>
    <w:rsid w:val="00773779"/>
    <w:rsid w:val="00773872"/>
    <w:rsid w:val="007738B0"/>
    <w:rsid w:val="007738B4"/>
    <w:rsid w:val="00773924"/>
    <w:rsid w:val="0077396C"/>
    <w:rsid w:val="007739E4"/>
    <w:rsid w:val="00773A74"/>
    <w:rsid w:val="00773A82"/>
    <w:rsid w:val="00773AB1"/>
    <w:rsid w:val="00773ACE"/>
    <w:rsid w:val="00773B53"/>
    <w:rsid w:val="00773BA0"/>
    <w:rsid w:val="00773CFC"/>
    <w:rsid w:val="00773D08"/>
    <w:rsid w:val="00773D96"/>
    <w:rsid w:val="00773DAB"/>
    <w:rsid w:val="00773DD3"/>
    <w:rsid w:val="00773DEC"/>
    <w:rsid w:val="00773EA5"/>
    <w:rsid w:val="00773F58"/>
    <w:rsid w:val="00773F6B"/>
    <w:rsid w:val="00773F86"/>
    <w:rsid w:val="00773FAD"/>
    <w:rsid w:val="00773FF0"/>
    <w:rsid w:val="0077406E"/>
    <w:rsid w:val="00774089"/>
    <w:rsid w:val="007740C5"/>
    <w:rsid w:val="007740DA"/>
    <w:rsid w:val="00774116"/>
    <w:rsid w:val="00774130"/>
    <w:rsid w:val="00774160"/>
    <w:rsid w:val="00774198"/>
    <w:rsid w:val="00774292"/>
    <w:rsid w:val="007742FC"/>
    <w:rsid w:val="00774317"/>
    <w:rsid w:val="0077432C"/>
    <w:rsid w:val="00774348"/>
    <w:rsid w:val="0077436F"/>
    <w:rsid w:val="007743C3"/>
    <w:rsid w:val="00774440"/>
    <w:rsid w:val="00774468"/>
    <w:rsid w:val="0077447F"/>
    <w:rsid w:val="007745E6"/>
    <w:rsid w:val="00774669"/>
    <w:rsid w:val="007746BC"/>
    <w:rsid w:val="007748A6"/>
    <w:rsid w:val="007748CD"/>
    <w:rsid w:val="00774917"/>
    <w:rsid w:val="00774922"/>
    <w:rsid w:val="00774929"/>
    <w:rsid w:val="007749C4"/>
    <w:rsid w:val="00774BA9"/>
    <w:rsid w:val="00774BC9"/>
    <w:rsid w:val="00774BD6"/>
    <w:rsid w:val="00774C42"/>
    <w:rsid w:val="00774CCA"/>
    <w:rsid w:val="00774CE8"/>
    <w:rsid w:val="00774D96"/>
    <w:rsid w:val="00774E44"/>
    <w:rsid w:val="00774E69"/>
    <w:rsid w:val="00774EBA"/>
    <w:rsid w:val="00774F14"/>
    <w:rsid w:val="00774F38"/>
    <w:rsid w:val="00774F75"/>
    <w:rsid w:val="00775195"/>
    <w:rsid w:val="0077525B"/>
    <w:rsid w:val="007752C3"/>
    <w:rsid w:val="007752F7"/>
    <w:rsid w:val="0077533D"/>
    <w:rsid w:val="007753B0"/>
    <w:rsid w:val="007753B1"/>
    <w:rsid w:val="00775421"/>
    <w:rsid w:val="0077550A"/>
    <w:rsid w:val="0077554E"/>
    <w:rsid w:val="007755B0"/>
    <w:rsid w:val="00775661"/>
    <w:rsid w:val="00775690"/>
    <w:rsid w:val="00775698"/>
    <w:rsid w:val="007756A7"/>
    <w:rsid w:val="007756D2"/>
    <w:rsid w:val="007756FA"/>
    <w:rsid w:val="007757CE"/>
    <w:rsid w:val="00775826"/>
    <w:rsid w:val="00775A14"/>
    <w:rsid w:val="00775A1C"/>
    <w:rsid w:val="00775A2F"/>
    <w:rsid w:val="00775A31"/>
    <w:rsid w:val="00775A8E"/>
    <w:rsid w:val="00775AB8"/>
    <w:rsid w:val="00775B48"/>
    <w:rsid w:val="00775B74"/>
    <w:rsid w:val="00775D0D"/>
    <w:rsid w:val="00775D10"/>
    <w:rsid w:val="00775D18"/>
    <w:rsid w:val="00775D6B"/>
    <w:rsid w:val="00775D80"/>
    <w:rsid w:val="00775E39"/>
    <w:rsid w:val="00775E52"/>
    <w:rsid w:val="00775F8A"/>
    <w:rsid w:val="00775F92"/>
    <w:rsid w:val="00775FB2"/>
    <w:rsid w:val="00776082"/>
    <w:rsid w:val="007761D9"/>
    <w:rsid w:val="007761E9"/>
    <w:rsid w:val="007762DF"/>
    <w:rsid w:val="007762F0"/>
    <w:rsid w:val="00776319"/>
    <w:rsid w:val="007763B4"/>
    <w:rsid w:val="007763DD"/>
    <w:rsid w:val="00776414"/>
    <w:rsid w:val="0077642C"/>
    <w:rsid w:val="007764C9"/>
    <w:rsid w:val="007764E2"/>
    <w:rsid w:val="00776509"/>
    <w:rsid w:val="0077652E"/>
    <w:rsid w:val="0077655E"/>
    <w:rsid w:val="0077655F"/>
    <w:rsid w:val="0077657B"/>
    <w:rsid w:val="0077659C"/>
    <w:rsid w:val="00776635"/>
    <w:rsid w:val="00776653"/>
    <w:rsid w:val="007766C7"/>
    <w:rsid w:val="007766E8"/>
    <w:rsid w:val="0077679E"/>
    <w:rsid w:val="00776821"/>
    <w:rsid w:val="00776930"/>
    <w:rsid w:val="0077694A"/>
    <w:rsid w:val="00776965"/>
    <w:rsid w:val="007769A0"/>
    <w:rsid w:val="00776A6B"/>
    <w:rsid w:val="00776A8C"/>
    <w:rsid w:val="00776B6E"/>
    <w:rsid w:val="00776B72"/>
    <w:rsid w:val="00776C47"/>
    <w:rsid w:val="00776C60"/>
    <w:rsid w:val="00776C78"/>
    <w:rsid w:val="00776CC8"/>
    <w:rsid w:val="00776E1F"/>
    <w:rsid w:val="00776F0F"/>
    <w:rsid w:val="00776F59"/>
    <w:rsid w:val="00776F98"/>
    <w:rsid w:val="0077707A"/>
    <w:rsid w:val="00777110"/>
    <w:rsid w:val="007771F8"/>
    <w:rsid w:val="007771FD"/>
    <w:rsid w:val="00777220"/>
    <w:rsid w:val="007773D7"/>
    <w:rsid w:val="00777417"/>
    <w:rsid w:val="00777492"/>
    <w:rsid w:val="007774B9"/>
    <w:rsid w:val="0077752B"/>
    <w:rsid w:val="00777541"/>
    <w:rsid w:val="00777594"/>
    <w:rsid w:val="007775B3"/>
    <w:rsid w:val="00777681"/>
    <w:rsid w:val="0077770B"/>
    <w:rsid w:val="0077778D"/>
    <w:rsid w:val="007777FE"/>
    <w:rsid w:val="007778EC"/>
    <w:rsid w:val="0077792F"/>
    <w:rsid w:val="00777964"/>
    <w:rsid w:val="007779CF"/>
    <w:rsid w:val="007779F4"/>
    <w:rsid w:val="00777A56"/>
    <w:rsid w:val="00777B2B"/>
    <w:rsid w:val="00777BF7"/>
    <w:rsid w:val="00777C1B"/>
    <w:rsid w:val="00777C33"/>
    <w:rsid w:val="00777D36"/>
    <w:rsid w:val="00777DBB"/>
    <w:rsid w:val="00777E2F"/>
    <w:rsid w:val="00777E6B"/>
    <w:rsid w:val="00777EF4"/>
    <w:rsid w:val="00777F73"/>
    <w:rsid w:val="0078005D"/>
    <w:rsid w:val="0078008B"/>
    <w:rsid w:val="0078029B"/>
    <w:rsid w:val="007802F6"/>
    <w:rsid w:val="0078031E"/>
    <w:rsid w:val="00780357"/>
    <w:rsid w:val="00780419"/>
    <w:rsid w:val="0078041F"/>
    <w:rsid w:val="00780434"/>
    <w:rsid w:val="007804B9"/>
    <w:rsid w:val="00780565"/>
    <w:rsid w:val="007805BB"/>
    <w:rsid w:val="0078065D"/>
    <w:rsid w:val="0078068D"/>
    <w:rsid w:val="00780711"/>
    <w:rsid w:val="00780751"/>
    <w:rsid w:val="007807F8"/>
    <w:rsid w:val="00780811"/>
    <w:rsid w:val="0078088E"/>
    <w:rsid w:val="00780909"/>
    <w:rsid w:val="0078093B"/>
    <w:rsid w:val="007809B1"/>
    <w:rsid w:val="00780B01"/>
    <w:rsid w:val="00780B2D"/>
    <w:rsid w:val="00780B2F"/>
    <w:rsid w:val="00780C6A"/>
    <w:rsid w:val="00780C8B"/>
    <w:rsid w:val="00780D4A"/>
    <w:rsid w:val="00780D89"/>
    <w:rsid w:val="00780E4A"/>
    <w:rsid w:val="00780E67"/>
    <w:rsid w:val="00780E7D"/>
    <w:rsid w:val="00780E89"/>
    <w:rsid w:val="00780EB9"/>
    <w:rsid w:val="00780F27"/>
    <w:rsid w:val="00780F44"/>
    <w:rsid w:val="00780F6F"/>
    <w:rsid w:val="00780F77"/>
    <w:rsid w:val="00780FA5"/>
    <w:rsid w:val="00780FFA"/>
    <w:rsid w:val="00781057"/>
    <w:rsid w:val="0078124D"/>
    <w:rsid w:val="007812BA"/>
    <w:rsid w:val="00781317"/>
    <w:rsid w:val="0078131A"/>
    <w:rsid w:val="0078131C"/>
    <w:rsid w:val="00781336"/>
    <w:rsid w:val="007814AE"/>
    <w:rsid w:val="007814D1"/>
    <w:rsid w:val="007814D5"/>
    <w:rsid w:val="0078150D"/>
    <w:rsid w:val="0078150F"/>
    <w:rsid w:val="007815C0"/>
    <w:rsid w:val="00781602"/>
    <w:rsid w:val="00781729"/>
    <w:rsid w:val="0078172C"/>
    <w:rsid w:val="00781757"/>
    <w:rsid w:val="007818AD"/>
    <w:rsid w:val="00781905"/>
    <w:rsid w:val="00781A20"/>
    <w:rsid w:val="00781A35"/>
    <w:rsid w:val="00781B1A"/>
    <w:rsid w:val="00781B5A"/>
    <w:rsid w:val="00781C33"/>
    <w:rsid w:val="00781D2F"/>
    <w:rsid w:val="00781D60"/>
    <w:rsid w:val="00781D82"/>
    <w:rsid w:val="00781D93"/>
    <w:rsid w:val="00781DB3"/>
    <w:rsid w:val="00781DD0"/>
    <w:rsid w:val="00781E31"/>
    <w:rsid w:val="00781E9C"/>
    <w:rsid w:val="00781EC3"/>
    <w:rsid w:val="00781ED4"/>
    <w:rsid w:val="00781F2E"/>
    <w:rsid w:val="00781FAB"/>
    <w:rsid w:val="0078202E"/>
    <w:rsid w:val="00782035"/>
    <w:rsid w:val="00782078"/>
    <w:rsid w:val="0078208C"/>
    <w:rsid w:val="007821C6"/>
    <w:rsid w:val="00782312"/>
    <w:rsid w:val="00782355"/>
    <w:rsid w:val="00782507"/>
    <w:rsid w:val="007825F6"/>
    <w:rsid w:val="0078260A"/>
    <w:rsid w:val="00782640"/>
    <w:rsid w:val="007826D2"/>
    <w:rsid w:val="00782700"/>
    <w:rsid w:val="00782726"/>
    <w:rsid w:val="00782832"/>
    <w:rsid w:val="00782839"/>
    <w:rsid w:val="007828C4"/>
    <w:rsid w:val="007828D2"/>
    <w:rsid w:val="007828F6"/>
    <w:rsid w:val="00782A2E"/>
    <w:rsid w:val="00782B37"/>
    <w:rsid w:val="00782B55"/>
    <w:rsid w:val="00782BA3"/>
    <w:rsid w:val="00782C24"/>
    <w:rsid w:val="00782C8C"/>
    <w:rsid w:val="00782CB8"/>
    <w:rsid w:val="00782CBE"/>
    <w:rsid w:val="00782D51"/>
    <w:rsid w:val="00782D6F"/>
    <w:rsid w:val="00782DAC"/>
    <w:rsid w:val="00782DBA"/>
    <w:rsid w:val="00782DC0"/>
    <w:rsid w:val="00782DE5"/>
    <w:rsid w:val="00782E13"/>
    <w:rsid w:val="00782EB2"/>
    <w:rsid w:val="00783006"/>
    <w:rsid w:val="007830A9"/>
    <w:rsid w:val="007830CA"/>
    <w:rsid w:val="0078313F"/>
    <w:rsid w:val="00783187"/>
    <w:rsid w:val="0078319E"/>
    <w:rsid w:val="007832AE"/>
    <w:rsid w:val="007832DA"/>
    <w:rsid w:val="007833B6"/>
    <w:rsid w:val="007833B7"/>
    <w:rsid w:val="00783478"/>
    <w:rsid w:val="007835AD"/>
    <w:rsid w:val="007835E2"/>
    <w:rsid w:val="0078366E"/>
    <w:rsid w:val="00783676"/>
    <w:rsid w:val="0078370B"/>
    <w:rsid w:val="00783726"/>
    <w:rsid w:val="0078390F"/>
    <w:rsid w:val="0078394F"/>
    <w:rsid w:val="00783961"/>
    <w:rsid w:val="00783984"/>
    <w:rsid w:val="00783A39"/>
    <w:rsid w:val="00783A96"/>
    <w:rsid w:val="00783B4C"/>
    <w:rsid w:val="00783BD5"/>
    <w:rsid w:val="00783BDE"/>
    <w:rsid w:val="00783C52"/>
    <w:rsid w:val="00783C9F"/>
    <w:rsid w:val="00783CD4"/>
    <w:rsid w:val="00783CEA"/>
    <w:rsid w:val="00783D05"/>
    <w:rsid w:val="00783EEF"/>
    <w:rsid w:val="00783F5D"/>
    <w:rsid w:val="00783F6A"/>
    <w:rsid w:val="00783FF7"/>
    <w:rsid w:val="00784061"/>
    <w:rsid w:val="007840ED"/>
    <w:rsid w:val="00784156"/>
    <w:rsid w:val="007841AE"/>
    <w:rsid w:val="007842D6"/>
    <w:rsid w:val="0078435F"/>
    <w:rsid w:val="00784361"/>
    <w:rsid w:val="00784394"/>
    <w:rsid w:val="00784461"/>
    <w:rsid w:val="007844D8"/>
    <w:rsid w:val="007845F8"/>
    <w:rsid w:val="00784781"/>
    <w:rsid w:val="007847FA"/>
    <w:rsid w:val="00784831"/>
    <w:rsid w:val="007848AC"/>
    <w:rsid w:val="007848C4"/>
    <w:rsid w:val="007848ED"/>
    <w:rsid w:val="0078496F"/>
    <w:rsid w:val="00784996"/>
    <w:rsid w:val="00784A5A"/>
    <w:rsid w:val="00784A7B"/>
    <w:rsid w:val="00784A9A"/>
    <w:rsid w:val="00784C23"/>
    <w:rsid w:val="00784C32"/>
    <w:rsid w:val="00784C36"/>
    <w:rsid w:val="00784C73"/>
    <w:rsid w:val="00784CAE"/>
    <w:rsid w:val="00784E12"/>
    <w:rsid w:val="00784E65"/>
    <w:rsid w:val="00784EED"/>
    <w:rsid w:val="00784F19"/>
    <w:rsid w:val="00784F6B"/>
    <w:rsid w:val="00784FB9"/>
    <w:rsid w:val="007851EA"/>
    <w:rsid w:val="00785270"/>
    <w:rsid w:val="007852AD"/>
    <w:rsid w:val="007852B7"/>
    <w:rsid w:val="007852EA"/>
    <w:rsid w:val="00785416"/>
    <w:rsid w:val="0078546A"/>
    <w:rsid w:val="00785470"/>
    <w:rsid w:val="007854AB"/>
    <w:rsid w:val="007854F2"/>
    <w:rsid w:val="00785593"/>
    <w:rsid w:val="0078559A"/>
    <w:rsid w:val="007855F4"/>
    <w:rsid w:val="00785679"/>
    <w:rsid w:val="007856AE"/>
    <w:rsid w:val="007856C9"/>
    <w:rsid w:val="0078579D"/>
    <w:rsid w:val="007857EC"/>
    <w:rsid w:val="007857F7"/>
    <w:rsid w:val="007858D2"/>
    <w:rsid w:val="0078594C"/>
    <w:rsid w:val="00785985"/>
    <w:rsid w:val="00785A5E"/>
    <w:rsid w:val="00785C1F"/>
    <w:rsid w:val="00785C2C"/>
    <w:rsid w:val="00785C52"/>
    <w:rsid w:val="00785CA2"/>
    <w:rsid w:val="00785E29"/>
    <w:rsid w:val="00785E87"/>
    <w:rsid w:val="00785EC8"/>
    <w:rsid w:val="00785FA0"/>
    <w:rsid w:val="00785FAD"/>
    <w:rsid w:val="007861BA"/>
    <w:rsid w:val="007861C9"/>
    <w:rsid w:val="007861CC"/>
    <w:rsid w:val="00786321"/>
    <w:rsid w:val="007863A7"/>
    <w:rsid w:val="0078644A"/>
    <w:rsid w:val="007864CB"/>
    <w:rsid w:val="00786531"/>
    <w:rsid w:val="007865F5"/>
    <w:rsid w:val="007866B9"/>
    <w:rsid w:val="0078670F"/>
    <w:rsid w:val="00786730"/>
    <w:rsid w:val="00786754"/>
    <w:rsid w:val="007867CA"/>
    <w:rsid w:val="00786944"/>
    <w:rsid w:val="0078697F"/>
    <w:rsid w:val="00786A54"/>
    <w:rsid w:val="00786BD2"/>
    <w:rsid w:val="00786C1E"/>
    <w:rsid w:val="00786C97"/>
    <w:rsid w:val="00786D41"/>
    <w:rsid w:val="00786DEE"/>
    <w:rsid w:val="00786E27"/>
    <w:rsid w:val="00786E7A"/>
    <w:rsid w:val="00786ED3"/>
    <w:rsid w:val="00786F0A"/>
    <w:rsid w:val="00786F8D"/>
    <w:rsid w:val="00786FE2"/>
    <w:rsid w:val="007870B7"/>
    <w:rsid w:val="0078718A"/>
    <w:rsid w:val="007871B0"/>
    <w:rsid w:val="00787300"/>
    <w:rsid w:val="0078737E"/>
    <w:rsid w:val="007873ED"/>
    <w:rsid w:val="0078747C"/>
    <w:rsid w:val="00787647"/>
    <w:rsid w:val="0078767D"/>
    <w:rsid w:val="00787781"/>
    <w:rsid w:val="007877A6"/>
    <w:rsid w:val="007877D9"/>
    <w:rsid w:val="007877E7"/>
    <w:rsid w:val="00787892"/>
    <w:rsid w:val="00787946"/>
    <w:rsid w:val="00787957"/>
    <w:rsid w:val="00787984"/>
    <w:rsid w:val="00787A5B"/>
    <w:rsid w:val="00787A97"/>
    <w:rsid w:val="00787B15"/>
    <w:rsid w:val="00787B94"/>
    <w:rsid w:val="00787BE8"/>
    <w:rsid w:val="00787C12"/>
    <w:rsid w:val="00787DC8"/>
    <w:rsid w:val="00787E21"/>
    <w:rsid w:val="00787E22"/>
    <w:rsid w:val="00787E3C"/>
    <w:rsid w:val="00787E7F"/>
    <w:rsid w:val="00787F7B"/>
    <w:rsid w:val="00787F89"/>
    <w:rsid w:val="0079004F"/>
    <w:rsid w:val="00790168"/>
    <w:rsid w:val="007901A6"/>
    <w:rsid w:val="007901CC"/>
    <w:rsid w:val="0079020B"/>
    <w:rsid w:val="0079024E"/>
    <w:rsid w:val="00790387"/>
    <w:rsid w:val="007903FB"/>
    <w:rsid w:val="00790441"/>
    <w:rsid w:val="00790442"/>
    <w:rsid w:val="0079048B"/>
    <w:rsid w:val="00790643"/>
    <w:rsid w:val="0079065D"/>
    <w:rsid w:val="00790667"/>
    <w:rsid w:val="00790677"/>
    <w:rsid w:val="007906CF"/>
    <w:rsid w:val="00790722"/>
    <w:rsid w:val="0079074A"/>
    <w:rsid w:val="00790863"/>
    <w:rsid w:val="007908CD"/>
    <w:rsid w:val="007908F5"/>
    <w:rsid w:val="00790A3B"/>
    <w:rsid w:val="00790A71"/>
    <w:rsid w:val="00790B3A"/>
    <w:rsid w:val="00790B6A"/>
    <w:rsid w:val="00790BAD"/>
    <w:rsid w:val="00790C0A"/>
    <w:rsid w:val="00790D1D"/>
    <w:rsid w:val="00790D2B"/>
    <w:rsid w:val="00790D75"/>
    <w:rsid w:val="00790E15"/>
    <w:rsid w:val="00790E23"/>
    <w:rsid w:val="00790E61"/>
    <w:rsid w:val="00790F05"/>
    <w:rsid w:val="00790F12"/>
    <w:rsid w:val="00790FD5"/>
    <w:rsid w:val="007910FA"/>
    <w:rsid w:val="00791150"/>
    <w:rsid w:val="0079116F"/>
    <w:rsid w:val="00791179"/>
    <w:rsid w:val="007911C7"/>
    <w:rsid w:val="00791256"/>
    <w:rsid w:val="007912AD"/>
    <w:rsid w:val="007913F9"/>
    <w:rsid w:val="00791440"/>
    <w:rsid w:val="00791504"/>
    <w:rsid w:val="00791568"/>
    <w:rsid w:val="00791584"/>
    <w:rsid w:val="00791638"/>
    <w:rsid w:val="0079164F"/>
    <w:rsid w:val="0079174F"/>
    <w:rsid w:val="0079179A"/>
    <w:rsid w:val="00791842"/>
    <w:rsid w:val="007918B0"/>
    <w:rsid w:val="007918F5"/>
    <w:rsid w:val="0079190D"/>
    <w:rsid w:val="00791922"/>
    <w:rsid w:val="00791975"/>
    <w:rsid w:val="0079199F"/>
    <w:rsid w:val="007919B1"/>
    <w:rsid w:val="00791B2E"/>
    <w:rsid w:val="00791B9F"/>
    <w:rsid w:val="00791C37"/>
    <w:rsid w:val="00791C50"/>
    <w:rsid w:val="00791D38"/>
    <w:rsid w:val="00791D56"/>
    <w:rsid w:val="00791E02"/>
    <w:rsid w:val="00791E36"/>
    <w:rsid w:val="00791E67"/>
    <w:rsid w:val="00791E7F"/>
    <w:rsid w:val="00791EE7"/>
    <w:rsid w:val="00791F7B"/>
    <w:rsid w:val="00791FBE"/>
    <w:rsid w:val="00792098"/>
    <w:rsid w:val="0079213D"/>
    <w:rsid w:val="007921BE"/>
    <w:rsid w:val="00792220"/>
    <w:rsid w:val="00792289"/>
    <w:rsid w:val="00792398"/>
    <w:rsid w:val="007923AD"/>
    <w:rsid w:val="007923ED"/>
    <w:rsid w:val="007924C9"/>
    <w:rsid w:val="0079250E"/>
    <w:rsid w:val="00792542"/>
    <w:rsid w:val="00792604"/>
    <w:rsid w:val="00792632"/>
    <w:rsid w:val="0079263E"/>
    <w:rsid w:val="007926BA"/>
    <w:rsid w:val="0079278E"/>
    <w:rsid w:val="00792828"/>
    <w:rsid w:val="00792864"/>
    <w:rsid w:val="007928E9"/>
    <w:rsid w:val="00792907"/>
    <w:rsid w:val="0079290E"/>
    <w:rsid w:val="00792917"/>
    <w:rsid w:val="00792918"/>
    <w:rsid w:val="00792923"/>
    <w:rsid w:val="007929AE"/>
    <w:rsid w:val="007929EB"/>
    <w:rsid w:val="007929F1"/>
    <w:rsid w:val="00792A28"/>
    <w:rsid w:val="00792A6D"/>
    <w:rsid w:val="00792AAB"/>
    <w:rsid w:val="00792BB5"/>
    <w:rsid w:val="00792C7C"/>
    <w:rsid w:val="00792CD0"/>
    <w:rsid w:val="00792CF5"/>
    <w:rsid w:val="00792E5D"/>
    <w:rsid w:val="00792F21"/>
    <w:rsid w:val="00792F60"/>
    <w:rsid w:val="00792FD9"/>
    <w:rsid w:val="00793038"/>
    <w:rsid w:val="0079304D"/>
    <w:rsid w:val="0079308B"/>
    <w:rsid w:val="007930BC"/>
    <w:rsid w:val="007930CF"/>
    <w:rsid w:val="007931C4"/>
    <w:rsid w:val="00793200"/>
    <w:rsid w:val="00793217"/>
    <w:rsid w:val="00793255"/>
    <w:rsid w:val="0079327F"/>
    <w:rsid w:val="007932AC"/>
    <w:rsid w:val="007932C2"/>
    <w:rsid w:val="007932EC"/>
    <w:rsid w:val="0079339B"/>
    <w:rsid w:val="007933A0"/>
    <w:rsid w:val="007933B0"/>
    <w:rsid w:val="007933DE"/>
    <w:rsid w:val="00793447"/>
    <w:rsid w:val="00793472"/>
    <w:rsid w:val="00793538"/>
    <w:rsid w:val="00793555"/>
    <w:rsid w:val="007936C2"/>
    <w:rsid w:val="007936D0"/>
    <w:rsid w:val="0079376C"/>
    <w:rsid w:val="0079381A"/>
    <w:rsid w:val="0079383E"/>
    <w:rsid w:val="00793903"/>
    <w:rsid w:val="00793910"/>
    <w:rsid w:val="0079396F"/>
    <w:rsid w:val="00793A00"/>
    <w:rsid w:val="00793A08"/>
    <w:rsid w:val="00793B04"/>
    <w:rsid w:val="00793B46"/>
    <w:rsid w:val="00793B77"/>
    <w:rsid w:val="00793BFA"/>
    <w:rsid w:val="00793C65"/>
    <w:rsid w:val="00793D67"/>
    <w:rsid w:val="00793D6A"/>
    <w:rsid w:val="00793F1C"/>
    <w:rsid w:val="00793F2B"/>
    <w:rsid w:val="00793F6E"/>
    <w:rsid w:val="00794012"/>
    <w:rsid w:val="007940BF"/>
    <w:rsid w:val="007940F0"/>
    <w:rsid w:val="007941D3"/>
    <w:rsid w:val="00794205"/>
    <w:rsid w:val="00794213"/>
    <w:rsid w:val="00794218"/>
    <w:rsid w:val="00794341"/>
    <w:rsid w:val="007944E5"/>
    <w:rsid w:val="00794573"/>
    <w:rsid w:val="007945A1"/>
    <w:rsid w:val="00794642"/>
    <w:rsid w:val="00794682"/>
    <w:rsid w:val="007946D6"/>
    <w:rsid w:val="00794718"/>
    <w:rsid w:val="0079476A"/>
    <w:rsid w:val="00794810"/>
    <w:rsid w:val="00794822"/>
    <w:rsid w:val="007948B5"/>
    <w:rsid w:val="00794987"/>
    <w:rsid w:val="00794A3C"/>
    <w:rsid w:val="00794A52"/>
    <w:rsid w:val="00794B35"/>
    <w:rsid w:val="00794B3B"/>
    <w:rsid w:val="00794B60"/>
    <w:rsid w:val="00794B71"/>
    <w:rsid w:val="00794CAA"/>
    <w:rsid w:val="00794DC0"/>
    <w:rsid w:val="00794DDC"/>
    <w:rsid w:val="00794E0E"/>
    <w:rsid w:val="00794E6D"/>
    <w:rsid w:val="00794EC0"/>
    <w:rsid w:val="00794EC5"/>
    <w:rsid w:val="00794EE8"/>
    <w:rsid w:val="00794F3B"/>
    <w:rsid w:val="00794FB1"/>
    <w:rsid w:val="00794FFF"/>
    <w:rsid w:val="00795006"/>
    <w:rsid w:val="00795066"/>
    <w:rsid w:val="00795134"/>
    <w:rsid w:val="00795162"/>
    <w:rsid w:val="007952B0"/>
    <w:rsid w:val="00795311"/>
    <w:rsid w:val="00795315"/>
    <w:rsid w:val="0079532B"/>
    <w:rsid w:val="0079544F"/>
    <w:rsid w:val="0079557A"/>
    <w:rsid w:val="007955AA"/>
    <w:rsid w:val="007955F9"/>
    <w:rsid w:val="00795636"/>
    <w:rsid w:val="007956A7"/>
    <w:rsid w:val="007956F1"/>
    <w:rsid w:val="00795714"/>
    <w:rsid w:val="00795724"/>
    <w:rsid w:val="00795782"/>
    <w:rsid w:val="007957CC"/>
    <w:rsid w:val="00795831"/>
    <w:rsid w:val="00795833"/>
    <w:rsid w:val="00795859"/>
    <w:rsid w:val="0079595A"/>
    <w:rsid w:val="007959F4"/>
    <w:rsid w:val="00795A34"/>
    <w:rsid w:val="00795A44"/>
    <w:rsid w:val="00795A4C"/>
    <w:rsid w:val="00795AA0"/>
    <w:rsid w:val="00795C65"/>
    <w:rsid w:val="00795D38"/>
    <w:rsid w:val="00795EE3"/>
    <w:rsid w:val="00795EF4"/>
    <w:rsid w:val="00795F64"/>
    <w:rsid w:val="0079607E"/>
    <w:rsid w:val="007960E2"/>
    <w:rsid w:val="00796142"/>
    <w:rsid w:val="00796152"/>
    <w:rsid w:val="007961DB"/>
    <w:rsid w:val="007961E8"/>
    <w:rsid w:val="007962CF"/>
    <w:rsid w:val="0079642F"/>
    <w:rsid w:val="00796524"/>
    <w:rsid w:val="0079657B"/>
    <w:rsid w:val="007965BE"/>
    <w:rsid w:val="007965DB"/>
    <w:rsid w:val="00796627"/>
    <w:rsid w:val="00796679"/>
    <w:rsid w:val="00796740"/>
    <w:rsid w:val="00796760"/>
    <w:rsid w:val="007967A7"/>
    <w:rsid w:val="007967D7"/>
    <w:rsid w:val="0079681F"/>
    <w:rsid w:val="00796826"/>
    <w:rsid w:val="00796904"/>
    <w:rsid w:val="007969B8"/>
    <w:rsid w:val="007969CB"/>
    <w:rsid w:val="00796B4C"/>
    <w:rsid w:val="00796B6B"/>
    <w:rsid w:val="00796C96"/>
    <w:rsid w:val="00796CBA"/>
    <w:rsid w:val="00796EBE"/>
    <w:rsid w:val="00796FCD"/>
    <w:rsid w:val="00796FD5"/>
    <w:rsid w:val="00797018"/>
    <w:rsid w:val="007970DA"/>
    <w:rsid w:val="007971A1"/>
    <w:rsid w:val="007971DC"/>
    <w:rsid w:val="007972BC"/>
    <w:rsid w:val="00797343"/>
    <w:rsid w:val="007974BD"/>
    <w:rsid w:val="00797512"/>
    <w:rsid w:val="00797561"/>
    <w:rsid w:val="007975CC"/>
    <w:rsid w:val="007975EC"/>
    <w:rsid w:val="007975ED"/>
    <w:rsid w:val="0079769B"/>
    <w:rsid w:val="00797712"/>
    <w:rsid w:val="00797737"/>
    <w:rsid w:val="007977B4"/>
    <w:rsid w:val="007979B9"/>
    <w:rsid w:val="00797A78"/>
    <w:rsid w:val="00797A9F"/>
    <w:rsid w:val="00797B64"/>
    <w:rsid w:val="00797B7E"/>
    <w:rsid w:val="00797D1F"/>
    <w:rsid w:val="00797DA0"/>
    <w:rsid w:val="00797DFF"/>
    <w:rsid w:val="00797E02"/>
    <w:rsid w:val="00797E78"/>
    <w:rsid w:val="00797E99"/>
    <w:rsid w:val="00797ED4"/>
    <w:rsid w:val="00797EE6"/>
    <w:rsid w:val="00797EFF"/>
    <w:rsid w:val="00797F46"/>
    <w:rsid w:val="00797F4B"/>
    <w:rsid w:val="00797F67"/>
    <w:rsid w:val="00797F9C"/>
    <w:rsid w:val="007A0045"/>
    <w:rsid w:val="007A008F"/>
    <w:rsid w:val="007A00CA"/>
    <w:rsid w:val="007A0213"/>
    <w:rsid w:val="007A034A"/>
    <w:rsid w:val="007A0360"/>
    <w:rsid w:val="007A0370"/>
    <w:rsid w:val="007A03C9"/>
    <w:rsid w:val="007A03DB"/>
    <w:rsid w:val="007A0406"/>
    <w:rsid w:val="007A0453"/>
    <w:rsid w:val="007A0457"/>
    <w:rsid w:val="007A047B"/>
    <w:rsid w:val="007A04A1"/>
    <w:rsid w:val="007A0509"/>
    <w:rsid w:val="007A0523"/>
    <w:rsid w:val="007A0550"/>
    <w:rsid w:val="007A0551"/>
    <w:rsid w:val="007A0556"/>
    <w:rsid w:val="007A0573"/>
    <w:rsid w:val="007A05F0"/>
    <w:rsid w:val="007A0611"/>
    <w:rsid w:val="007A06B7"/>
    <w:rsid w:val="007A072E"/>
    <w:rsid w:val="007A0767"/>
    <w:rsid w:val="007A07B8"/>
    <w:rsid w:val="007A084E"/>
    <w:rsid w:val="007A0859"/>
    <w:rsid w:val="007A088F"/>
    <w:rsid w:val="007A08DC"/>
    <w:rsid w:val="007A08EB"/>
    <w:rsid w:val="007A0992"/>
    <w:rsid w:val="007A0998"/>
    <w:rsid w:val="007A09D6"/>
    <w:rsid w:val="007A0A30"/>
    <w:rsid w:val="007A0A48"/>
    <w:rsid w:val="007A0A83"/>
    <w:rsid w:val="007A0B51"/>
    <w:rsid w:val="007A0B97"/>
    <w:rsid w:val="007A0BF2"/>
    <w:rsid w:val="007A0C34"/>
    <w:rsid w:val="007A0D61"/>
    <w:rsid w:val="007A0D94"/>
    <w:rsid w:val="007A0E03"/>
    <w:rsid w:val="007A0E0F"/>
    <w:rsid w:val="007A0E3F"/>
    <w:rsid w:val="007A0EBD"/>
    <w:rsid w:val="007A0EC4"/>
    <w:rsid w:val="007A0ED8"/>
    <w:rsid w:val="007A0F5F"/>
    <w:rsid w:val="007A0FDB"/>
    <w:rsid w:val="007A1061"/>
    <w:rsid w:val="007A1082"/>
    <w:rsid w:val="007A10B7"/>
    <w:rsid w:val="007A10D4"/>
    <w:rsid w:val="007A10FE"/>
    <w:rsid w:val="007A1117"/>
    <w:rsid w:val="007A1147"/>
    <w:rsid w:val="007A12E5"/>
    <w:rsid w:val="007A132A"/>
    <w:rsid w:val="007A1334"/>
    <w:rsid w:val="007A1344"/>
    <w:rsid w:val="007A1370"/>
    <w:rsid w:val="007A1375"/>
    <w:rsid w:val="007A1487"/>
    <w:rsid w:val="007A14A8"/>
    <w:rsid w:val="007A156A"/>
    <w:rsid w:val="007A15A3"/>
    <w:rsid w:val="007A1640"/>
    <w:rsid w:val="007A1644"/>
    <w:rsid w:val="007A167C"/>
    <w:rsid w:val="007A16EB"/>
    <w:rsid w:val="007A175E"/>
    <w:rsid w:val="007A1771"/>
    <w:rsid w:val="007A1782"/>
    <w:rsid w:val="007A17D5"/>
    <w:rsid w:val="007A1897"/>
    <w:rsid w:val="007A18B5"/>
    <w:rsid w:val="007A18FC"/>
    <w:rsid w:val="007A18FF"/>
    <w:rsid w:val="007A190A"/>
    <w:rsid w:val="007A19F6"/>
    <w:rsid w:val="007A1AF9"/>
    <w:rsid w:val="007A1AFC"/>
    <w:rsid w:val="007A1BCE"/>
    <w:rsid w:val="007A1C20"/>
    <w:rsid w:val="007A1CA1"/>
    <w:rsid w:val="007A1D55"/>
    <w:rsid w:val="007A1DB5"/>
    <w:rsid w:val="007A1E0B"/>
    <w:rsid w:val="007A1E2B"/>
    <w:rsid w:val="007A1E4B"/>
    <w:rsid w:val="007A1E4C"/>
    <w:rsid w:val="007A1EEE"/>
    <w:rsid w:val="007A1F3C"/>
    <w:rsid w:val="007A1F70"/>
    <w:rsid w:val="007A1F9C"/>
    <w:rsid w:val="007A1FCD"/>
    <w:rsid w:val="007A1FCE"/>
    <w:rsid w:val="007A2040"/>
    <w:rsid w:val="007A20E3"/>
    <w:rsid w:val="007A21D8"/>
    <w:rsid w:val="007A2272"/>
    <w:rsid w:val="007A2321"/>
    <w:rsid w:val="007A2353"/>
    <w:rsid w:val="007A236B"/>
    <w:rsid w:val="007A23BC"/>
    <w:rsid w:val="007A24CF"/>
    <w:rsid w:val="007A2506"/>
    <w:rsid w:val="007A2587"/>
    <w:rsid w:val="007A26FB"/>
    <w:rsid w:val="007A27ED"/>
    <w:rsid w:val="007A2814"/>
    <w:rsid w:val="007A2849"/>
    <w:rsid w:val="007A2864"/>
    <w:rsid w:val="007A2869"/>
    <w:rsid w:val="007A28B3"/>
    <w:rsid w:val="007A296F"/>
    <w:rsid w:val="007A2A5A"/>
    <w:rsid w:val="007A2A5C"/>
    <w:rsid w:val="007A2A75"/>
    <w:rsid w:val="007A2AB0"/>
    <w:rsid w:val="007A2BA5"/>
    <w:rsid w:val="007A2C19"/>
    <w:rsid w:val="007A2CA5"/>
    <w:rsid w:val="007A2CCA"/>
    <w:rsid w:val="007A2D6F"/>
    <w:rsid w:val="007A2D7A"/>
    <w:rsid w:val="007A2DA3"/>
    <w:rsid w:val="007A2DF0"/>
    <w:rsid w:val="007A2E94"/>
    <w:rsid w:val="007A2EC3"/>
    <w:rsid w:val="007A307C"/>
    <w:rsid w:val="007A3135"/>
    <w:rsid w:val="007A3137"/>
    <w:rsid w:val="007A314C"/>
    <w:rsid w:val="007A31BE"/>
    <w:rsid w:val="007A326A"/>
    <w:rsid w:val="007A3340"/>
    <w:rsid w:val="007A33C8"/>
    <w:rsid w:val="007A3475"/>
    <w:rsid w:val="007A34F6"/>
    <w:rsid w:val="007A357C"/>
    <w:rsid w:val="007A3586"/>
    <w:rsid w:val="007A35A0"/>
    <w:rsid w:val="007A3615"/>
    <w:rsid w:val="007A36E1"/>
    <w:rsid w:val="007A37A4"/>
    <w:rsid w:val="007A37FB"/>
    <w:rsid w:val="007A3885"/>
    <w:rsid w:val="007A38A4"/>
    <w:rsid w:val="007A38EA"/>
    <w:rsid w:val="007A397C"/>
    <w:rsid w:val="007A39B0"/>
    <w:rsid w:val="007A3A9B"/>
    <w:rsid w:val="007A3AAE"/>
    <w:rsid w:val="007A3AB9"/>
    <w:rsid w:val="007A3ABE"/>
    <w:rsid w:val="007A3B1A"/>
    <w:rsid w:val="007A3B21"/>
    <w:rsid w:val="007A3B42"/>
    <w:rsid w:val="007A3B5B"/>
    <w:rsid w:val="007A3BAF"/>
    <w:rsid w:val="007A3BF5"/>
    <w:rsid w:val="007A3C05"/>
    <w:rsid w:val="007A3CB1"/>
    <w:rsid w:val="007A3CB5"/>
    <w:rsid w:val="007A3D94"/>
    <w:rsid w:val="007A3DA1"/>
    <w:rsid w:val="007A3DA2"/>
    <w:rsid w:val="007A3DA7"/>
    <w:rsid w:val="007A3F6D"/>
    <w:rsid w:val="007A4011"/>
    <w:rsid w:val="007A40E2"/>
    <w:rsid w:val="007A4204"/>
    <w:rsid w:val="007A4264"/>
    <w:rsid w:val="007A42E3"/>
    <w:rsid w:val="007A42E7"/>
    <w:rsid w:val="007A4370"/>
    <w:rsid w:val="007A443B"/>
    <w:rsid w:val="007A4525"/>
    <w:rsid w:val="007A46BD"/>
    <w:rsid w:val="007A46E5"/>
    <w:rsid w:val="007A4762"/>
    <w:rsid w:val="007A47A2"/>
    <w:rsid w:val="007A4841"/>
    <w:rsid w:val="007A488A"/>
    <w:rsid w:val="007A4891"/>
    <w:rsid w:val="007A48FA"/>
    <w:rsid w:val="007A491C"/>
    <w:rsid w:val="007A499A"/>
    <w:rsid w:val="007A4A3C"/>
    <w:rsid w:val="007A4AB3"/>
    <w:rsid w:val="007A4AF3"/>
    <w:rsid w:val="007A4B36"/>
    <w:rsid w:val="007A4BAF"/>
    <w:rsid w:val="007A4D24"/>
    <w:rsid w:val="007A4D70"/>
    <w:rsid w:val="007A4D7C"/>
    <w:rsid w:val="007A4DE0"/>
    <w:rsid w:val="007A4DF4"/>
    <w:rsid w:val="007A4E95"/>
    <w:rsid w:val="007A4F0C"/>
    <w:rsid w:val="007A4F8E"/>
    <w:rsid w:val="007A509F"/>
    <w:rsid w:val="007A510E"/>
    <w:rsid w:val="007A5192"/>
    <w:rsid w:val="007A51E3"/>
    <w:rsid w:val="007A51EF"/>
    <w:rsid w:val="007A5429"/>
    <w:rsid w:val="007A54A3"/>
    <w:rsid w:val="007A5563"/>
    <w:rsid w:val="007A557C"/>
    <w:rsid w:val="007A55EA"/>
    <w:rsid w:val="007A561A"/>
    <w:rsid w:val="007A5652"/>
    <w:rsid w:val="007A567C"/>
    <w:rsid w:val="007A571C"/>
    <w:rsid w:val="007A574A"/>
    <w:rsid w:val="007A57AB"/>
    <w:rsid w:val="007A5822"/>
    <w:rsid w:val="007A58A3"/>
    <w:rsid w:val="007A58A6"/>
    <w:rsid w:val="007A59E6"/>
    <w:rsid w:val="007A5A16"/>
    <w:rsid w:val="007A5A6F"/>
    <w:rsid w:val="007A5AC6"/>
    <w:rsid w:val="007A5B1D"/>
    <w:rsid w:val="007A5BC6"/>
    <w:rsid w:val="007A5BEE"/>
    <w:rsid w:val="007A5BFF"/>
    <w:rsid w:val="007A5D2F"/>
    <w:rsid w:val="007A5D7E"/>
    <w:rsid w:val="007A5E4A"/>
    <w:rsid w:val="007A5E68"/>
    <w:rsid w:val="007A5E79"/>
    <w:rsid w:val="007A5F3F"/>
    <w:rsid w:val="007A620E"/>
    <w:rsid w:val="007A627B"/>
    <w:rsid w:val="007A62C8"/>
    <w:rsid w:val="007A62C9"/>
    <w:rsid w:val="007A62DB"/>
    <w:rsid w:val="007A6311"/>
    <w:rsid w:val="007A6363"/>
    <w:rsid w:val="007A6377"/>
    <w:rsid w:val="007A6485"/>
    <w:rsid w:val="007A64B0"/>
    <w:rsid w:val="007A64BA"/>
    <w:rsid w:val="007A6532"/>
    <w:rsid w:val="007A65D4"/>
    <w:rsid w:val="007A6624"/>
    <w:rsid w:val="007A66DA"/>
    <w:rsid w:val="007A6719"/>
    <w:rsid w:val="007A671F"/>
    <w:rsid w:val="007A6737"/>
    <w:rsid w:val="007A676D"/>
    <w:rsid w:val="007A68CA"/>
    <w:rsid w:val="007A696F"/>
    <w:rsid w:val="007A6A2A"/>
    <w:rsid w:val="007A6A3E"/>
    <w:rsid w:val="007A6A55"/>
    <w:rsid w:val="007A6B4E"/>
    <w:rsid w:val="007A6C7E"/>
    <w:rsid w:val="007A6C9D"/>
    <w:rsid w:val="007A6C9F"/>
    <w:rsid w:val="007A6EA4"/>
    <w:rsid w:val="007A6F76"/>
    <w:rsid w:val="007A6FE1"/>
    <w:rsid w:val="007A7004"/>
    <w:rsid w:val="007A7019"/>
    <w:rsid w:val="007A7053"/>
    <w:rsid w:val="007A7071"/>
    <w:rsid w:val="007A70CE"/>
    <w:rsid w:val="007A713E"/>
    <w:rsid w:val="007A717A"/>
    <w:rsid w:val="007A7197"/>
    <w:rsid w:val="007A71C0"/>
    <w:rsid w:val="007A725E"/>
    <w:rsid w:val="007A7310"/>
    <w:rsid w:val="007A7315"/>
    <w:rsid w:val="007A7345"/>
    <w:rsid w:val="007A7466"/>
    <w:rsid w:val="007A74FA"/>
    <w:rsid w:val="007A7548"/>
    <w:rsid w:val="007A7557"/>
    <w:rsid w:val="007A77F3"/>
    <w:rsid w:val="007A782B"/>
    <w:rsid w:val="007A782F"/>
    <w:rsid w:val="007A7876"/>
    <w:rsid w:val="007A793C"/>
    <w:rsid w:val="007A7962"/>
    <w:rsid w:val="007A7970"/>
    <w:rsid w:val="007A7973"/>
    <w:rsid w:val="007A79C3"/>
    <w:rsid w:val="007A7B1B"/>
    <w:rsid w:val="007A7B95"/>
    <w:rsid w:val="007A7C2C"/>
    <w:rsid w:val="007A7C41"/>
    <w:rsid w:val="007A7C76"/>
    <w:rsid w:val="007A7C9F"/>
    <w:rsid w:val="007A7CAF"/>
    <w:rsid w:val="007A7CE5"/>
    <w:rsid w:val="007A7D9E"/>
    <w:rsid w:val="007A7DA9"/>
    <w:rsid w:val="007A7DEA"/>
    <w:rsid w:val="007A7E15"/>
    <w:rsid w:val="007A7E7B"/>
    <w:rsid w:val="007A7ECD"/>
    <w:rsid w:val="007A7F5A"/>
    <w:rsid w:val="007A7FED"/>
    <w:rsid w:val="007B0043"/>
    <w:rsid w:val="007B0069"/>
    <w:rsid w:val="007B007E"/>
    <w:rsid w:val="007B00B7"/>
    <w:rsid w:val="007B00CE"/>
    <w:rsid w:val="007B0172"/>
    <w:rsid w:val="007B0187"/>
    <w:rsid w:val="007B01D7"/>
    <w:rsid w:val="007B01DD"/>
    <w:rsid w:val="007B02A3"/>
    <w:rsid w:val="007B02B2"/>
    <w:rsid w:val="007B033C"/>
    <w:rsid w:val="007B0396"/>
    <w:rsid w:val="007B03EC"/>
    <w:rsid w:val="007B0425"/>
    <w:rsid w:val="007B043D"/>
    <w:rsid w:val="007B04A5"/>
    <w:rsid w:val="007B0507"/>
    <w:rsid w:val="007B0514"/>
    <w:rsid w:val="007B0524"/>
    <w:rsid w:val="007B0676"/>
    <w:rsid w:val="007B071F"/>
    <w:rsid w:val="007B08CC"/>
    <w:rsid w:val="007B08F2"/>
    <w:rsid w:val="007B0917"/>
    <w:rsid w:val="007B0941"/>
    <w:rsid w:val="007B0951"/>
    <w:rsid w:val="007B0957"/>
    <w:rsid w:val="007B09BA"/>
    <w:rsid w:val="007B0AF7"/>
    <w:rsid w:val="007B0B34"/>
    <w:rsid w:val="007B0B9B"/>
    <w:rsid w:val="007B0BA4"/>
    <w:rsid w:val="007B0C11"/>
    <w:rsid w:val="007B0C79"/>
    <w:rsid w:val="007B0CD0"/>
    <w:rsid w:val="007B0DC8"/>
    <w:rsid w:val="007B0E8F"/>
    <w:rsid w:val="007B0F2E"/>
    <w:rsid w:val="007B0F36"/>
    <w:rsid w:val="007B0F78"/>
    <w:rsid w:val="007B106A"/>
    <w:rsid w:val="007B10B2"/>
    <w:rsid w:val="007B10E6"/>
    <w:rsid w:val="007B112B"/>
    <w:rsid w:val="007B1195"/>
    <w:rsid w:val="007B11F5"/>
    <w:rsid w:val="007B120C"/>
    <w:rsid w:val="007B1248"/>
    <w:rsid w:val="007B12BF"/>
    <w:rsid w:val="007B12C1"/>
    <w:rsid w:val="007B1357"/>
    <w:rsid w:val="007B1396"/>
    <w:rsid w:val="007B13E1"/>
    <w:rsid w:val="007B1455"/>
    <w:rsid w:val="007B147B"/>
    <w:rsid w:val="007B14DF"/>
    <w:rsid w:val="007B17FB"/>
    <w:rsid w:val="007B1821"/>
    <w:rsid w:val="007B1886"/>
    <w:rsid w:val="007B1907"/>
    <w:rsid w:val="007B1960"/>
    <w:rsid w:val="007B1AC7"/>
    <w:rsid w:val="007B1AC9"/>
    <w:rsid w:val="007B1B0F"/>
    <w:rsid w:val="007B1B27"/>
    <w:rsid w:val="007B1B33"/>
    <w:rsid w:val="007B1B83"/>
    <w:rsid w:val="007B1BA0"/>
    <w:rsid w:val="007B1BA2"/>
    <w:rsid w:val="007B1D58"/>
    <w:rsid w:val="007B1D75"/>
    <w:rsid w:val="007B1DAA"/>
    <w:rsid w:val="007B1E1A"/>
    <w:rsid w:val="007B1E44"/>
    <w:rsid w:val="007B1ECA"/>
    <w:rsid w:val="007B1EED"/>
    <w:rsid w:val="007B1F07"/>
    <w:rsid w:val="007B1F68"/>
    <w:rsid w:val="007B207E"/>
    <w:rsid w:val="007B2102"/>
    <w:rsid w:val="007B2153"/>
    <w:rsid w:val="007B2175"/>
    <w:rsid w:val="007B220B"/>
    <w:rsid w:val="007B2215"/>
    <w:rsid w:val="007B22A5"/>
    <w:rsid w:val="007B2306"/>
    <w:rsid w:val="007B2327"/>
    <w:rsid w:val="007B23E7"/>
    <w:rsid w:val="007B2410"/>
    <w:rsid w:val="007B24D9"/>
    <w:rsid w:val="007B2549"/>
    <w:rsid w:val="007B2555"/>
    <w:rsid w:val="007B264E"/>
    <w:rsid w:val="007B26E3"/>
    <w:rsid w:val="007B27A2"/>
    <w:rsid w:val="007B27BD"/>
    <w:rsid w:val="007B2843"/>
    <w:rsid w:val="007B2865"/>
    <w:rsid w:val="007B288A"/>
    <w:rsid w:val="007B2AA9"/>
    <w:rsid w:val="007B2AB7"/>
    <w:rsid w:val="007B2AC3"/>
    <w:rsid w:val="007B2B31"/>
    <w:rsid w:val="007B2B79"/>
    <w:rsid w:val="007B2E1B"/>
    <w:rsid w:val="007B2F04"/>
    <w:rsid w:val="007B2F3D"/>
    <w:rsid w:val="007B2F45"/>
    <w:rsid w:val="007B2F61"/>
    <w:rsid w:val="007B2FED"/>
    <w:rsid w:val="007B30DD"/>
    <w:rsid w:val="007B3117"/>
    <w:rsid w:val="007B3120"/>
    <w:rsid w:val="007B3157"/>
    <w:rsid w:val="007B316E"/>
    <w:rsid w:val="007B3179"/>
    <w:rsid w:val="007B31E4"/>
    <w:rsid w:val="007B3218"/>
    <w:rsid w:val="007B3281"/>
    <w:rsid w:val="007B32BD"/>
    <w:rsid w:val="007B32FA"/>
    <w:rsid w:val="007B3403"/>
    <w:rsid w:val="007B34FA"/>
    <w:rsid w:val="007B3510"/>
    <w:rsid w:val="007B354F"/>
    <w:rsid w:val="007B361F"/>
    <w:rsid w:val="007B3677"/>
    <w:rsid w:val="007B36D8"/>
    <w:rsid w:val="007B3740"/>
    <w:rsid w:val="007B3778"/>
    <w:rsid w:val="007B3788"/>
    <w:rsid w:val="007B37A8"/>
    <w:rsid w:val="007B3811"/>
    <w:rsid w:val="007B38A9"/>
    <w:rsid w:val="007B38BF"/>
    <w:rsid w:val="007B38C2"/>
    <w:rsid w:val="007B395B"/>
    <w:rsid w:val="007B3A20"/>
    <w:rsid w:val="007B3AB2"/>
    <w:rsid w:val="007B3B46"/>
    <w:rsid w:val="007B3BDF"/>
    <w:rsid w:val="007B3CD4"/>
    <w:rsid w:val="007B3CD6"/>
    <w:rsid w:val="007B3CE9"/>
    <w:rsid w:val="007B3D68"/>
    <w:rsid w:val="007B3DA6"/>
    <w:rsid w:val="007B3DCC"/>
    <w:rsid w:val="007B3DCD"/>
    <w:rsid w:val="007B3EA2"/>
    <w:rsid w:val="007B3F3F"/>
    <w:rsid w:val="007B3F5B"/>
    <w:rsid w:val="007B3F63"/>
    <w:rsid w:val="007B414C"/>
    <w:rsid w:val="007B4184"/>
    <w:rsid w:val="007B41D1"/>
    <w:rsid w:val="007B4277"/>
    <w:rsid w:val="007B4289"/>
    <w:rsid w:val="007B43DA"/>
    <w:rsid w:val="007B4460"/>
    <w:rsid w:val="007B451A"/>
    <w:rsid w:val="007B4539"/>
    <w:rsid w:val="007B45B1"/>
    <w:rsid w:val="007B466D"/>
    <w:rsid w:val="007B476E"/>
    <w:rsid w:val="007B47E4"/>
    <w:rsid w:val="007B47F2"/>
    <w:rsid w:val="007B4803"/>
    <w:rsid w:val="007B482D"/>
    <w:rsid w:val="007B4864"/>
    <w:rsid w:val="007B48B9"/>
    <w:rsid w:val="007B4939"/>
    <w:rsid w:val="007B4A3D"/>
    <w:rsid w:val="007B4B36"/>
    <w:rsid w:val="007B4C31"/>
    <w:rsid w:val="007B4C38"/>
    <w:rsid w:val="007B4C82"/>
    <w:rsid w:val="007B4C93"/>
    <w:rsid w:val="007B4CCF"/>
    <w:rsid w:val="007B4CD0"/>
    <w:rsid w:val="007B4DA1"/>
    <w:rsid w:val="007B4DE0"/>
    <w:rsid w:val="007B4EAF"/>
    <w:rsid w:val="007B4EC9"/>
    <w:rsid w:val="007B4F76"/>
    <w:rsid w:val="007B4FB0"/>
    <w:rsid w:val="007B5272"/>
    <w:rsid w:val="007B52BC"/>
    <w:rsid w:val="007B52EC"/>
    <w:rsid w:val="007B53CF"/>
    <w:rsid w:val="007B541E"/>
    <w:rsid w:val="007B5476"/>
    <w:rsid w:val="007B54BD"/>
    <w:rsid w:val="007B5532"/>
    <w:rsid w:val="007B5534"/>
    <w:rsid w:val="007B5558"/>
    <w:rsid w:val="007B55A9"/>
    <w:rsid w:val="007B55CF"/>
    <w:rsid w:val="007B5683"/>
    <w:rsid w:val="007B56C8"/>
    <w:rsid w:val="007B571F"/>
    <w:rsid w:val="007B573E"/>
    <w:rsid w:val="007B5748"/>
    <w:rsid w:val="007B579F"/>
    <w:rsid w:val="007B57B2"/>
    <w:rsid w:val="007B5862"/>
    <w:rsid w:val="007B5888"/>
    <w:rsid w:val="007B588B"/>
    <w:rsid w:val="007B589F"/>
    <w:rsid w:val="007B5955"/>
    <w:rsid w:val="007B597E"/>
    <w:rsid w:val="007B597F"/>
    <w:rsid w:val="007B59D8"/>
    <w:rsid w:val="007B5A3C"/>
    <w:rsid w:val="007B5C1D"/>
    <w:rsid w:val="007B5C52"/>
    <w:rsid w:val="007B5D6E"/>
    <w:rsid w:val="007B5DA3"/>
    <w:rsid w:val="007B5DF3"/>
    <w:rsid w:val="007B5EA0"/>
    <w:rsid w:val="007B5EAF"/>
    <w:rsid w:val="007B5F1C"/>
    <w:rsid w:val="007B5F88"/>
    <w:rsid w:val="007B602B"/>
    <w:rsid w:val="007B60AB"/>
    <w:rsid w:val="007B6170"/>
    <w:rsid w:val="007B61AB"/>
    <w:rsid w:val="007B61B1"/>
    <w:rsid w:val="007B6228"/>
    <w:rsid w:val="007B62FE"/>
    <w:rsid w:val="007B632C"/>
    <w:rsid w:val="007B6396"/>
    <w:rsid w:val="007B6461"/>
    <w:rsid w:val="007B64C3"/>
    <w:rsid w:val="007B6511"/>
    <w:rsid w:val="007B65C6"/>
    <w:rsid w:val="007B65D7"/>
    <w:rsid w:val="007B6673"/>
    <w:rsid w:val="007B66B1"/>
    <w:rsid w:val="007B66E7"/>
    <w:rsid w:val="007B673D"/>
    <w:rsid w:val="007B67C6"/>
    <w:rsid w:val="007B6807"/>
    <w:rsid w:val="007B68B6"/>
    <w:rsid w:val="007B6923"/>
    <w:rsid w:val="007B692C"/>
    <w:rsid w:val="007B6937"/>
    <w:rsid w:val="007B69B0"/>
    <w:rsid w:val="007B6A2A"/>
    <w:rsid w:val="007B6A4B"/>
    <w:rsid w:val="007B6A61"/>
    <w:rsid w:val="007B6B64"/>
    <w:rsid w:val="007B6B7A"/>
    <w:rsid w:val="007B6C2A"/>
    <w:rsid w:val="007B6C8B"/>
    <w:rsid w:val="007B6D5C"/>
    <w:rsid w:val="007B6D66"/>
    <w:rsid w:val="007B6D6B"/>
    <w:rsid w:val="007B6D8A"/>
    <w:rsid w:val="007B6F2D"/>
    <w:rsid w:val="007B6FB0"/>
    <w:rsid w:val="007B6FBF"/>
    <w:rsid w:val="007B70C0"/>
    <w:rsid w:val="007B729D"/>
    <w:rsid w:val="007B73E9"/>
    <w:rsid w:val="007B7439"/>
    <w:rsid w:val="007B7482"/>
    <w:rsid w:val="007B74A2"/>
    <w:rsid w:val="007B74A7"/>
    <w:rsid w:val="007B74A8"/>
    <w:rsid w:val="007B74BA"/>
    <w:rsid w:val="007B7512"/>
    <w:rsid w:val="007B7588"/>
    <w:rsid w:val="007B759D"/>
    <w:rsid w:val="007B766D"/>
    <w:rsid w:val="007B7816"/>
    <w:rsid w:val="007B7927"/>
    <w:rsid w:val="007B7937"/>
    <w:rsid w:val="007B7A09"/>
    <w:rsid w:val="007B7A36"/>
    <w:rsid w:val="007B7A50"/>
    <w:rsid w:val="007B7ADE"/>
    <w:rsid w:val="007B7AF8"/>
    <w:rsid w:val="007B7C30"/>
    <w:rsid w:val="007B7DB1"/>
    <w:rsid w:val="007B7DD9"/>
    <w:rsid w:val="007B7E83"/>
    <w:rsid w:val="007B7E99"/>
    <w:rsid w:val="007B7EEA"/>
    <w:rsid w:val="007B7EF4"/>
    <w:rsid w:val="007B7EF5"/>
    <w:rsid w:val="007C007C"/>
    <w:rsid w:val="007C00E0"/>
    <w:rsid w:val="007C00E1"/>
    <w:rsid w:val="007C0106"/>
    <w:rsid w:val="007C015B"/>
    <w:rsid w:val="007C018E"/>
    <w:rsid w:val="007C0197"/>
    <w:rsid w:val="007C01E3"/>
    <w:rsid w:val="007C01E5"/>
    <w:rsid w:val="007C026F"/>
    <w:rsid w:val="007C02E1"/>
    <w:rsid w:val="007C02EF"/>
    <w:rsid w:val="007C039F"/>
    <w:rsid w:val="007C0418"/>
    <w:rsid w:val="007C0438"/>
    <w:rsid w:val="007C07CB"/>
    <w:rsid w:val="007C0847"/>
    <w:rsid w:val="007C0848"/>
    <w:rsid w:val="007C089C"/>
    <w:rsid w:val="007C08C1"/>
    <w:rsid w:val="007C09A6"/>
    <w:rsid w:val="007C0A3F"/>
    <w:rsid w:val="007C0AA4"/>
    <w:rsid w:val="007C0B1C"/>
    <w:rsid w:val="007C0BD8"/>
    <w:rsid w:val="007C0C37"/>
    <w:rsid w:val="007C0C8B"/>
    <w:rsid w:val="007C0D1E"/>
    <w:rsid w:val="007C0D2C"/>
    <w:rsid w:val="007C0D49"/>
    <w:rsid w:val="007C0D5E"/>
    <w:rsid w:val="007C0DD4"/>
    <w:rsid w:val="007C0ED8"/>
    <w:rsid w:val="007C101B"/>
    <w:rsid w:val="007C1020"/>
    <w:rsid w:val="007C10AB"/>
    <w:rsid w:val="007C11A8"/>
    <w:rsid w:val="007C11BF"/>
    <w:rsid w:val="007C1237"/>
    <w:rsid w:val="007C1244"/>
    <w:rsid w:val="007C1257"/>
    <w:rsid w:val="007C128A"/>
    <w:rsid w:val="007C131C"/>
    <w:rsid w:val="007C1355"/>
    <w:rsid w:val="007C1362"/>
    <w:rsid w:val="007C13B5"/>
    <w:rsid w:val="007C14A1"/>
    <w:rsid w:val="007C1541"/>
    <w:rsid w:val="007C16E7"/>
    <w:rsid w:val="007C1726"/>
    <w:rsid w:val="007C1797"/>
    <w:rsid w:val="007C17E6"/>
    <w:rsid w:val="007C182B"/>
    <w:rsid w:val="007C1890"/>
    <w:rsid w:val="007C18BC"/>
    <w:rsid w:val="007C18BF"/>
    <w:rsid w:val="007C1960"/>
    <w:rsid w:val="007C19C1"/>
    <w:rsid w:val="007C19E4"/>
    <w:rsid w:val="007C1A48"/>
    <w:rsid w:val="007C1A8B"/>
    <w:rsid w:val="007C1AC2"/>
    <w:rsid w:val="007C1ADA"/>
    <w:rsid w:val="007C1B1F"/>
    <w:rsid w:val="007C1B89"/>
    <w:rsid w:val="007C1D2D"/>
    <w:rsid w:val="007C1EAF"/>
    <w:rsid w:val="007C1EE8"/>
    <w:rsid w:val="007C1EE9"/>
    <w:rsid w:val="007C1F7E"/>
    <w:rsid w:val="007C2035"/>
    <w:rsid w:val="007C2040"/>
    <w:rsid w:val="007C20D6"/>
    <w:rsid w:val="007C20DE"/>
    <w:rsid w:val="007C2133"/>
    <w:rsid w:val="007C218E"/>
    <w:rsid w:val="007C21ED"/>
    <w:rsid w:val="007C223F"/>
    <w:rsid w:val="007C2244"/>
    <w:rsid w:val="007C226B"/>
    <w:rsid w:val="007C2312"/>
    <w:rsid w:val="007C23E9"/>
    <w:rsid w:val="007C245A"/>
    <w:rsid w:val="007C254D"/>
    <w:rsid w:val="007C25A6"/>
    <w:rsid w:val="007C26C5"/>
    <w:rsid w:val="007C271B"/>
    <w:rsid w:val="007C288B"/>
    <w:rsid w:val="007C28C0"/>
    <w:rsid w:val="007C28D4"/>
    <w:rsid w:val="007C2926"/>
    <w:rsid w:val="007C295F"/>
    <w:rsid w:val="007C29D2"/>
    <w:rsid w:val="007C29FC"/>
    <w:rsid w:val="007C2A7E"/>
    <w:rsid w:val="007C2A91"/>
    <w:rsid w:val="007C2ACA"/>
    <w:rsid w:val="007C2AF1"/>
    <w:rsid w:val="007C2B42"/>
    <w:rsid w:val="007C2C81"/>
    <w:rsid w:val="007C2D62"/>
    <w:rsid w:val="007C2E7E"/>
    <w:rsid w:val="007C2E86"/>
    <w:rsid w:val="007C2EF4"/>
    <w:rsid w:val="007C2F56"/>
    <w:rsid w:val="007C2FA0"/>
    <w:rsid w:val="007C2FFF"/>
    <w:rsid w:val="007C301A"/>
    <w:rsid w:val="007C3078"/>
    <w:rsid w:val="007C30AA"/>
    <w:rsid w:val="007C30DB"/>
    <w:rsid w:val="007C31B6"/>
    <w:rsid w:val="007C3254"/>
    <w:rsid w:val="007C32DB"/>
    <w:rsid w:val="007C32E4"/>
    <w:rsid w:val="007C3399"/>
    <w:rsid w:val="007C339B"/>
    <w:rsid w:val="007C3419"/>
    <w:rsid w:val="007C3443"/>
    <w:rsid w:val="007C34A3"/>
    <w:rsid w:val="007C34BA"/>
    <w:rsid w:val="007C3579"/>
    <w:rsid w:val="007C35CF"/>
    <w:rsid w:val="007C35FE"/>
    <w:rsid w:val="007C3656"/>
    <w:rsid w:val="007C365C"/>
    <w:rsid w:val="007C36B4"/>
    <w:rsid w:val="007C36C6"/>
    <w:rsid w:val="007C36DA"/>
    <w:rsid w:val="007C3714"/>
    <w:rsid w:val="007C38D8"/>
    <w:rsid w:val="007C397E"/>
    <w:rsid w:val="007C3A69"/>
    <w:rsid w:val="007C3B41"/>
    <w:rsid w:val="007C3B8C"/>
    <w:rsid w:val="007C3BB4"/>
    <w:rsid w:val="007C3BD6"/>
    <w:rsid w:val="007C3C03"/>
    <w:rsid w:val="007C3C0F"/>
    <w:rsid w:val="007C3C60"/>
    <w:rsid w:val="007C3C98"/>
    <w:rsid w:val="007C3E6C"/>
    <w:rsid w:val="007C3EB1"/>
    <w:rsid w:val="007C3EE9"/>
    <w:rsid w:val="007C3F19"/>
    <w:rsid w:val="007C3F88"/>
    <w:rsid w:val="007C4019"/>
    <w:rsid w:val="007C4078"/>
    <w:rsid w:val="007C423D"/>
    <w:rsid w:val="007C43B5"/>
    <w:rsid w:val="007C4414"/>
    <w:rsid w:val="007C441A"/>
    <w:rsid w:val="007C448C"/>
    <w:rsid w:val="007C4569"/>
    <w:rsid w:val="007C465D"/>
    <w:rsid w:val="007C4668"/>
    <w:rsid w:val="007C47B8"/>
    <w:rsid w:val="007C47C6"/>
    <w:rsid w:val="007C47D2"/>
    <w:rsid w:val="007C48C2"/>
    <w:rsid w:val="007C4957"/>
    <w:rsid w:val="007C4A1C"/>
    <w:rsid w:val="007C4A26"/>
    <w:rsid w:val="007C4A86"/>
    <w:rsid w:val="007C4B09"/>
    <w:rsid w:val="007C4B19"/>
    <w:rsid w:val="007C4BE8"/>
    <w:rsid w:val="007C4CEF"/>
    <w:rsid w:val="007C4E50"/>
    <w:rsid w:val="007C4EB8"/>
    <w:rsid w:val="007C4F31"/>
    <w:rsid w:val="007C50C8"/>
    <w:rsid w:val="007C512F"/>
    <w:rsid w:val="007C516A"/>
    <w:rsid w:val="007C51B4"/>
    <w:rsid w:val="007C51C5"/>
    <w:rsid w:val="007C5243"/>
    <w:rsid w:val="007C5251"/>
    <w:rsid w:val="007C5327"/>
    <w:rsid w:val="007C5349"/>
    <w:rsid w:val="007C535F"/>
    <w:rsid w:val="007C539B"/>
    <w:rsid w:val="007C5439"/>
    <w:rsid w:val="007C54B4"/>
    <w:rsid w:val="007C550A"/>
    <w:rsid w:val="007C5545"/>
    <w:rsid w:val="007C5572"/>
    <w:rsid w:val="007C55BF"/>
    <w:rsid w:val="007C55F1"/>
    <w:rsid w:val="007C5686"/>
    <w:rsid w:val="007C5785"/>
    <w:rsid w:val="007C5A60"/>
    <w:rsid w:val="007C5A8B"/>
    <w:rsid w:val="007C5B3E"/>
    <w:rsid w:val="007C5B60"/>
    <w:rsid w:val="007C5C10"/>
    <w:rsid w:val="007C5C7D"/>
    <w:rsid w:val="007C5D22"/>
    <w:rsid w:val="007C5D5A"/>
    <w:rsid w:val="007C5D99"/>
    <w:rsid w:val="007C5DD6"/>
    <w:rsid w:val="007C5DE7"/>
    <w:rsid w:val="007C5E44"/>
    <w:rsid w:val="007C5F6E"/>
    <w:rsid w:val="007C5FFD"/>
    <w:rsid w:val="007C6002"/>
    <w:rsid w:val="007C60CC"/>
    <w:rsid w:val="007C60D4"/>
    <w:rsid w:val="007C6152"/>
    <w:rsid w:val="007C61B7"/>
    <w:rsid w:val="007C61F7"/>
    <w:rsid w:val="007C62E3"/>
    <w:rsid w:val="007C6372"/>
    <w:rsid w:val="007C63CF"/>
    <w:rsid w:val="007C63F3"/>
    <w:rsid w:val="007C6446"/>
    <w:rsid w:val="007C64E9"/>
    <w:rsid w:val="007C64EC"/>
    <w:rsid w:val="007C64F9"/>
    <w:rsid w:val="007C651A"/>
    <w:rsid w:val="007C655F"/>
    <w:rsid w:val="007C65C4"/>
    <w:rsid w:val="007C6615"/>
    <w:rsid w:val="007C6852"/>
    <w:rsid w:val="007C6887"/>
    <w:rsid w:val="007C68C4"/>
    <w:rsid w:val="007C68D1"/>
    <w:rsid w:val="007C69F8"/>
    <w:rsid w:val="007C6A56"/>
    <w:rsid w:val="007C6AC2"/>
    <w:rsid w:val="007C6C0D"/>
    <w:rsid w:val="007C6C22"/>
    <w:rsid w:val="007C6C3C"/>
    <w:rsid w:val="007C6D6C"/>
    <w:rsid w:val="007C6EDE"/>
    <w:rsid w:val="007C6F4E"/>
    <w:rsid w:val="007C6F71"/>
    <w:rsid w:val="007C7019"/>
    <w:rsid w:val="007C7065"/>
    <w:rsid w:val="007C71A6"/>
    <w:rsid w:val="007C71B2"/>
    <w:rsid w:val="007C72EA"/>
    <w:rsid w:val="007C7332"/>
    <w:rsid w:val="007C7357"/>
    <w:rsid w:val="007C749A"/>
    <w:rsid w:val="007C7501"/>
    <w:rsid w:val="007C759C"/>
    <w:rsid w:val="007C75B6"/>
    <w:rsid w:val="007C779A"/>
    <w:rsid w:val="007C77CB"/>
    <w:rsid w:val="007C7814"/>
    <w:rsid w:val="007C786D"/>
    <w:rsid w:val="007C7995"/>
    <w:rsid w:val="007C79B8"/>
    <w:rsid w:val="007C79D8"/>
    <w:rsid w:val="007C7A98"/>
    <w:rsid w:val="007C7AC0"/>
    <w:rsid w:val="007C7AE9"/>
    <w:rsid w:val="007C7BB6"/>
    <w:rsid w:val="007C7BF7"/>
    <w:rsid w:val="007C7C36"/>
    <w:rsid w:val="007C7C61"/>
    <w:rsid w:val="007C7C7A"/>
    <w:rsid w:val="007C7CCD"/>
    <w:rsid w:val="007C7D69"/>
    <w:rsid w:val="007C7E15"/>
    <w:rsid w:val="007C7E43"/>
    <w:rsid w:val="007C7ED6"/>
    <w:rsid w:val="007C7F53"/>
    <w:rsid w:val="007C7F95"/>
    <w:rsid w:val="007C7FA3"/>
    <w:rsid w:val="007C7FB9"/>
    <w:rsid w:val="007D00AB"/>
    <w:rsid w:val="007D00B2"/>
    <w:rsid w:val="007D00B6"/>
    <w:rsid w:val="007D00D0"/>
    <w:rsid w:val="007D0117"/>
    <w:rsid w:val="007D0154"/>
    <w:rsid w:val="007D01A6"/>
    <w:rsid w:val="007D0267"/>
    <w:rsid w:val="007D02CA"/>
    <w:rsid w:val="007D0307"/>
    <w:rsid w:val="007D0352"/>
    <w:rsid w:val="007D03AD"/>
    <w:rsid w:val="007D03D5"/>
    <w:rsid w:val="007D04E9"/>
    <w:rsid w:val="007D0542"/>
    <w:rsid w:val="007D068F"/>
    <w:rsid w:val="007D06B1"/>
    <w:rsid w:val="007D06D4"/>
    <w:rsid w:val="007D07AB"/>
    <w:rsid w:val="007D07DD"/>
    <w:rsid w:val="007D0811"/>
    <w:rsid w:val="007D0954"/>
    <w:rsid w:val="007D097A"/>
    <w:rsid w:val="007D0AEE"/>
    <w:rsid w:val="007D0B07"/>
    <w:rsid w:val="007D0B53"/>
    <w:rsid w:val="007D0BAF"/>
    <w:rsid w:val="007D0CAD"/>
    <w:rsid w:val="007D0CC8"/>
    <w:rsid w:val="007D0CDD"/>
    <w:rsid w:val="007D0CF6"/>
    <w:rsid w:val="007D0D10"/>
    <w:rsid w:val="007D0D7D"/>
    <w:rsid w:val="007D0D9E"/>
    <w:rsid w:val="007D0DAA"/>
    <w:rsid w:val="007D0DBA"/>
    <w:rsid w:val="007D0E59"/>
    <w:rsid w:val="007D0F63"/>
    <w:rsid w:val="007D0FB0"/>
    <w:rsid w:val="007D0FCF"/>
    <w:rsid w:val="007D0FE1"/>
    <w:rsid w:val="007D0FE6"/>
    <w:rsid w:val="007D1014"/>
    <w:rsid w:val="007D1060"/>
    <w:rsid w:val="007D10CF"/>
    <w:rsid w:val="007D1161"/>
    <w:rsid w:val="007D11A2"/>
    <w:rsid w:val="007D1239"/>
    <w:rsid w:val="007D124B"/>
    <w:rsid w:val="007D125C"/>
    <w:rsid w:val="007D1283"/>
    <w:rsid w:val="007D12AE"/>
    <w:rsid w:val="007D1372"/>
    <w:rsid w:val="007D13BD"/>
    <w:rsid w:val="007D13C4"/>
    <w:rsid w:val="007D13CF"/>
    <w:rsid w:val="007D13D6"/>
    <w:rsid w:val="007D142A"/>
    <w:rsid w:val="007D1440"/>
    <w:rsid w:val="007D145E"/>
    <w:rsid w:val="007D14D2"/>
    <w:rsid w:val="007D1664"/>
    <w:rsid w:val="007D1669"/>
    <w:rsid w:val="007D16CA"/>
    <w:rsid w:val="007D16D8"/>
    <w:rsid w:val="007D173B"/>
    <w:rsid w:val="007D1826"/>
    <w:rsid w:val="007D183C"/>
    <w:rsid w:val="007D18E2"/>
    <w:rsid w:val="007D1904"/>
    <w:rsid w:val="007D1943"/>
    <w:rsid w:val="007D19BA"/>
    <w:rsid w:val="007D19CF"/>
    <w:rsid w:val="007D1A53"/>
    <w:rsid w:val="007D1B0E"/>
    <w:rsid w:val="007D1B3E"/>
    <w:rsid w:val="007D1B56"/>
    <w:rsid w:val="007D1BBF"/>
    <w:rsid w:val="007D1C3F"/>
    <w:rsid w:val="007D1D22"/>
    <w:rsid w:val="007D1D4C"/>
    <w:rsid w:val="007D1DB2"/>
    <w:rsid w:val="007D1E23"/>
    <w:rsid w:val="007D1EC3"/>
    <w:rsid w:val="007D1EFD"/>
    <w:rsid w:val="007D2055"/>
    <w:rsid w:val="007D20C9"/>
    <w:rsid w:val="007D20E2"/>
    <w:rsid w:val="007D2162"/>
    <w:rsid w:val="007D21C4"/>
    <w:rsid w:val="007D21C9"/>
    <w:rsid w:val="007D22A8"/>
    <w:rsid w:val="007D2335"/>
    <w:rsid w:val="007D23D4"/>
    <w:rsid w:val="007D2428"/>
    <w:rsid w:val="007D2485"/>
    <w:rsid w:val="007D25B0"/>
    <w:rsid w:val="007D25FC"/>
    <w:rsid w:val="007D2622"/>
    <w:rsid w:val="007D26C8"/>
    <w:rsid w:val="007D271C"/>
    <w:rsid w:val="007D2721"/>
    <w:rsid w:val="007D283D"/>
    <w:rsid w:val="007D286D"/>
    <w:rsid w:val="007D2871"/>
    <w:rsid w:val="007D2991"/>
    <w:rsid w:val="007D2A2D"/>
    <w:rsid w:val="007D2A9F"/>
    <w:rsid w:val="007D2ADD"/>
    <w:rsid w:val="007D2C22"/>
    <w:rsid w:val="007D2C27"/>
    <w:rsid w:val="007D2C41"/>
    <w:rsid w:val="007D2D45"/>
    <w:rsid w:val="007D2D8D"/>
    <w:rsid w:val="007D2DC5"/>
    <w:rsid w:val="007D2F43"/>
    <w:rsid w:val="007D2F59"/>
    <w:rsid w:val="007D3019"/>
    <w:rsid w:val="007D3059"/>
    <w:rsid w:val="007D306A"/>
    <w:rsid w:val="007D3071"/>
    <w:rsid w:val="007D3124"/>
    <w:rsid w:val="007D3167"/>
    <w:rsid w:val="007D32BB"/>
    <w:rsid w:val="007D32DF"/>
    <w:rsid w:val="007D33A8"/>
    <w:rsid w:val="007D3449"/>
    <w:rsid w:val="007D34CC"/>
    <w:rsid w:val="007D3563"/>
    <w:rsid w:val="007D3587"/>
    <w:rsid w:val="007D3617"/>
    <w:rsid w:val="007D3638"/>
    <w:rsid w:val="007D3660"/>
    <w:rsid w:val="007D372A"/>
    <w:rsid w:val="007D3797"/>
    <w:rsid w:val="007D381C"/>
    <w:rsid w:val="007D3901"/>
    <w:rsid w:val="007D396F"/>
    <w:rsid w:val="007D39B9"/>
    <w:rsid w:val="007D39F2"/>
    <w:rsid w:val="007D3AA2"/>
    <w:rsid w:val="007D3AC8"/>
    <w:rsid w:val="007D3ACD"/>
    <w:rsid w:val="007D3B43"/>
    <w:rsid w:val="007D3B4D"/>
    <w:rsid w:val="007D3C4E"/>
    <w:rsid w:val="007D3C54"/>
    <w:rsid w:val="007D3CB8"/>
    <w:rsid w:val="007D3E3B"/>
    <w:rsid w:val="007D3E6B"/>
    <w:rsid w:val="007D3E7E"/>
    <w:rsid w:val="007D3EA0"/>
    <w:rsid w:val="007D3F33"/>
    <w:rsid w:val="007D3F59"/>
    <w:rsid w:val="007D4124"/>
    <w:rsid w:val="007D4136"/>
    <w:rsid w:val="007D4138"/>
    <w:rsid w:val="007D4139"/>
    <w:rsid w:val="007D41CC"/>
    <w:rsid w:val="007D426C"/>
    <w:rsid w:val="007D4292"/>
    <w:rsid w:val="007D432A"/>
    <w:rsid w:val="007D4379"/>
    <w:rsid w:val="007D440E"/>
    <w:rsid w:val="007D4433"/>
    <w:rsid w:val="007D4463"/>
    <w:rsid w:val="007D4478"/>
    <w:rsid w:val="007D44D3"/>
    <w:rsid w:val="007D45CE"/>
    <w:rsid w:val="007D4601"/>
    <w:rsid w:val="007D462A"/>
    <w:rsid w:val="007D4692"/>
    <w:rsid w:val="007D46ED"/>
    <w:rsid w:val="007D47FA"/>
    <w:rsid w:val="007D47FB"/>
    <w:rsid w:val="007D486C"/>
    <w:rsid w:val="007D486F"/>
    <w:rsid w:val="007D48C6"/>
    <w:rsid w:val="007D4908"/>
    <w:rsid w:val="007D4915"/>
    <w:rsid w:val="007D4A37"/>
    <w:rsid w:val="007D4B10"/>
    <w:rsid w:val="007D4B54"/>
    <w:rsid w:val="007D4D1C"/>
    <w:rsid w:val="007D4DA6"/>
    <w:rsid w:val="007D4DE0"/>
    <w:rsid w:val="007D4E07"/>
    <w:rsid w:val="007D4E68"/>
    <w:rsid w:val="007D4E80"/>
    <w:rsid w:val="007D4EAF"/>
    <w:rsid w:val="007D4EC3"/>
    <w:rsid w:val="007D4EF0"/>
    <w:rsid w:val="007D4F1F"/>
    <w:rsid w:val="007D4F99"/>
    <w:rsid w:val="007D4F9A"/>
    <w:rsid w:val="007D5241"/>
    <w:rsid w:val="007D5278"/>
    <w:rsid w:val="007D52A6"/>
    <w:rsid w:val="007D53BD"/>
    <w:rsid w:val="007D53CA"/>
    <w:rsid w:val="007D53FA"/>
    <w:rsid w:val="007D546F"/>
    <w:rsid w:val="007D5470"/>
    <w:rsid w:val="007D54F5"/>
    <w:rsid w:val="007D554E"/>
    <w:rsid w:val="007D55B8"/>
    <w:rsid w:val="007D5632"/>
    <w:rsid w:val="007D5671"/>
    <w:rsid w:val="007D568D"/>
    <w:rsid w:val="007D574C"/>
    <w:rsid w:val="007D57BF"/>
    <w:rsid w:val="007D5824"/>
    <w:rsid w:val="007D585D"/>
    <w:rsid w:val="007D594F"/>
    <w:rsid w:val="007D59DA"/>
    <w:rsid w:val="007D5B32"/>
    <w:rsid w:val="007D5C10"/>
    <w:rsid w:val="007D5D0C"/>
    <w:rsid w:val="007D5D5F"/>
    <w:rsid w:val="007D5DC1"/>
    <w:rsid w:val="007D5DDA"/>
    <w:rsid w:val="007D5DFC"/>
    <w:rsid w:val="007D5E17"/>
    <w:rsid w:val="007D5E39"/>
    <w:rsid w:val="007D5E7D"/>
    <w:rsid w:val="007D5EC7"/>
    <w:rsid w:val="007D5EE5"/>
    <w:rsid w:val="007D610E"/>
    <w:rsid w:val="007D6163"/>
    <w:rsid w:val="007D6167"/>
    <w:rsid w:val="007D6187"/>
    <w:rsid w:val="007D61BB"/>
    <w:rsid w:val="007D6245"/>
    <w:rsid w:val="007D62F6"/>
    <w:rsid w:val="007D6321"/>
    <w:rsid w:val="007D63CB"/>
    <w:rsid w:val="007D656E"/>
    <w:rsid w:val="007D65D1"/>
    <w:rsid w:val="007D66E1"/>
    <w:rsid w:val="007D677D"/>
    <w:rsid w:val="007D6782"/>
    <w:rsid w:val="007D678B"/>
    <w:rsid w:val="007D67BA"/>
    <w:rsid w:val="007D6830"/>
    <w:rsid w:val="007D6866"/>
    <w:rsid w:val="007D686A"/>
    <w:rsid w:val="007D68B8"/>
    <w:rsid w:val="007D68BE"/>
    <w:rsid w:val="007D68C7"/>
    <w:rsid w:val="007D68FC"/>
    <w:rsid w:val="007D69ED"/>
    <w:rsid w:val="007D6A55"/>
    <w:rsid w:val="007D6AB4"/>
    <w:rsid w:val="007D6AEF"/>
    <w:rsid w:val="007D6B23"/>
    <w:rsid w:val="007D6B71"/>
    <w:rsid w:val="007D6BFF"/>
    <w:rsid w:val="007D6C2A"/>
    <w:rsid w:val="007D6CE5"/>
    <w:rsid w:val="007D6D06"/>
    <w:rsid w:val="007D6E55"/>
    <w:rsid w:val="007D6E75"/>
    <w:rsid w:val="007D6F1E"/>
    <w:rsid w:val="007D6F92"/>
    <w:rsid w:val="007D6FA0"/>
    <w:rsid w:val="007D707B"/>
    <w:rsid w:val="007D71FD"/>
    <w:rsid w:val="007D72D9"/>
    <w:rsid w:val="007D72F2"/>
    <w:rsid w:val="007D74AA"/>
    <w:rsid w:val="007D74EB"/>
    <w:rsid w:val="007D75FD"/>
    <w:rsid w:val="007D7639"/>
    <w:rsid w:val="007D774F"/>
    <w:rsid w:val="007D77B9"/>
    <w:rsid w:val="007D77E2"/>
    <w:rsid w:val="007D77E6"/>
    <w:rsid w:val="007D78ED"/>
    <w:rsid w:val="007D78F4"/>
    <w:rsid w:val="007D792E"/>
    <w:rsid w:val="007D7A08"/>
    <w:rsid w:val="007D7A22"/>
    <w:rsid w:val="007D7AA5"/>
    <w:rsid w:val="007D7AEF"/>
    <w:rsid w:val="007D7B15"/>
    <w:rsid w:val="007D7B50"/>
    <w:rsid w:val="007D7B57"/>
    <w:rsid w:val="007D7B68"/>
    <w:rsid w:val="007D7C45"/>
    <w:rsid w:val="007D7C95"/>
    <w:rsid w:val="007D7CCA"/>
    <w:rsid w:val="007D7CF7"/>
    <w:rsid w:val="007D7D69"/>
    <w:rsid w:val="007D7D98"/>
    <w:rsid w:val="007D7E4B"/>
    <w:rsid w:val="007D7EAC"/>
    <w:rsid w:val="007D7EDA"/>
    <w:rsid w:val="007D7F8F"/>
    <w:rsid w:val="007D7FB1"/>
    <w:rsid w:val="007D7FD2"/>
    <w:rsid w:val="007E00BB"/>
    <w:rsid w:val="007E0135"/>
    <w:rsid w:val="007E0170"/>
    <w:rsid w:val="007E0172"/>
    <w:rsid w:val="007E01B4"/>
    <w:rsid w:val="007E0204"/>
    <w:rsid w:val="007E022C"/>
    <w:rsid w:val="007E02C1"/>
    <w:rsid w:val="007E02F4"/>
    <w:rsid w:val="007E0335"/>
    <w:rsid w:val="007E048E"/>
    <w:rsid w:val="007E04C7"/>
    <w:rsid w:val="007E056A"/>
    <w:rsid w:val="007E0607"/>
    <w:rsid w:val="007E062C"/>
    <w:rsid w:val="007E06B9"/>
    <w:rsid w:val="007E06FC"/>
    <w:rsid w:val="007E071E"/>
    <w:rsid w:val="007E0791"/>
    <w:rsid w:val="007E0798"/>
    <w:rsid w:val="007E07AE"/>
    <w:rsid w:val="007E0841"/>
    <w:rsid w:val="007E0851"/>
    <w:rsid w:val="007E0949"/>
    <w:rsid w:val="007E0989"/>
    <w:rsid w:val="007E09E5"/>
    <w:rsid w:val="007E09F7"/>
    <w:rsid w:val="007E0A1B"/>
    <w:rsid w:val="007E0A29"/>
    <w:rsid w:val="007E0AFF"/>
    <w:rsid w:val="007E0B9F"/>
    <w:rsid w:val="007E0BD9"/>
    <w:rsid w:val="007E0C40"/>
    <w:rsid w:val="007E0C64"/>
    <w:rsid w:val="007E0C87"/>
    <w:rsid w:val="007E0CC5"/>
    <w:rsid w:val="007E0CF7"/>
    <w:rsid w:val="007E0CFA"/>
    <w:rsid w:val="007E0D2B"/>
    <w:rsid w:val="007E0E31"/>
    <w:rsid w:val="007E0E42"/>
    <w:rsid w:val="007E0F17"/>
    <w:rsid w:val="007E0F51"/>
    <w:rsid w:val="007E0FD0"/>
    <w:rsid w:val="007E108B"/>
    <w:rsid w:val="007E10B0"/>
    <w:rsid w:val="007E1126"/>
    <w:rsid w:val="007E122A"/>
    <w:rsid w:val="007E1233"/>
    <w:rsid w:val="007E125D"/>
    <w:rsid w:val="007E128A"/>
    <w:rsid w:val="007E13AC"/>
    <w:rsid w:val="007E15B0"/>
    <w:rsid w:val="007E15B4"/>
    <w:rsid w:val="007E15C4"/>
    <w:rsid w:val="007E15D7"/>
    <w:rsid w:val="007E1600"/>
    <w:rsid w:val="007E1650"/>
    <w:rsid w:val="007E16AB"/>
    <w:rsid w:val="007E16E0"/>
    <w:rsid w:val="007E1737"/>
    <w:rsid w:val="007E17B9"/>
    <w:rsid w:val="007E17FF"/>
    <w:rsid w:val="007E1808"/>
    <w:rsid w:val="007E1818"/>
    <w:rsid w:val="007E1819"/>
    <w:rsid w:val="007E1839"/>
    <w:rsid w:val="007E1876"/>
    <w:rsid w:val="007E18B3"/>
    <w:rsid w:val="007E18C3"/>
    <w:rsid w:val="007E197F"/>
    <w:rsid w:val="007E1A42"/>
    <w:rsid w:val="007E1AE6"/>
    <w:rsid w:val="007E1AEA"/>
    <w:rsid w:val="007E1BC2"/>
    <w:rsid w:val="007E1BC5"/>
    <w:rsid w:val="007E1C73"/>
    <w:rsid w:val="007E1D1D"/>
    <w:rsid w:val="007E1D9F"/>
    <w:rsid w:val="007E1E27"/>
    <w:rsid w:val="007E1EA3"/>
    <w:rsid w:val="007E1F50"/>
    <w:rsid w:val="007E1F92"/>
    <w:rsid w:val="007E20E3"/>
    <w:rsid w:val="007E2163"/>
    <w:rsid w:val="007E21A4"/>
    <w:rsid w:val="007E21B3"/>
    <w:rsid w:val="007E21BE"/>
    <w:rsid w:val="007E21EA"/>
    <w:rsid w:val="007E21F7"/>
    <w:rsid w:val="007E227D"/>
    <w:rsid w:val="007E22A0"/>
    <w:rsid w:val="007E22B5"/>
    <w:rsid w:val="007E238C"/>
    <w:rsid w:val="007E239C"/>
    <w:rsid w:val="007E23BE"/>
    <w:rsid w:val="007E2445"/>
    <w:rsid w:val="007E24BE"/>
    <w:rsid w:val="007E24CB"/>
    <w:rsid w:val="007E268E"/>
    <w:rsid w:val="007E26CD"/>
    <w:rsid w:val="007E27B4"/>
    <w:rsid w:val="007E27BB"/>
    <w:rsid w:val="007E28B0"/>
    <w:rsid w:val="007E28E5"/>
    <w:rsid w:val="007E290E"/>
    <w:rsid w:val="007E290F"/>
    <w:rsid w:val="007E29D4"/>
    <w:rsid w:val="007E2A89"/>
    <w:rsid w:val="007E2AD2"/>
    <w:rsid w:val="007E2B51"/>
    <w:rsid w:val="007E2B6A"/>
    <w:rsid w:val="007E2BDB"/>
    <w:rsid w:val="007E2C1F"/>
    <w:rsid w:val="007E2D0F"/>
    <w:rsid w:val="007E2D4D"/>
    <w:rsid w:val="007E2D8B"/>
    <w:rsid w:val="007E2FDC"/>
    <w:rsid w:val="007E3059"/>
    <w:rsid w:val="007E3060"/>
    <w:rsid w:val="007E3083"/>
    <w:rsid w:val="007E3086"/>
    <w:rsid w:val="007E30D7"/>
    <w:rsid w:val="007E3100"/>
    <w:rsid w:val="007E3174"/>
    <w:rsid w:val="007E31F8"/>
    <w:rsid w:val="007E3437"/>
    <w:rsid w:val="007E3469"/>
    <w:rsid w:val="007E346D"/>
    <w:rsid w:val="007E351D"/>
    <w:rsid w:val="007E3520"/>
    <w:rsid w:val="007E372C"/>
    <w:rsid w:val="007E37BA"/>
    <w:rsid w:val="007E3815"/>
    <w:rsid w:val="007E386A"/>
    <w:rsid w:val="007E3913"/>
    <w:rsid w:val="007E39E3"/>
    <w:rsid w:val="007E3ABC"/>
    <w:rsid w:val="007E3BB5"/>
    <w:rsid w:val="007E3D2A"/>
    <w:rsid w:val="007E3E74"/>
    <w:rsid w:val="007E3E92"/>
    <w:rsid w:val="007E3EFD"/>
    <w:rsid w:val="007E402B"/>
    <w:rsid w:val="007E40CF"/>
    <w:rsid w:val="007E4148"/>
    <w:rsid w:val="007E419A"/>
    <w:rsid w:val="007E4204"/>
    <w:rsid w:val="007E422B"/>
    <w:rsid w:val="007E4230"/>
    <w:rsid w:val="007E4275"/>
    <w:rsid w:val="007E452E"/>
    <w:rsid w:val="007E461C"/>
    <w:rsid w:val="007E4625"/>
    <w:rsid w:val="007E4658"/>
    <w:rsid w:val="007E46A7"/>
    <w:rsid w:val="007E46C0"/>
    <w:rsid w:val="007E475D"/>
    <w:rsid w:val="007E47C2"/>
    <w:rsid w:val="007E47DD"/>
    <w:rsid w:val="007E4802"/>
    <w:rsid w:val="007E48B8"/>
    <w:rsid w:val="007E48C9"/>
    <w:rsid w:val="007E499E"/>
    <w:rsid w:val="007E49B3"/>
    <w:rsid w:val="007E49BA"/>
    <w:rsid w:val="007E4A49"/>
    <w:rsid w:val="007E4B1C"/>
    <w:rsid w:val="007E4BE1"/>
    <w:rsid w:val="007E4C32"/>
    <w:rsid w:val="007E4C7D"/>
    <w:rsid w:val="007E4C98"/>
    <w:rsid w:val="007E4E14"/>
    <w:rsid w:val="007E4E4A"/>
    <w:rsid w:val="007E4E6F"/>
    <w:rsid w:val="007E4EBA"/>
    <w:rsid w:val="007E4EC2"/>
    <w:rsid w:val="007E4F0D"/>
    <w:rsid w:val="007E4F6A"/>
    <w:rsid w:val="007E4FB2"/>
    <w:rsid w:val="007E4FE7"/>
    <w:rsid w:val="007E50C0"/>
    <w:rsid w:val="007E5123"/>
    <w:rsid w:val="007E527D"/>
    <w:rsid w:val="007E52D2"/>
    <w:rsid w:val="007E5379"/>
    <w:rsid w:val="007E538A"/>
    <w:rsid w:val="007E53DB"/>
    <w:rsid w:val="007E540A"/>
    <w:rsid w:val="007E543F"/>
    <w:rsid w:val="007E54B9"/>
    <w:rsid w:val="007E54C0"/>
    <w:rsid w:val="007E5594"/>
    <w:rsid w:val="007E563A"/>
    <w:rsid w:val="007E578E"/>
    <w:rsid w:val="007E57A1"/>
    <w:rsid w:val="007E5801"/>
    <w:rsid w:val="007E5872"/>
    <w:rsid w:val="007E5905"/>
    <w:rsid w:val="007E5941"/>
    <w:rsid w:val="007E59FC"/>
    <w:rsid w:val="007E5A2A"/>
    <w:rsid w:val="007E5A2F"/>
    <w:rsid w:val="007E5A48"/>
    <w:rsid w:val="007E5A69"/>
    <w:rsid w:val="007E5C4C"/>
    <w:rsid w:val="007E5C6F"/>
    <w:rsid w:val="007E5CCA"/>
    <w:rsid w:val="007E5CCC"/>
    <w:rsid w:val="007E5D4F"/>
    <w:rsid w:val="007E5D60"/>
    <w:rsid w:val="007E5DC6"/>
    <w:rsid w:val="007E5E00"/>
    <w:rsid w:val="007E5E0E"/>
    <w:rsid w:val="007E609F"/>
    <w:rsid w:val="007E60E8"/>
    <w:rsid w:val="007E613E"/>
    <w:rsid w:val="007E614C"/>
    <w:rsid w:val="007E6311"/>
    <w:rsid w:val="007E633C"/>
    <w:rsid w:val="007E6476"/>
    <w:rsid w:val="007E651D"/>
    <w:rsid w:val="007E661B"/>
    <w:rsid w:val="007E66E3"/>
    <w:rsid w:val="007E6748"/>
    <w:rsid w:val="007E677F"/>
    <w:rsid w:val="007E6832"/>
    <w:rsid w:val="007E689C"/>
    <w:rsid w:val="007E694B"/>
    <w:rsid w:val="007E695A"/>
    <w:rsid w:val="007E6996"/>
    <w:rsid w:val="007E69E8"/>
    <w:rsid w:val="007E6A60"/>
    <w:rsid w:val="007E6A68"/>
    <w:rsid w:val="007E6A69"/>
    <w:rsid w:val="007E6B53"/>
    <w:rsid w:val="007E6B7B"/>
    <w:rsid w:val="007E6BB5"/>
    <w:rsid w:val="007E6C11"/>
    <w:rsid w:val="007E6CE7"/>
    <w:rsid w:val="007E6DB6"/>
    <w:rsid w:val="007E6EA1"/>
    <w:rsid w:val="007E702F"/>
    <w:rsid w:val="007E704E"/>
    <w:rsid w:val="007E7085"/>
    <w:rsid w:val="007E70B6"/>
    <w:rsid w:val="007E7172"/>
    <w:rsid w:val="007E71A2"/>
    <w:rsid w:val="007E71E2"/>
    <w:rsid w:val="007E7205"/>
    <w:rsid w:val="007E7250"/>
    <w:rsid w:val="007E7258"/>
    <w:rsid w:val="007E72B4"/>
    <w:rsid w:val="007E73A1"/>
    <w:rsid w:val="007E73F7"/>
    <w:rsid w:val="007E74A0"/>
    <w:rsid w:val="007E7522"/>
    <w:rsid w:val="007E75A3"/>
    <w:rsid w:val="007E76BA"/>
    <w:rsid w:val="007E7706"/>
    <w:rsid w:val="007E7707"/>
    <w:rsid w:val="007E779F"/>
    <w:rsid w:val="007E77FB"/>
    <w:rsid w:val="007E7806"/>
    <w:rsid w:val="007E7830"/>
    <w:rsid w:val="007E78A5"/>
    <w:rsid w:val="007E7905"/>
    <w:rsid w:val="007E7AA8"/>
    <w:rsid w:val="007E7AF4"/>
    <w:rsid w:val="007E7AFA"/>
    <w:rsid w:val="007E7B32"/>
    <w:rsid w:val="007E7BD3"/>
    <w:rsid w:val="007E7C50"/>
    <w:rsid w:val="007E7CF4"/>
    <w:rsid w:val="007E7D2A"/>
    <w:rsid w:val="007E7E27"/>
    <w:rsid w:val="007E7E35"/>
    <w:rsid w:val="007E7F65"/>
    <w:rsid w:val="007E7F6C"/>
    <w:rsid w:val="007E7FD2"/>
    <w:rsid w:val="007E7FE4"/>
    <w:rsid w:val="007E7FF6"/>
    <w:rsid w:val="007F001D"/>
    <w:rsid w:val="007F0099"/>
    <w:rsid w:val="007F013E"/>
    <w:rsid w:val="007F017A"/>
    <w:rsid w:val="007F017B"/>
    <w:rsid w:val="007F021D"/>
    <w:rsid w:val="007F0232"/>
    <w:rsid w:val="007F02E6"/>
    <w:rsid w:val="007F035E"/>
    <w:rsid w:val="007F042E"/>
    <w:rsid w:val="007F04E3"/>
    <w:rsid w:val="007F05EA"/>
    <w:rsid w:val="007F0648"/>
    <w:rsid w:val="007F06A5"/>
    <w:rsid w:val="007F06F0"/>
    <w:rsid w:val="007F072A"/>
    <w:rsid w:val="007F0757"/>
    <w:rsid w:val="007F077B"/>
    <w:rsid w:val="007F087F"/>
    <w:rsid w:val="007F0A02"/>
    <w:rsid w:val="007F0A66"/>
    <w:rsid w:val="007F0AD8"/>
    <w:rsid w:val="007F0B1D"/>
    <w:rsid w:val="007F0B66"/>
    <w:rsid w:val="007F0DC8"/>
    <w:rsid w:val="007F0E73"/>
    <w:rsid w:val="007F0EE6"/>
    <w:rsid w:val="007F106C"/>
    <w:rsid w:val="007F1118"/>
    <w:rsid w:val="007F1124"/>
    <w:rsid w:val="007F11E2"/>
    <w:rsid w:val="007F1231"/>
    <w:rsid w:val="007F123A"/>
    <w:rsid w:val="007F124D"/>
    <w:rsid w:val="007F12EE"/>
    <w:rsid w:val="007F1308"/>
    <w:rsid w:val="007F13AA"/>
    <w:rsid w:val="007F13FC"/>
    <w:rsid w:val="007F1403"/>
    <w:rsid w:val="007F142F"/>
    <w:rsid w:val="007F143D"/>
    <w:rsid w:val="007F147A"/>
    <w:rsid w:val="007F1489"/>
    <w:rsid w:val="007F14C9"/>
    <w:rsid w:val="007F1527"/>
    <w:rsid w:val="007F1580"/>
    <w:rsid w:val="007F15E0"/>
    <w:rsid w:val="007F1655"/>
    <w:rsid w:val="007F167A"/>
    <w:rsid w:val="007F174B"/>
    <w:rsid w:val="007F17C9"/>
    <w:rsid w:val="007F1814"/>
    <w:rsid w:val="007F1834"/>
    <w:rsid w:val="007F187B"/>
    <w:rsid w:val="007F1955"/>
    <w:rsid w:val="007F1A08"/>
    <w:rsid w:val="007F1A4E"/>
    <w:rsid w:val="007F1B29"/>
    <w:rsid w:val="007F1B80"/>
    <w:rsid w:val="007F1C3B"/>
    <w:rsid w:val="007F1CF6"/>
    <w:rsid w:val="007F1D07"/>
    <w:rsid w:val="007F1D68"/>
    <w:rsid w:val="007F1D81"/>
    <w:rsid w:val="007F1F14"/>
    <w:rsid w:val="007F1FB6"/>
    <w:rsid w:val="007F1FED"/>
    <w:rsid w:val="007F206B"/>
    <w:rsid w:val="007F216A"/>
    <w:rsid w:val="007F22CC"/>
    <w:rsid w:val="007F25A6"/>
    <w:rsid w:val="007F2697"/>
    <w:rsid w:val="007F272A"/>
    <w:rsid w:val="007F27AD"/>
    <w:rsid w:val="007F2808"/>
    <w:rsid w:val="007F2839"/>
    <w:rsid w:val="007F284F"/>
    <w:rsid w:val="007F288A"/>
    <w:rsid w:val="007F288D"/>
    <w:rsid w:val="007F28B3"/>
    <w:rsid w:val="007F2929"/>
    <w:rsid w:val="007F2987"/>
    <w:rsid w:val="007F29B6"/>
    <w:rsid w:val="007F29B9"/>
    <w:rsid w:val="007F29D9"/>
    <w:rsid w:val="007F2A39"/>
    <w:rsid w:val="007F2B19"/>
    <w:rsid w:val="007F2C18"/>
    <w:rsid w:val="007F2CEA"/>
    <w:rsid w:val="007F2D36"/>
    <w:rsid w:val="007F2E80"/>
    <w:rsid w:val="007F2EF7"/>
    <w:rsid w:val="007F2F75"/>
    <w:rsid w:val="007F2F7B"/>
    <w:rsid w:val="007F2F8B"/>
    <w:rsid w:val="007F3032"/>
    <w:rsid w:val="007F30A2"/>
    <w:rsid w:val="007F3107"/>
    <w:rsid w:val="007F313A"/>
    <w:rsid w:val="007F31D9"/>
    <w:rsid w:val="007F330C"/>
    <w:rsid w:val="007F3368"/>
    <w:rsid w:val="007F339D"/>
    <w:rsid w:val="007F33B9"/>
    <w:rsid w:val="007F33C6"/>
    <w:rsid w:val="007F3434"/>
    <w:rsid w:val="007F343E"/>
    <w:rsid w:val="007F3445"/>
    <w:rsid w:val="007F34A4"/>
    <w:rsid w:val="007F3516"/>
    <w:rsid w:val="007F3538"/>
    <w:rsid w:val="007F3600"/>
    <w:rsid w:val="007F3609"/>
    <w:rsid w:val="007F36A7"/>
    <w:rsid w:val="007F36E9"/>
    <w:rsid w:val="007F3705"/>
    <w:rsid w:val="007F372E"/>
    <w:rsid w:val="007F3781"/>
    <w:rsid w:val="007F386C"/>
    <w:rsid w:val="007F38A8"/>
    <w:rsid w:val="007F390A"/>
    <w:rsid w:val="007F39AD"/>
    <w:rsid w:val="007F3AB5"/>
    <w:rsid w:val="007F3AE7"/>
    <w:rsid w:val="007F3B03"/>
    <w:rsid w:val="007F3B9D"/>
    <w:rsid w:val="007F3BBF"/>
    <w:rsid w:val="007F3C8B"/>
    <w:rsid w:val="007F3DAA"/>
    <w:rsid w:val="007F3DED"/>
    <w:rsid w:val="007F3E15"/>
    <w:rsid w:val="007F3EA2"/>
    <w:rsid w:val="007F3F78"/>
    <w:rsid w:val="007F3FFA"/>
    <w:rsid w:val="007F3FFB"/>
    <w:rsid w:val="007F4047"/>
    <w:rsid w:val="007F405C"/>
    <w:rsid w:val="007F4146"/>
    <w:rsid w:val="007F41B9"/>
    <w:rsid w:val="007F41D4"/>
    <w:rsid w:val="007F41E5"/>
    <w:rsid w:val="007F42B6"/>
    <w:rsid w:val="007F42C3"/>
    <w:rsid w:val="007F431E"/>
    <w:rsid w:val="007F4334"/>
    <w:rsid w:val="007F433B"/>
    <w:rsid w:val="007F437F"/>
    <w:rsid w:val="007F43F1"/>
    <w:rsid w:val="007F44ED"/>
    <w:rsid w:val="007F44FA"/>
    <w:rsid w:val="007F4509"/>
    <w:rsid w:val="007F4554"/>
    <w:rsid w:val="007F45B2"/>
    <w:rsid w:val="007F45C1"/>
    <w:rsid w:val="007F4688"/>
    <w:rsid w:val="007F46AF"/>
    <w:rsid w:val="007F4753"/>
    <w:rsid w:val="007F4818"/>
    <w:rsid w:val="007F4895"/>
    <w:rsid w:val="007F48B8"/>
    <w:rsid w:val="007F497D"/>
    <w:rsid w:val="007F49DE"/>
    <w:rsid w:val="007F49E3"/>
    <w:rsid w:val="007F4A2D"/>
    <w:rsid w:val="007F4A53"/>
    <w:rsid w:val="007F4A83"/>
    <w:rsid w:val="007F4A97"/>
    <w:rsid w:val="007F4C0B"/>
    <w:rsid w:val="007F4CD9"/>
    <w:rsid w:val="007F4D7F"/>
    <w:rsid w:val="007F4E65"/>
    <w:rsid w:val="007F4ED4"/>
    <w:rsid w:val="007F4FEE"/>
    <w:rsid w:val="007F504A"/>
    <w:rsid w:val="007F5181"/>
    <w:rsid w:val="007F5185"/>
    <w:rsid w:val="007F51ED"/>
    <w:rsid w:val="007F522C"/>
    <w:rsid w:val="007F5339"/>
    <w:rsid w:val="007F555C"/>
    <w:rsid w:val="007F556A"/>
    <w:rsid w:val="007F5585"/>
    <w:rsid w:val="007F5678"/>
    <w:rsid w:val="007F56B1"/>
    <w:rsid w:val="007F56C7"/>
    <w:rsid w:val="007F5713"/>
    <w:rsid w:val="007F5840"/>
    <w:rsid w:val="007F58C3"/>
    <w:rsid w:val="007F596E"/>
    <w:rsid w:val="007F5970"/>
    <w:rsid w:val="007F599C"/>
    <w:rsid w:val="007F59F5"/>
    <w:rsid w:val="007F5A58"/>
    <w:rsid w:val="007F5AF3"/>
    <w:rsid w:val="007F5B09"/>
    <w:rsid w:val="007F5B5E"/>
    <w:rsid w:val="007F5B78"/>
    <w:rsid w:val="007F5BE3"/>
    <w:rsid w:val="007F5C08"/>
    <w:rsid w:val="007F5C89"/>
    <w:rsid w:val="007F5E78"/>
    <w:rsid w:val="007F5F78"/>
    <w:rsid w:val="007F5F95"/>
    <w:rsid w:val="007F5FD0"/>
    <w:rsid w:val="007F5FF0"/>
    <w:rsid w:val="007F60CE"/>
    <w:rsid w:val="007F6165"/>
    <w:rsid w:val="007F616F"/>
    <w:rsid w:val="007F61F2"/>
    <w:rsid w:val="007F626F"/>
    <w:rsid w:val="007F62A0"/>
    <w:rsid w:val="007F63B1"/>
    <w:rsid w:val="007F643F"/>
    <w:rsid w:val="007F6479"/>
    <w:rsid w:val="007F650D"/>
    <w:rsid w:val="007F653B"/>
    <w:rsid w:val="007F656E"/>
    <w:rsid w:val="007F6593"/>
    <w:rsid w:val="007F65ED"/>
    <w:rsid w:val="007F6659"/>
    <w:rsid w:val="007F666A"/>
    <w:rsid w:val="007F66D1"/>
    <w:rsid w:val="007F6754"/>
    <w:rsid w:val="007F67B0"/>
    <w:rsid w:val="007F6864"/>
    <w:rsid w:val="007F6953"/>
    <w:rsid w:val="007F6955"/>
    <w:rsid w:val="007F6962"/>
    <w:rsid w:val="007F6990"/>
    <w:rsid w:val="007F69E0"/>
    <w:rsid w:val="007F6A03"/>
    <w:rsid w:val="007F6A82"/>
    <w:rsid w:val="007F6B87"/>
    <w:rsid w:val="007F6C3D"/>
    <w:rsid w:val="007F6C5E"/>
    <w:rsid w:val="007F6C82"/>
    <w:rsid w:val="007F6D57"/>
    <w:rsid w:val="007F6D82"/>
    <w:rsid w:val="007F6DF3"/>
    <w:rsid w:val="007F6E49"/>
    <w:rsid w:val="007F6E62"/>
    <w:rsid w:val="007F6EBB"/>
    <w:rsid w:val="007F6EEA"/>
    <w:rsid w:val="007F6F86"/>
    <w:rsid w:val="007F6FB5"/>
    <w:rsid w:val="007F6FCE"/>
    <w:rsid w:val="007F7011"/>
    <w:rsid w:val="007F70AE"/>
    <w:rsid w:val="007F70BC"/>
    <w:rsid w:val="007F70C9"/>
    <w:rsid w:val="007F70E3"/>
    <w:rsid w:val="007F71AC"/>
    <w:rsid w:val="007F71CC"/>
    <w:rsid w:val="007F71E7"/>
    <w:rsid w:val="007F7268"/>
    <w:rsid w:val="007F727F"/>
    <w:rsid w:val="007F7361"/>
    <w:rsid w:val="007F73A9"/>
    <w:rsid w:val="007F73AB"/>
    <w:rsid w:val="007F743F"/>
    <w:rsid w:val="007F7458"/>
    <w:rsid w:val="007F7489"/>
    <w:rsid w:val="007F74DF"/>
    <w:rsid w:val="007F74ED"/>
    <w:rsid w:val="007F7546"/>
    <w:rsid w:val="007F75CB"/>
    <w:rsid w:val="007F75D5"/>
    <w:rsid w:val="007F7623"/>
    <w:rsid w:val="007F76D0"/>
    <w:rsid w:val="007F76D1"/>
    <w:rsid w:val="007F7725"/>
    <w:rsid w:val="007F7745"/>
    <w:rsid w:val="007F7868"/>
    <w:rsid w:val="007F791F"/>
    <w:rsid w:val="007F79F2"/>
    <w:rsid w:val="007F7AD1"/>
    <w:rsid w:val="007F7B00"/>
    <w:rsid w:val="007F7B0A"/>
    <w:rsid w:val="007F7B7D"/>
    <w:rsid w:val="007F7CB8"/>
    <w:rsid w:val="007F7CCF"/>
    <w:rsid w:val="007F7CE9"/>
    <w:rsid w:val="007F7D5A"/>
    <w:rsid w:val="007F7D6E"/>
    <w:rsid w:val="007F7E06"/>
    <w:rsid w:val="007F7E12"/>
    <w:rsid w:val="007F7FBE"/>
    <w:rsid w:val="007F7FEA"/>
    <w:rsid w:val="00800066"/>
    <w:rsid w:val="0080007C"/>
    <w:rsid w:val="008000FB"/>
    <w:rsid w:val="00800135"/>
    <w:rsid w:val="00800142"/>
    <w:rsid w:val="00800149"/>
    <w:rsid w:val="0080016A"/>
    <w:rsid w:val="00800184"/>
    <w:rsid w:val="00800252"/>
    <w:rsid w:val="00800297"/>
    <w:rsid w:val="00800334"/>
    <w:rsid w:val="00800384"/>
    <w:rsid w:val="008003A7"/>
    <w:rsid w:val="008003EA"/>
    <w:rsid w:val="00800485"/>
    <w:rsid w:val="00800522"/>
    <w:rsid w:val="00800525"/>
    <w:rsid w:val="00800526"/>
    <w:rsid w:val="008005CD"/>
    <w:rsid w:val="008005F9"/>
    <w:rsid w:val="0080084E"/>
    <w:rsid w:val="00800865"/>
    <w:rsid w:val="00800A4B"/>
    <w:rsid w:val="00800B00"/>
    <w:rsid w:val="00800B0E"/>
    <w:rsid w:val="00800B1D"/>
    <w:rsid w:val="00800B57"/>
    <w:rsid w:val="00800B74"/>
    <w:rsid w:val="00800B94"/>
    <w:rsid w:val="00800BC4"/>
    <w:rsid w:val="00800C39"/>
    <w:rsid w:val="00800C69"/>
    <w:rsid w:val="00800CCE"/>
    <w:rsid w:val="00800D79"/>
    <w:rsid w:val="00800D85"/>
    <w:rsid w:val="00800DA8"/>
    <w:rsid w:val="00800DBA"/>
    <w:rsid w:val="00800E28"/>
    <w:rsid w:val="00800E76"/>
    <w:rsid w:val="00800E9B"/>
    <w:rsid w:val="00800ECC"/>
    <w:rsid w:val="00800F0C"/>
    <w:rsid w:val="00800F34"/>
    <w:rsid w:val="00801099"/>
    <w:rsid w:val="008010B2"/>
    <w:rsid w:val="00801147"/>
    <w:rsid w:val="00801150"/>
    <w:rsid w:val="00801159"/>
    <w:rsid w:val="008011A0"/>
    <w:rsid w:val="0080122E"/>
    <w:rsid w:val="00801274"/>
    <w:rsid w:val="00801276"/>
    <w:rsid w:val="008012CA"/>
    <w:rsid w:val="0080139A"/>
    <w:rsid w:val="008013D9"/>
    <w:rsid w:val="0080140E"/>
    <w:rsid w:val="00801450"/>
    <w:rsid w:val="00801491"/>
    <w:rsid w:val="008014EE"/>
    <w:rsid w:val="008015EE"/>
    <w:rsid w:val="00801754"/>
    <w:rsid w:val="008017B9"/>
    <w:rsid w:val="008018FB"/>
    <w:rsid w:val="00801939"/>
    <w:rsid w:val="008019A6"/>
    <w:rsid w:val="00801B0C"/>
    <w:rsid w:val="00801B43"/>
    <w:rsid w:val="00801B46"/>
    <w:rsid w:val="00801C23"/>
    <w:rsid w:val="00801CD2"/>
    <w:rsid w:val="00801D4E"/>
    <w:rsid w:val="00801D7D"/>
    <w:rsid w:val="00801D92"/>
    <w:rsid w:val="00801DBC"/>
    <w:rsid w:val="00801DE6"/>
    <w:rsid w:val="00801E0A"/>
    <w:rsid w:val="00801E67"/>
    <w:rsid w:val="00801ED3"/>
    <w:rsid w:val="00801EF9"/>
    <w:rsid w:val="00801F16"/>
    <w:rsid w:val="00801F43"/>
    <w:rsid w:val="00801F57"/>
    <w:rsid w:val="00801F8E"/>
    <w:rsid w:val="00801FAF"/>
    <w:rsid w:val="00802048"/>
    <w:rsid w:val="008020CE"/>
    <w:rsid w:val="008020EB"/>
    <w:rsid w:val="008020F5"/>
    <w:rsid w:val="0080221D"/>
    <w:rsid w:val="00802300"/>
    <w:rsid w:val="00802320"/>
    <w:rsid w:val="0080239E"/>
    <w:rsid w:val="008023BB"/>
    <w:rsid w:val="008023F2"/>
    <w:rsid w:val="008023FC"/>
    <w:rsid w:val="00802488"/>
    <w:rsid w:val="008024AA"/>
    <w:rsid w:val="00802500"/>
    <w:rsid w:val="0080256A"/>
    <w:rsid w:val="008026CB"/>
    <w:rsid w:val="0080276A"/>
    <w:rsid w:val="00802788"/>
    <w:rsid w:val="008027C0"/>
    <w:rsid w:val="008027FB"/>
    <w:rsid w:val="00802805"/>
    <w:rsid w:val="00802832"/>
    <w:rsid w:val="0080289F"/>
    <w:rsid w:val="008028A4"/>
    <w:rsid w:val="008028F8"/>
    <w:rsid w:val="0080293B"/>
    <w:rsid w:val="00802978"/>
    <w:rsid w:val="0080297F"/>
    <w:rsid w:val="008029F1"/>
    <w:rsid w:val="00802A02"/>
    <w:rsid w:val="00802A23"/>
    <w:rsid w:val="00802B2C"/>
    <w:rsid w:val="00802B68"/>
    <w:rsid w:val="00802B85"/>
    <w:rsid w:val="00802B86"/>
    <w:rsid w:val="00802B8C"/>
    <w:rsid w:val="00802BCD"/>
    <w:rsid w:val="00802BED"/>
    <w:rsid w:val="00802C12"/>
    <w:rsid w:val="00802C30"/>
    <w:rsid w:val="00802E91"/>
    <w:rsid w:val="00802E94"/>
    <w:rsid w:val="00802EA8"/>
    <w:rsid w:val="00802F29"/>
    <w:rsid w:val="008030A2"/>
    <w:rsid w:val="0080321A"/>
    <w:rsid w:val="0080324E"/>
    <w:rsid w:val="008032E4"/>
    <w:rsid w:val="0080332E"/>
    <w:rsid w:val="008033A2"/>
    <w:rsid w:val="00803414"/>
    <w:rsid w:val="00803473"/>
    <w:rsid w:val="008034B5"/>
    <w:rsid w:val="008034D0"/>
    <w:rsid w:val="00803547"/>
    <w:rsid w:val="0080358F"/>
    <w:rsid w:val="00803676"/>
    <w:rsid w:val="008036B1"/>
    <w:rsid w:val="008038B5"/>
    <w:rsid w:val="008038F3"/>
    <w:rsid w:val="00803A16"/>
    <w:rsid w:val="00803ACA"/>
    <w:rsid w:val="00803AD7"/>
    <w:rsid w:val="00803B61"/>
    <w:rsid w:val="00803B8B"/>
    <w:rsid w:val="00803B9B"/>
    <w:rsid w:val="00803BA3"/>
    <w:rsid w:val="00803BAE"/>
    <w:rsid w:val="00803C2B"/>
    <w:rsid w:val="00803C59"/>
    <w:rsid w:val="00803CB7"/>
    <w:rsid w:val="00803D69"/>
    <w:rsid w:val="00803ED9"/>
    <w:rsid w:val="0080402B"/>
    <w:rsid w:val="00804065"/>
    <w:rsid w:val="0080418A"/>
    <w:rsid w:val="0080419B"/>
    <w:rsid w:val="008042E6"/>
    <w:rsid w:val="00804315"/>
    <w:rsid w:val="008043BD"/>
    <w:rsid w:val="008043FF"/>
    <w:rsid w:val="0080450D"/>
    <w:rsid w:val="00804556"/>
    <w:rsid w:val="008045B5"/>
    <w:rsid w:val="00804692"/>
    <w:rsid w:val="008046AC"/>
    <w:rsid w:val="008046D7"/>
    <w:rsid w:val="008047AC"/>
    <w:rsid w:val="00804801"/>
    <w:rsid w:val="00804828"/>
    <w:rsid w:val="00804832"/>
    <w:rsid w:val="0080483F"/>
    <w:rsid w:val="00804953"/>
    <w:rsid w:val="008049DF"/>
    <w:rsid w:val="008049FA"/>
    <w:rsid w:val="00804A58"/>
    <w:rsid w:val="00804A8C"/>
    <w:rsid w:val="00804AC9"/>
    <w:rsid w:val="00804B5A"/>
    <w:rsid w:val="00804C11"/>
    <w:rsid w:val="00804C5B"/>
    <w:rsid w:val="00804CFF"/>
    <w:rsid w:val="00804D0D"/>
    <w:rsid w:val="00804D5D"/>
    <w:rsid w:val="00804D64"/>
    <w:rsid w:val="00804E04"/>
    <w:rsid w:val="00804E78"/>
    <w:rsid w:val="00804F04"/>
    <w:rsid w:val="00805014"/>
    <w:rsid w:val="00805048"/>
    <w:rsid w:val="00805074"/>
    <w:rsid w:val="008050AD"/>
    <w:rsid w:val="008050D9"/>
    <w:rsid w:val="00805131"/>
    <w:rsid w:val="0080518C"/>
    <w:rsid w:val="00805255"/>
    <w:rsid w:val="0080527F"/>
    <w:rsid w:val="0080530D"/>
    <w:rsid w:val="008053C4"/>
    <w:rsid w:val="00805418"/>
    <w:rsid w:val="008054F4"/>
    <w:rsid w:val="00805501"/>
    <w:rsid w:val="00805521"/>
    <w:rsid w:val="00805662"/>
    <w:rsid w:val="00805729"/>
    <w:rsid w:val="00805786"/>
    <w:rsid w:val="00805830"/>
    <w:rsid w:val="008058F0"/>
    <w:rsid w:val="00805972"/>
    <w:rsid w:val="008059CF"/>
    <w:rsid w:val="00805A24"/>
    <w:rsid w:val="00805A4E"/>
    <w:rsid w:val="00805A91"/>
    <w:rsid w:val="00805AA3"/>
    <w:rsid w:val="00805AEC"/>
    <w:rsid w:val="00805C2F"/>
    <w:rsid w:val="00805C93"/>
    <w:rsid w:val="00805DB2"/>
    <w:rsid w:val="00805EA6"/>
    <w:rsid w:val="00805EC9"/>
    <w:rsid w:val="00805F57"/>
    <w:rsid w:val="00805F8F"/>
    <w:rsid w:val="00805FDB"/>
    <w:rsid w:val="008060A1"/>
    <w:rsid w:val="008060C8"/>
    <w:rsid w:val="008060CB"/>
    <w:rsid w:val="008060E1"/>
    <w:rsid w:val="00806128"/>
    <w:rsid w:val="008061EE"/>
    <w:rsid w:val="0080625A"/>
    <w:rsid w:val="00806384"/>
    <w:rsid w:val="00806389"/>
    <w:rsid w:val="008063A0"/>
    <w:rsid w:val="008063D1"/>
    <w:rsid w:val="008063FD"/>
    <w:rsid w:val="00806401"/>
    <w:rsid w:val="0080643A"/>
    <w:rsid w:val="00806510"/>
    <w:rsid w:val="0080651A"/>
    <w:rsid w:val="00806625"/>
    <w:rsid w:val="0080664B"/>
    <w:rsid w:val="008066DF"/>
    <w:rsid w:val="008067A1"/>
    <w:rsid w:val="008067CF"/>
    <w:rsid w:val="008067DD"/>
    <w:rsid w:val="00806874"/>
    <w:rsid w:val="008068B3"/>
    <w:rsid w:val="00806905"/>
    <w:rsid w:val="00806939"/>
    <w:rsid w:val="00806961"/>
    <w:rsid w:val="00806966"/>
    <w:rsid w:val="0080696A"/>
    <w:rsid w:val="008069FA"/>
    <w:rsid w:val="00806AA3"/>
    <w:rsid w:val="00806AFE"/>
    <w:rsid w:val="00806B4B"/>
    <w:rsid w:val="00806B6A"/>
    <w:rsid w:val="00806C07"/>
    <w:rsid w:val="00806C11"/>
    <w:rsid w:val="00806CEE"/>
    <w:rsid w:val="00806DA3"/>
    <w:rsid w:val="00806EC1"/>
    <w:rsid w:val="00806F41"/>
    <w:rsid w:val="00806F44"/>
    <w:rsid w:val="00806FED"/>
    <w:rsid w:val="00807019"/>
    <w:rsid w:val="0080719E"/>
    <w:rsid w:val="00807211"/>
    <w:rsid w:val="00807238"/>
    <w:rsid w:val="0080724F"/>
    <w:rsid w:val="0080729C"/>
    <w:rsid w:val="008072A6"/>
    <w:rsid w:val="0080734E"/>
    <w:rsid w:val="0080736E"/>
    <w:rsid w:val="00807386"/>
    <w:rsid w:val="00807535"/>
    <w:rsid w:val="00807562"/>
    <w:rsid w:val="008075C1"/>
    <w:rsid w:val="008075E7"/>
    <w:rsid w:val="008076BD"/>
    <w:rsid w:val="008076D1"/>
    <w:rsid w:val="008076DE"/>
    <w:rsid w:val="00807730"/>
    <w:rsid w:val="00807750"/>
    <w:rsid w:val="0080776A"/>
    <w:rsid w:val="00807790"/>
    <w:rsid w:val="00807795"/>
    <w:rsid w:val="00807882"/>
    <w:rsid w:val="00807939"/>
    <w:rsid w:val="0080796D"/>
    <w:rsid w:val="008079B7"/>
    <w:rsid w:val="00807BB4"/>
    <w:rsid w:val="00807C25"/>
    <w:rsid w:val="00807C94"/>
    <w:rsid w:val="00807D3F"/>
    <w:rsid w:val="00807D87"/>
    <w:rsid w:val="00807E94"/>
    <w:rsid w:val="00807ED8"/>
    <w:rsid w:val="00807EFB"/>
    <w:rsid w:val="00807F5C"/>
    <w:rsid w:val="00807FBD"/>
    <w:rsid w:val="00810029"/>
    <w:rsid w:val="00810059"/>
    <w:rsid w:val="00810079"/>
    <w:rsid w:val="008101D5"/>
    <w:rsid w:val="008101F4"/>
    <w:rsid w:val="0081028E"/>
    <w:rsid w:val="00810338"/>
    <w:rsid w:val="008103CD"/>
    <w:rsid w:val="008103DA"/>
    <w:rsid w:val="008103E2"/>
    <w:rsid w:val="008105BE"/>
    <w:rsid w:val="008105D9"/>
    <w:rsid w:val="008105FE"/>
    <w:rsid w:val="00810696"/>
    <w:rsid w:val="008107CB"/>
    <w:rsid w:val="00810885"/>
    <w:rsid w:val="008108B4"/>
    <w:rsid w:val="00810925"/>
    <w:rsid w:val="00810960"/>
    <w:rsid w:val="008109A7"/>
    <w:rsid w:val="00810AD1"/>
    <w:rsid w:val="00810AD8"/>
    <w:rsid w:val="00810B00"/>
    <w:rsid w:val="00810B6E"/>
    <w:rsid w:val="00810BBE"/>
    <w:rsid w:val="00810D58"/>
    <w:rsid w:val="00810E37"/>
    <w:rsid w:val="00810EDB"/>
    <w:rsid w:val="00810F51"/>
    <w:rsid w:val="00810FD4"/>
    <w:rsid w:val="00811029"/>
    <w:rsid w:val="00811050"/>
    <w:rsid w:val="008110BD"/>
    <w:rsid w:val="00811203"/>
    <w:rsid w:val="00811216"/>
    <w:rsid w:val="00811219"/>
    <w:rsid w:val="00811225"/>
    <w:rsid w:val="008113A8"/>
    <w:rsid w:val="008113C3"/>
    <w:rsid w:val="00811425"/>
    <w:rsid w:val="008114DA"/>
    <w:rsid w:val="008114E4"/>
    <w:rsid w:val="00811649"/>
    <w:rsid w:val="008116DE"/>
    <w:rsid w:val="008116FB"/>
    <w:rsid w:val="0081186B"/>
    <w:rsid w:val="008118A1"/>
    <w:rsid w:val="008118F9"/>
    <w:rsid w:val="0081198A"/>
    <w:rsid w:val="008119E0"/>
    <w:rsid w:val="008119E7"/>
    <w:rsid w:val="008119FF"/>
    <w:rsid w:val="00811A21"/>
    <w:rsid w:val="00811AB7"/>
    <w:rsid w:val="00811B9E"/>
    <w:rsid w:val="00811BE3"/>
    <w:rsid w:val="00811D4B"/>
    <w:rsid w:val="00811D6E"/>
    <w:rsid w:val="00811DF1"/>
    <w:rsid w:val="00811FB0"/>
    <w:rsid w:val="00811FE5"/>
    <w:rsid w:val="008120C0"/>
    <w:rsid w:val="008120C5"/>
    <w:rsid w:val="0081215F"/>
    <w:rsid w:val="008121B7"/>
    <w:rsid w:val="00812219"/>
    <w:rsid w:val="0081222D"/>
    <w:rsid w:val="00812378"/>
    <w:rsid w:val="0081237D"/>
    <w:rsid w:val="00812447"/>
    <w:rsid w:val="00812470"/>
    <w:rsid w:val="00812561"/>
    <w:rsid w:val="0081256E"/>
    <w:rsid w:val="00812586"/>
    <w:rsid w:val="00812648"/>
    <w:rsid w:val="00812759"/>
    <w:rsid w:val="00812807"/>
    <w:rsid w:val="008128E6"/>
    <w:rsid w:val="00812908"/>
    <w:rsid w:val="008129F0"/>
    <w:rsid w:val="00812AF2"/>
    <w:rsid w:val="00812AF9"/>
    <w:rsid w:val="00812B68"/>
    <w:rsid w:val="00812C6A"/>
    <w:rsid w:val="00812CDA"/>
    <w:rsid w:val="00812E2A"/>
    <w:rsid w:val="00812E5C"/>
    <w:rsid w:val="00812E98"/>
    <w:rsid w:val="00812EA0"/>
    <w:rsid w:val="00812EEF"/>
    <w:rsid w:val="00813005"/>
    <w:rsid w:val="00813086"/>
    <w:rsid w:val="008130D3"/>
    <w:rsid w:val="008130E8"/>
    <w:rsid w:val="008131D6"/>
    <w:rsid w:val="0081320B"/>
    <w:rsid w:val="00813235"/>
    <w:rsid w:val="00813296"/>
    <w:rsid w:val="00813297"/>
    <w:rsid w:val="008132D7"/>
    <w:rsid w:val="00813400"/>
    <w:rsid w:val="00813413"/>
    <w:rsid w:val="0081346E"/>
    <w:rsid w:val="00813528"/>
    <w:rsid w:val="00813651"/>
    <w:rsid w:val="00813670"/>
    <w:rsid w:val="008136C6"/>
    <w:rsid w:val="008136F7"/>
    <w:rsid w:val="008137A5"/>
    <w:rsid w:val="008138C6"/>
    <w:rsid w:val="008138CC"/>
    <w:rsid w:val="00813907"/>
    <w:rsid w:val="00813992"/>
    <w:rsid w:val="008139A0"/>
    <w:rsid w:val="00813AAE"/>
    <w:rsid w:val="00813BB7"/>
    <w:rsid w:val="00813D18"/>
    <w:rsid w:val="00813DEF"/>
    <w:rsid w:val="00813E8C"/>
    <w:rsid w:val="00813ED8"/>
    <w:rsid w:val="00813F48"/>
    <w:rsid w:val="00813F62"/>
    <w:rsid w:val="00813F74"/>
    <w:rsid w:val="00813F7B"/>
    <w:rsid w:val="00813FD4"/>
    <w:rsid w:val="00813FE3"/>
    <w:rsid w:val="00814074"/>
    <w:rsid w:val="00814088"/>
    <w:rsid w:val="008140EA"/>
    <w:rsid w:val="00814123"/>
    <w:rsid w:val="008141BF"/>
    <w:rsid w:val="0081428F"/>
    <w:rsid w:val="00814374"/>
    <w:rsid w:val="008143CC"/>
    <w:rsid w:val="00814475"/>
    <w:rsid w:val="008144FA"/>
    <w:rsid w:val="00814559"/>
    <w:rsid w:val="00814596"/>
    <w:rsid w:val="0081460A"/>
    <w:rsid w:val="00814661"/>
    <w:rsid w:val="00814715"/>
    <w:rsid w:val="0081475D"/>
    <w:rsid w:val="00814831"/>
    <w:rsid w:val="008148F0"/>
    <w:rsid w:val="008149B6"/>
    <w:rsid w:val="00814AA8"/>
    <w:rsid w:val="00814ABC"/>
    <w:rsid w:val="00814AFD"/>
    <w:rsid w:val="00814B02"/>
    <w:rsid w:val="00814B83"/>
    <w:rsid w:val="00814BDB"/>
    <w:rsid w:val="00814BEE"/>
    <w:rsid w:val="00814C54"/>
    <w:rsid w:val="00814D0A"/>
    <w:rsid w:val="00814D3F"/>
    <w:rsid w:val="00814D62"/>
    <w:rsid w:val="00814D64"/>
    <w:rsid w:val="00814D88"/>
    <w:rsid w:val="00814E62"/>
    <w:rsid w:val="00814E76"/>
    <w:rsid w:val="00814E9D"/>
    <w:rsid w:val="00814F26"/>
    <w:rsid w:val="00815005"/>
    <w:rsid w:val="00815014"/>
    <w:rsid w:val="0081517C"/>
    <w:rsid w:val="00815185"/>
    <w:rsid w:val="00815197"/>
    <w:rsid w:val="008151F1"/>
    <w:rsid w:val="0081523B"/>
    <w:rsid w:val="00815304"/>
    <w:rsid w:val="00815337"/>
    <w:rsid w:val="0081536A"/>
    <w:rsid w:val="00815401"/>
    <w:rsid w:val="00815410"/>
    <w:rsid w:val="00815481"/>
    <w:rsid w:val="008154B2"/>
    <w:rsid w:val="00815528"/>
    <w:rsid w:val="0081552F"/>
    <w:rsid w:val="008155EC"/>
    <w:rsid w:val="0081561C"/>
    <w:rsid w:val="00815644"/>
    <w:rsid w:val="0081566B"/>
    <w:rsid w:val="008156E1"/>
    <w:rsid w:val="008156FB"/>
    <w:rsid w:val="0081572E"/>
    <w:rsid w:val="0081576C"/>
    <w:rsid w:val="008157E4"/>
    <w:rsid w:val="0081588E"/>
    <w:rsid w:val="008158A6"/>
    <w:rsid w:val="008158BD"/>
    <w:rsid w:val="00815996"/>
    <w:rsid w:val="00815AEA"/>
    <w:rsid w:val="00815CF7"/>
    <w:rsid w:val="00815D13"/>
    <w:rsid w:val="00815D44"/>
    <w:rsid w:val="00815D51"/>
    <w:rsid w:val="00815D55"/>
    <w:rsid w:val="00815D86"/>
    <w:rsid w:val="00815E22"/>
    <w:rsid w:val="00815E68"/>
    <w:rsid w:val="00815E81"/>
    <w:rsid w:val="00815ECA"/>
    <w:rsid w:val="00816045"/>
    <w:rsid w:val="008160C1"/>
    <w:rsid w:val="0081613E"/>
    <w:rsid w:val="0081618E"/>
    <w:rsid w:val="00816338"/>
    <w:rsid w:val="00816391"/>
    <w:rsid w:val="008163F6"/>
    <w:rsid w:val="008163FC"/>
    <w:rsid w:val="0081646A"/>
    <w:rsid w:val="008164B1"/>
    <w:rsid w:val="008164BF"/>
    <w:rsid w:val="008165E9"/>
    <w:rsid w:val="0081666C"/>
    <w:rsid w:val="008166E5"/>
    <w:rsid w:val="008166FA"/>
    <w:rsid w:val="00816708"/>
    <w:rsid w:val="0081671E"/>
    <w:rsid w:val="00816744"/>
    <w:rsid w:val="00816818"/>
    <w:rsid w:val="0081681B"/>
    <w:rsid w:val="0081683D"/>
    <w:rsid w:val="00816939"/>
    <w:rsid w:val="00816965"/>
    <w:rsid w:val="008169B7"/>
    <w:rsid w:val="00816A75"/>
    <w:rsid w:val="00816A96"/>
    <w:rsid w:val="00816AA4"/>
    <w:rsid w:val="00816B55"/>
    <w:rsid w:val="00816BBF"/>
    <w:rsid w:val="00816C6D"/>
    <w:rsid w:val="00816CBA"/>
    <w:rsid w:val="00816E62"/>
    <w:rsid w:val="00816EAB"/>
    <w:rsid w:val="00816EC5"/>
    <w:rsid w:val="00816ED5"/>
    <w:rsid w:val="00816EE7"/>
    <w:rsid w:val="00816F25"/>
    <w:rsid w:val="00816FB0"/>
    <w:rsid w:val="00816FDB"/>
    <w:rsid w:val="008170B0"/>
    <w:rsid w:val="008171F9"/>
    <w:rsid w:val="00817203"/>
    <w:rsid w:val="008172D8"/>
    <w:rsid w:val="008172ED"/>
    <w:rsid w:val="00817353"/>
    <w:rsid w:val="0081746A"/>
    <w:rsid w:val="0081748D"/>
    <w:rsid w:val="0081749B"/>
    <w:rsid w:val="00817587"/>
    <w:rsid w:val="0081761B"/>
    <w:rsid w:val="00817717"/>
    <w:rsid w:val="0081779D"/>
    <w:rsid w:val="0081781F"/>
    <w:rsid w:val="00817874"/>
    <w:rsid w:val="008178A9"/>
    <w:rsid w:val="008178AD"/>
    <w:rsid w:val="008178B2"/>
    <w:rsid w:val="008178E2"/>
    <w:rsid w:val="008178F8"/>
    <w:rsid w:val="0081792F"/>
    <w:rsid w:val="008179F3"/>
    <w:rsid w:val="00817A3F"/>
    <w:rsid w:val="00817AC3"/>
    <w:rsid w:val="00817B40"/>
    <w:rsid w:val="00817B7C"/>
    <w:rsid w:val="00817BF7"/>
    <w:rsid w:val="00817C0A"/>
    <w:rsid w:val="00817C6A"/>
    <w:rsid w:val="00817C73"/>
    <w:rsid w:val="00817C7B"/>
    <w:rsid w:val="00817C88"/>
    <w:rsid w:val="00817CAE"/>
    <w:rsid w:val="00817CF5"/>
    <w:rsid w:val="00817CF8"/>
    <w:rsid w:val="00817D40"/>
    <w:rsid w:val="00817EA9"/>
    <w:rsid w:val="00817FA5"/>
    <w:rsid w:val="00817FD2"/>
    <w:rsid w:val="00820056"/>
    <w:rsid w:val="008201A4"/>
    <w:rsid w:val="0082025D"/>
    <w:rsid w:val="0082032D"/>
    <w:rsid w:val="00820334"/>
    <w:rsid w:val="0082039B"/>
    <w:rsid w:val="008203A9"/>
    <w:rsid w:val="008203B3"/>
    <w:rsid w:val="008203B6"/>
    <w:rsid w:val="00820494"/>
    <w:rsid w:val="008204A7"/>
    <w:rsid w:val="0082055C"/>
    <w:rsid w:val="0082065C"/>
    <w:rsid w:val="00820677"/>
    <w:rsid w:val="00820699"/>
    <w:rsid w:val="008206E1"/>
    <w:rsid w:val="0082075C"/>
    <w:rsid w:val="00820781"/>
    <w:rsid w:val="00820790"/>
    <w:rsid w:val="008208B0"/>
    <w:rsid w:val="008208E7"/>
    <w:rsid w:val="0082092C"/>
    <w:rsid w:val="00820945"/>
    <w:rsid w:val="008209B8"/>
    <w:rsid w:val="008209F8"/>
    <w:rsid w:val="00820A57"/>
    <w:rsid w:val="00820BAB"/>
    <w:rsid w:val="00820C1A"/>
    <w:rsid w:val="00820C4F"/>
    <w:rsid w:val="00820D36"/>
    <w:rsid w:val="00820D3B"/>
    <w:rsid w:val="00820D97"/>
    <w:rsid w:val="00820E23"/>
    <w:rsid w:val="00820E49"/>
    <w:rsid w:val="00820E6D"/>
    <w:rsid w:val="00820E86"/>
    <w:rsid w:val="00820EEA"/>
    <w:rsid w:val="00820F39"/>
    <w:rsid w:val="00820FE6"/>
    <w:rsid w:val="00821061"/>
    <w:rsid w:val="008210DD"/>
    <w:rsid w:val="008211BF"/>
    <w:rsid w:val="008212A4"/>
    <w:rsid w:val="008212B6"/>
    <w:rsid w:val="008212E7"/>
    <w:rsid w:val="00821309"/>
    <w:rsid w:val="0082130F"/>
    <w:rsid w:val="00821319"/>
    <w:rsid w:val="00821395"/>
    <w:rsid w:val="00821430"/>
    <w:rsid w:val="0082148A"/>
    <w:rsid w:val="00821492"/>
    <w:rsid w:val="0082149A"/>
    <w:rsid w:val="0082149D"/>
    <w:rsid w:val="00821502"/>
    <w:rsid w:val="0082150C"/>
    <w:rsid w:val="0082158D"/>
    <w:rsid w:val="008215C5"/>
    <w:rsid w:val="00821605"/>
    <w:rsid w:val="00821631"/>
    <w:rsid w:val="008216B4"/>
    <w:rsid w:val="00821732"/>
    <w:rsid w:val="00821734"/>
    <w:rsid w:val="00821837"/>
    <w:rsid w:val="008218E3"/>
    <w:rsid w:val="00821900"/>
    <w:rsid w:val="00821911"/>
    <w:rsid w:val="00821999"/>
    <w:rsid w:val="0082199B"/>
    <w:rsid w:val="008219B7"/>
    <w:rsid w:val="00821A87"/>
    <w:rsid w:val="00821ABB"/>
    <w:rsid w:val="00821AC8"/>
    <w:rsid w:val="00821B26"/>
    <w:rsid w:val="00821B51"/>
    <w:rsid w:val="00821B68"/>
    <w:rsid w:val="00821CAB"/>
    <w:rsid w:val="00821D51"/>
    <w:rsid w:val="00821D54"/>
    <w:rsid w:val="00821D88"/>
    <w:rsid w:val="00821DAC"/>
    <w:rsid w:val="00821E5D"/>
    <w:rsid w:val="00821E6F"/>
    <w:rsid w:val="00821E9E"/>
    <w:rsid w:val="00821F5E"/>
    <w:rsid w:val="00821F82"/>
    <w:rsid w:val="00821F89"/>
    <w:rsid w:val="00821FF3"/>
    <w:rsid w:val="00822008"/>
    <w:rsid w:val="0082206E"/>
    <w:rsid w:val="00822093"/>
    <w:rsid w:val="00822109"/>
    <w:rsid w:val="00822154"/>
    <w:rsid w:val="0082216A"/>
    <w:rsid w:val="008221D4"/>
    <w:rsid w:val="0082223D"/>
    <w:rsid w:val="008222FE"/>
    <w:rsid w:val="00822302"/>
    <w:rsid w:val="00822361"/>
    <w:rsid w:val="00822532"/>
    <w:rsid w:val="0082258B"/>
    <w:rsid w:val="008225BE"/>
    <w:rsid w:val="008225F3"/>
    <w:rsid w:val="00822670"/>
    <w:rsid w:val="00822681"/>
    <w:rsid w:val="0082272D"/>
    <w:rsid w:val="00822779"/>
    <w:rsid w:val="008227F6"/>
    <w:rsid w:val="00822800"/>
    <w:rsid w:val="00822832"/>
    <w:rsid w:val="00822906"/>
    <w:rsid w:val="00822A36"/>
    <w:rsid w:val="00822A3B"/>
    <w:rsid w:val="00822A8F"/>
    <w:rsid w:val="00822AE8"/>
    <w:rsid w:val="00822BE6"/>
    <w:rsid w:val="00822C19"/>
    <w:rsid w:val="00822C73"/>
    <w:rsid w:val="00822C97"/>
    <w:rsid w:val="00822D9C"/>
    <w:rsid w:val="00822E76"/>
    <w:rsid w:val="00822EB1"/>
    <w:rsid w:val="00822EF5"/>
    <w:rsid w:val="00822EF8"/>
    <w:rsid w:val="00822F97"/>
    <w:rsid w:val="0082306A"/>
    <w:rsid w:val="00823118"/>
    <w:rsid w:val="0082321D"/>
    <w:rsid w:val="00823241"/>
    <w:rsid w:val="00823384"/>
    <w:rsid w:val="0082339C"/>
    <w:rsid w:val="008233A7"/>
    <w:rsid w:val="008233E4"/>
    <w:rsid w:val="0082349B"/>
    <w:rsid w:val="008234D2"/>
    <w:rsid w:val="008234EE"/>
    <w:rsid w:val="00823597"/>
    <w:rsid w:val="00823696"/>
    <w:rsid w:val="008236E2"/>
    <w:rsid w:val="008237F4"/>
    <w:rsid w:val="0082384E"/>
    <w:rsid w:val="00823861"/>
    <w:rsid w:val="008238ED"/>
    <w:rsid w:val="00823901"/>
    <w:rsid w:val="00823956"/>
    <w:rsid w:val="00823A2B"/>
    <w:rsid w:val="00823A40"/>
    <w:rsid w:val="00823AC7"/>
    <w:rsid w:val="00823B22"/>
    <w:rsid w:val="00823C49"/>
    <w:rsid w:val="00823C6C"/>
    <w:rsid w:val="00823C92"/>
    <w:rsid w:val="00823CFC"/>
    <w:rsid w:val="00823CFD"/>
    <w:rsid w:val="00823D52"/>
    <w:rsid w:val="00823DB7"/>
    <w:rsid w:val="00823E33"/>
    <w:rsid w:val="00823E73"/>
    <w:rsid w:val="00823EB7"/>
    <w:rsid w:val="00823F61"/>
    <w:rsid w:val="0082409B"/>
    <w:rsid w:val="00824116"/>
    <w:rsid w:val="0082426C"/>
    <w:rsid w:val="00824275"/>
    <w:rsid w:val="0082429C"/>
    <w:rsid w:val="008242DC"/>
    <w:rsid w:val="00824346"/>
    <w:rsid w:val="008243B3"/>
    <w:rsid w:val="00824428"/>
    <w:rsid w:val="008244DF"/>
    <w:rsid w:val="008244E5"/>
    <w:rsid w:val="00824514"/>
    <w:rsid w:val="00824683"/>
    <w:rsid w:val="00824689"/>
    <w:rsid w:val="00824695"/>
    <w:rsid w:val="00824778"/>
    <w:rsid w:val="008247E4"/>
    <w:rsid w:val="008248FD"/>
    <w:rsid w:val="008249E6"/>
    <w:rsid w:val="00824A00"/>
    <w:rsid w:val="00824A88"/>
    <w:rsid w:val="00824A93"/>
    <w:rsid w:val="00824AE8"/>
    <w:rsid w:val="00824B1E"/>
    <w:rsid w:val="00824B2E"/>
    <w:rsid w:val="00824B3A"/>
    <w:rsid w:val="00824B74"/>
    <w:rsid w:val="00824C53"/>
    <w:rsid w:val="00824DEF"/>
    <w:rsid w:val="00824E47"/>
    <w:rsid w:val="00824E6D"/>
    <w:rsid w:val="00824ED3"/>
    <w:rsid w:val="00824F61"/>
    <w:rsid w:val="00824FBA"/>
    <w:rsid w:val="00825039"/>
    <w:rsid w:val="00825043"/>
    <w:rsid w:val="008251C8"/>
    <w:rsid w:val="008251E8"/>
    <w:rsid w:val="0082527A"/>
    <w:rsid w:val="0082527D"/>
    <w:rsid w:val="008252C5"/>
    <w:rsid w:val="0082535B"/>
    <w:rsid w:val="00825420"/>
    <w:rsid w:val="0082542A"/>
    <w:rsid w:val="00825433"/>
    <w:rsid w:val="00825504"/>
    <w:rsid w:val="00825664"/>
    <w:rsid w:val="00825689"/>
    <w:rsid w:val="0082568E"/>
    <w:rsid w:val="0082569C"/>
    <w:rsid w:val="008256C3"/>
    <w:rsid w:val="008256DA"/>
    <w:rsid w:val="0082574C"/>
    <w:rsid w:val="00825765"/>
    <w:rsid w:val="0082578C"/>
    <w:rsid w:val="008257A2"/>
    <w:rsid w:val="008257CD"/>
    <w:rsid w:val="00825806"/>
    <w:rsid w:val="008258B2"/>
    <w:rsid w:val="008259B8"/>
    <w:rsid w:val="00825ADB"/>
    <w:rsid w:val="00825B5E"/>
    <w:rsid w:val="00825C0D"/>
    <w:rsid w:val="00825C43"/>
    <w:rsid w:val="00825D85"/>
    <w:rsid w:val="00825E0F"/>
    <w:rsid w:val="00825E62"/>
    <w:rsid w:val="00825EE1"/>
    <w:rsid w:val="00825EED"/>
    <w:rsid w:val="00825F40"/>
    <w:rsid w:val="00825F93"/>
    <w:rsid w:val="00826007"/>
    <w:rsid w:val="00826014"/>
    <w:rsid w:val="00826056"/>
    <w:rsid w:val="0082607C"/>
    <w:rsid w:val="008260A7"/>
    <w:rsid w:val="008260B4"/>
    <w:rsid w:val="0082617E"/>
    <w:rsid w:val="00826223"/>
    <w:rsid w:val="008262D5"/>
    <w:rsid w:val="008264E2"/>
    <w:rsid w:val="00826539"/>
    <w:rsid w:val="008265F8"/>
    <w:rsid w:val="008267C6"/>
    <w:rsid w:val="00826A0B"/>
    <w:rsid w:val="00826ACA"/>
    <w:rsid w:val="00826B1A"/>
    <w:rsid w:val="00826BC3"/>
    <w:rsid w:val="00826BF0"/>
    <w:rsid w:val="00826C8B"/>
    <w:rsid w:val="00826CAB"/>
    <w:rsid w:val="00826D29"/>
    <w:rsid w:val="00826D4E"/>
    <w:rsid w:val="00826DA3"/>
    <w:rsid w:val="00826E20"/>
    <w:rsid w:val="00826E3B"/>
    <w:rsid w:val="00826EE6"/>
    <w:rsid w:val="00826F38"/>
    <w:rsid w:val="00826F8A"/>
    <w:rsid w:val="0082700D"/>
    <w:rsid w:val="0082702C"/>
    <w:rsid w:val="008272BC"/>
    <w:rsid w:val="008272F7"/>
    <w:rsid w:val="00827318"/>
    <w:rsid w:val="008273A4"/>
    <w:rsid w:val="008273AE"/>
    <w:rsid w:val="008273EC"/>
    <w:rsid w:val="008274C6"/>
    <w:rsid w:val="00827519"/>
    <w:rsid w:val="0082755F"/>
    <w:rsid w:val="00827580"/>
    <w:rsid w:val="0082759B"/>
    <w:rsid w:val="008275C5"/>
    <w:rsid w:val="008275C7"/>
    <w:rsid w:val="008276BF"/>
    <w:rsid w:val="008277AD"/>
    <w:rsid w:val="008277F0"/>
    <w:rsid w:val="00827827"/>
    <w:rsid w:val="0082789C"/>
    <w:rsid w:val="008278A6"/>
    <w:rsid w:val="008278FF"/>
    <w:rsid w:val="0082793B"/>
    <w:rsid w:val="008279C8"/>
    <w:rsid w:val="008279DF"/>
    <w:rsid w:val="00827A14"/>
    <w:rsid w:val="00827A78"/>
    <w:rsid w:val="00827A97"/>
    <w:rsid w:val="00827B48"/>
    <w:rsid w:val="00827B49"/>
    <w:rsid w:val="00827BB3"/>
    <w:rsid w:val="00827C17"/>
    <w:rsid w:val="00827C6A"/>
    <w:rsid w:val="00827C74"/>
    <w:rsid w:val="00827C85"/>
    <w:rsid w:val="00827CDA"/>
    <w:rsid w:val="00827D9E"/>
    <w:rsid w:val="00827DB5"/>
    <w:rsid w:val="00827E34"/>
    <w:rsid w:val="00827E38"/>
    <w:rsid w:val="00827E39"/>
    <w:rsid w:val="00827F5D"/>
    <w:rsid w:val="00827FAE"/>
    <w:rsid w:val="00830007"/>
    <w:rsid w:val="00830135"/>
    <w:rsid w:val="008301CF"/>
    <w:rsid w:val="008301EA"/>
    <w:rsid w:val="0083025B"/>
    <w:rsid w:val="00830277"/>
    <w:rsid w:val="00830319"/>
    <w:rsid w:val="008304F6"/>
    <w:rsid w:val="00830559"/>
    <w:rsid w:val="00830566"/>
    <w:rsid w:val="00830577"/>
    <w:rsid w:val="0083058D"/>
    <w:rsid w:val="0083061F"/>
    <w:rsid w:val="00830631"/>
    <w:rsid w:val="00830634"/>
    <w:rsid w:val="0083067F"/>
    <w:rsid w:val="0083068D"/>
    <w:rsid w:val="008307C2"/>
    <w:rsid w:val="00830805"/>
    <w:rsid w:val="0083084C"/>
    <w:rsid w:val="00830890"/>
    <w:rsid w:val="0083089F"/>
    <w:rsid w:val="008308DC"/>
    <w:rsid w:val="0083095D"/>
    <w:rsid w:val="008309E6"/>
    <w:rsid w:val="00830A74"/>
    <w:rsid w:val="00830AED"/>
    <w:rsid w:val="00830AF7"/>
    <w:rsid w:val="00830C1A"/>
    <w:rsid w:val="00830C81"/>
    <w:rsid w:val="00830D9A"/>
    <w:rsid w:val="00830DB6"/>
    <w:rsid w:val="00830DEA"/>
    <w:rsid w:val="00830EAC"/>
    <w:rsid w:val="00830F42"/>
    <w:rsid w:val="00830F71"/>
    <w:rsid w:val="00830F7A"/>
    <w:rsid w:val="00830FD6"/>
    <w:rsid w:val="00830FFA"/>
    <w:rsid w:val="00831033"/>
    <w:rsid w:val="00831174"/>
    <w:rsid w:val="0083125A"/>
    <w:rsid w:val="00831294"/>
    <w:rsid w:val="008312AE"/>
    <w:rsid w:val="0083132D"/>
    <w:rsid w:val="00831353"/>
    <w:rsid w:val="00831354"/>
    <w:rsid w:val="00831378"/>
    <w:rsid w:val="0083139E"/>
    <w:rsid w:val="008313E8"/>
    <w:rsid w:val="00831451"/>
    <w:rsid w:val="00831457"/>
    <w:rsid w:val="00831481"/>
    <w:rsid w:val="008314BE"/>
    <w:rsid w:val="008315E7"/>
    <w:rsid w:val="008315F5"/>
    <w:rsid w:val="0083161D"/>
    <w:rsid w:val="00831648"/>
    <w:rsid w:val="00831757"/>
    <w:rsid w:val="0083176D"/>
    <w:rsid w:val="008318A8"/>
    <w:rsid w:val="0083197B"/>
    <w:rsid w:val="008319A4"/>
    <w:rsid w:val="008319AB"/>
    <w:rsid w:val="00831A72"/>
    <w:rsid w:val="00831AD2"/>
    <w:rsid w:val="00831BE1"/>
    <w:rsid w:val="00831CDE"/>
    <w:rsid w:val="00831CE2"/>
    <w:rsid w:val="00831D00"/>
    <w:rsid w:val="00831D5C"/>
    <w:rsid w:val="00831D67"/>
    <w:rsid w:val="00831DA9"/>
    <w:rsid w:val="00831DD3"/>
    <w:rsid w:val="00831E3C"/>
    <w:rsid w:val="00831E9E"/>
    <w:rsid w:val="00831EB6"/>
    <w:rsid w:val="00831FD8"/>
    <w:rsid w:val="00832022"/>
    <w:rsid w:val="00832120"/>
    <w:rsid w:val="0083216D"/>
    <w:rsid w:val="0083234C"/>
    <w:rsid w:val="00832357"/>
    <w:rsid w:val="008323D9"/>
    <w:rsid w:val="008323E6"/>
    <w:rsid w:val="00832430"/>
    <w:rsid w:val="008325EE"/>
    <w:rsid w:val="0083263F"/>
    <w:rsid w:val="00832688"/>
    <w:rsid w:val="008326CF"/>
    <w:rsid w:val="00832721"/>
    <w:rsid w:val="008327F4"/>
    <w:rsid w:val="00832867"/>
    <w:rsid w:val="00832970"/>
    <w:rsid w:val="008329EC"/>
    <w:rsid w:val="00832A5F"/>
    <w:rsid w:val="00832A7E"/>
    <w:rsid w:val="00832AA5"/>
    <w:rsid w:val="00832AF2"/>
    <w:rsid w:val="00832AF8"/>
    <w:rsid w:val="00832BD6"/>
    <w:rsid w:val="00832C90"/>
    <w:rsid w:val="00832DA5"/>
    <w:rsid w:val="00832DD9"/>
    <w:rsid w:val="00832DF1"/>
    <w:rsid w:val="00832E5D"/>
    <w:rsid w:val="00832ED1"/>
    <w:rsid w:val="00832ED3"/>
    <w:rsid w:val="00832F22"/>
    <w:rsid w:val="0083301E"/>
    <w:rsid w:val="0083302A"/>
    <w:rsid w:val="00833038"/>
    <w:rsid w:val="00833040"/>
    <w:rsid w:val="00833049"/>
    <w:rsid w:val="00833157"/>
    <w:rsid w:val="0083318B"/>
    <w:rsid w:val="00833192"/>
    <w:rsid w:val="008331D8"/>
    <w:rsid w:val="008332DC"/>
    <w:rsid w:val="008332DF"/>
    <w:rsid w:val="00833322"/>
    <w:rsid w:val="00833323"/>
    <w:rsid w:val="0083333C"/>
    <w:rsid w:val="00833389"/>
    <w:rsid w:val="008333C3"/>
    <w:rsid w:val="00833401"/>
    <w:rsid w:val="0083343F"/>
    <w:rsid w:val="0083354F"/>
    <w:rsid w:val="00833550"/>
    <w:rsid w:val="008335B8"/>
    <w:rsid w:val="008335D0"/>
    <w:rsid w:val="008335E3"/>
    <w:rsid w:val="00833616"/>
    <w:rsid w:val="00833644"/>
    <w:rsid w:val="00833659"/>
    <w:rsid w:val="0083369C"/>
    <w:rsid w:val="008338B4"/>
    <w:rsid w:val="00833951"/>
    <w:rsid w:val="008339B3"/>
    <w:rsid w:val="00833A03"/>
    <w:rsid w:val="00833A09"/>
    <w:rsid w:val="00833C44"/>
    <w:rsid w:val="00833C5F"/>
    <w:rsid w:val="00833C83"/>
    <w:rsid w:val="00833CA9"/>
    <w:rsid w:val="00833CFA"/>
    <w:rsid w:val="00833E36"/>
    <w:rsid w:val="00833E81"/>
    <w:rsid w:val="00833F06"/>
    <w:rsid w:val="00833FC6"/>
    <w:rsid w:val="00833FE8"/>
    <w:rsid w:val="00833FEC"/>
    <w:rsid w:val="0083402D"/>
    <w:rsid w:val="0083407A"/>
    <w:rsid w:val="0083416C"/>
    <w:rsid w:val="0083417C"/>
    <w:rsid w:val="008341A4"/>
    <w:rsid w:val="008341C2"/>
    <w:rsid w:val="008341D6"/>
    <w:rsid w:val="00834226"/>
    <w:rsid w:val="008342AF"/>
    <w:rsid w:val="008343CE"/>
    <w:rsid w:val="008343F7"/>
    <w:rsid w:val="0083446F"/>
    <w:rsid w:val="0083452A"/>
    <w:rsid w:val="0083452E"/>
    <w:rsid w:val="0083453F"/>
    <w:rsid w:val="00834562"/>
    <w:rsid w:val="008345D2"/>
    <w:rsid w:val="00834635"/>
    <w:rsid w:val="008346AC"/>
    <w:rsid w:val="0083473C"/>
    <w:rsid w:val="008347C7"/>
    <w:rsid w:val="00834825"/>
    <w:rsid w:val="00834835"/>
    <w:rsid w:val="00834884"/>
    <w:rsid w:val="00834945"/>
    <w:rsid w:val="00834963"/>
    <w:rsid w:val="00834A70"/>
    <w:rsid w:val="00834AB6"/>
    <w:rsid w:val="00834B25"/>
    <w:rsid w:val="00834BCE"/>
    <w:rsid w:val="00834BD5"/>
    <w:rsid w:val="00834BEB"/>
    <w:rsid w:val="00834C11"/>
    <w:rsid w:val="00834C51"/>
    <w:rsid w:val="00834CA8"/>
    <w:rsid w:val="00834D61"/>
    <w:rsid w:val="00834E08"/>
    <w:rsid w:val="00834E42"/>
    <w:rsid w:val="00834F31"/>
    <w:rsid w:val="00834FE7"/>
    <w:rsid w:val="00834FFF"/>
    <w:rsid w:val="008350CE"/>
    <w:rsid w:val="008350DB"/>
    <w:rsid w:val="008351E8"/>
    <w:rsid w:val="00835217"/>
    <w:rsid w:val="0083528C"/>
    <w:rsid w:val="008352F9"/>
    <w:rsid w:val="00835372"/>
    <w:rsid w:val="008353CD"/>
    <w:rsid w:val="008353E3"/>
    <w:rsid w:val="008353E5"/>
    <w:rsid w:val="0083554D"/>
    <w:rsid w:val="00835552"/>
    <w:rsid w:val="0083561A"/>
    <w:rsid w:val="00835628"/>
    <w:rsid w:val="00835629"/>
    <w:rsid w:val="0083567B"/>
    <w:rsid w:val="0083573B"/>
    <w:rsid w:val="0083578E"/>
    <w:rsid w:val="00835800"/>
    <w:rsid w:val="00835882"/>
    <w:rsid w:val="00835922"/>
    <w:rsid w:val="00835984"/>
    <w:rsid w:val="008359A7"/>
    <w:rsid w:val="008359A9"/>
    <w:rsid w:val="00835A2B"/>
    <w:rsid w:val="00835A69"/>
    <w:rsid w:val="00835A6D"/>
    <w:rsid w:val="00835B54"/>
    <w:rsid w:val="00835BAD"/>
    <w:rsid w:val="00835BCB"/>
    <w:rsid w:val="00835C72"/>
    <w:rsid w:val="00835E1D"/>
    <w:rsid w:val="00835E4D"/>
    <w:rsid w:val="00835EEB"/>
    <w:rsid w:val="00835FD6"/>
    <w:rsid w:val="0083607C"/>
    <w:rsid w:val="008360D2"/>
    <w:rsid w:val="00836185"/>
    <w:rsid w:val="00836210"/>
    <w:rsid w:val="00836350"/>
    <w:rsid w:val="00836442"/>
    <w:rsid w:val="0083645A"/>
    <w:rsid w:val="0083651E"/>
    <w:rsid w:val="00836541"/>
    <w:rsid w:val="00836572"/>
    <w:rsid w:val="008365EE"/>
    <w:rsid w:val="00836619"/>
    <w:rsid w:val="0083661A"/>
    <w:rsid w:val="00836683"/>
    <w:rsid w:val="008366FF"/>
    <w:rsid w:val="0083678D"/>
    <w:rsid w:val="008367BD"/>
    <w:rsid w:val="00836948"/>
    <w:rsid w:val="00836966"/>
    <w:rsid w:val="008369ED"/>
    <w:rsid w:val="00836A38"/>
    <w:rsid w:val="00836ABA"/>
    <w:rsid w:val="00836B18"/>
    <w:rsid w:val="00836B29"/>
    <w:rsid w:val="00836C69"/>
    <w:rsid w:val="00836CDA"/>
    <w:rsid w:val="00836F2C"/>
    <w:rsid w:val="00836F55"/>
    <w:rsid w:val="00836F8F"/>
    <w:rsid w:val="00836FA0"/>
    <w:rsid w:val="00836FCA"/>
    <w:rsid w:val="00836FEF"/>
    <w:rsid w:val="0083702B"/>
    <w:rsid w:val="008370E6"/>
    <w:rsid w:val="008370FE"/>
    <w:rsid w:val="00837156"/>
    <w:rsid w:val="0083715D"/>
    <w:rsid w:val="008371FA"/>
    <w:rsid w:val="0083726F"/>
    <w:rsid w:val="00837291"/>
    <w:rsid w:val="00837327"/>
    <w:rsid w:val="00837357"/>
    <w:rsid w:val="00837457"/>
    <w:rsid w:val="008374F5"/>
    <w:rsid w:val="00837514"/>
    <w:rsid w:val="00837536"/>
    <w:rsid w:val="00837561"/>
    <w:rsid w:val="008375CE"/>
    <w:rsid w:val="008375EB"/>
    <w:rsid w:val="008375FB"/>
    <w:rsid w:val="008376BD"/>
    <w:rsid w:val="008376D0"/>
    <w:rsid w:val="00837889"/>
    <w:rsid w:val="008378D9"/>
    <w:rsid w:val="00837A1C"/>
    <w:rsid w:val="00837A7E"/>
    <w:rsid w:val="00837B1D"/>
    <w:rsid w:val="00837B84"/>
    <w:rsid w:val="00837BF8"/>
    <w:rsid w:val="00837BFB"/>
    <w:rsid w:val="00837C3B"/>
    <w:rsid w:val="00837C52"/>
    <w:rsid w:val="00837D37"/>
    <w:rsid w:val="00837E23"/>
    <w:rsid w:val="00837E86"/>
    <w:rsid w:val="00837EF0"/>
    <w:rsid w:val="00837F89"/>
    <w:rsid w:val="00840084"/>
    <w:rsid w:val="0084017D"/>
    <w:rsid w:val="00840182"/>
    <w:rsid w:val="008401A7"/>
    <w:rsid w:val="00840248"/>
    <w:rsid w:val="00840270"/>
    <w:rsid w:val="008402C0"/>
    <w:rsid w:val="00840307"/>
    <w:rsid w:val="008403C8"/>
    <w:rsid w:val="00840444"/>
    <w:rsid w:val="00840466"/>
    <w:rsid w:val="00840517"/>
    <w:rsid w:val="008405D9"/>
    <w:rsid w:val="008405EB"/>
    <w:rsid w:val="008405ED"/>
    <w:rsid w:val="0084066D"/>
    <w:rsid w:val="008406B5"/>
    <w:rsid w:val="008406DE"/>
    <w:rsid w:val="008407BE"/>
    <w:rsid w:val="008407BF"/>
    <w:rsid w:val="008408E2"/>
    <w:rsid w:val="008408FD"/>
    <w:rsid w:val="00840A58"/>
    <w:rsid w:val="00840A65"/>
    <w:rsid w:val="00840ACE"/>
    <w:rsid w:val="00840B04"/>
    <w:rsid w:val="00840B18"/>
    <w:rsid w:val="00840BC6"/>
    <w:rsid w:val="00840C1C"/>
    <w:rsid w:val="00840C5F"/>
    <w:rsid w:val="00840D79"/>
    <w:rsid w:val="00840DDA"/>
    <w:rsid w:val="00840DDB"/>
    <w:rsid w:val="00840E07"/>
    <w:rsid w:val="00840E45"/>
    <w:rsid w:val="00840F40"/>
    <w:rsid w:val="00840F4E"/>
    <w:rsid w:val="00840F5C"/>
    <w:rsid w:val="00840FCC"/>
    <w:rsid w:val="00841079"/>
    <w:rsid w:val="008410F7"/>
    <w:rsid w:val="00841139"/>
    <w:rsid w:val="008411EA"/>
    <w:rsid w:val="008412EA"/>
    <w:rsid w:val="008413AA"/>
    <w:rsid w:val="008413E2"/>
    <w:rsid w:val="008413FD"/>
    <w:rsid w:val="00841475"/>
    <w:rsid w:val="00841572"/>
    <w:rsid w:val="0084163B"/>
    <w:rsid w:val="00841679"/>
    <w:rsid w:val="008416F0"/>
    <w:rsid w:val="008416FB"/>
    <w:rsid w:val="00841767"/>
    <w:rsid w:val="0084183C"/>
    <w:rsid w:val="0084187E"/>
    <w:rsid w:val="0084189E"/>
    <w:rsid w:val="0084194A"/>
    <w:rsid w:val="00841ABA"/>
    <w:rsid w:val="00841B40"/>
    <w:rsid w:val="00841C07"/>
    <w:rsid w:val="00841C8F"/>
    <w:rsid w:val="00841DF5"/>
    <w:rsid w:val="00841E5A"/>
    <w:rsid w:val="00841F1E"/>
    <w:rsid w:val="00841F72"/>
    <w:rsid w:val="00841F92"/>
    <w:rsid w:val="00842028"/>
    <w:rsid w:val="0084203C"/>
    <w:rsid w:val="00842052"/>
    <w:rsid w:val="0084207C"/>
    <w:rsid w:val="008420A2"/>
    <w:rsid w:val="008420F3"/>
    <w:rsid w:val="00842138"/>
    <w:rsid w:val="0084239E"/>
    <w:rsid w:val="00842456"/>
    <w:rsid w:val="008424A0"/>
    <w:rsid w:val="008424CF"/>
    <w:rsid w:val="0084256D"/>
    <w:rsid w:val="0084273C"/>
    <w:rsid w:val="0084274C"/>
    <w:rsid w:val="0084276B"/>
    <w:rsid w:val="008427F5"/>
    <w:rsid w:val="00842892"/>
    <w:rsid w:val="008428ED"/>
    <w:rsid w:val="0084299A"/>
    <w:rsid w:val="008429B1"/>
    <w:rsid w:val="00842A31"/>
    <w:rsid w:val="00842A61"/>
    <w:rsid w:val="00842A8A"/>
    <w:rsid w:val="00842AB4"/>
    <w:rsid w:val="00842B53"/>
    <w:rsid w:val="00842B5C"/>
    <w:rsid w:val="00842BB9"/>
    <w:rsid w:val="00842BE4"/>
    <w:rsid w:val="00842C67"/>
    <w:rsid w:val="00842CFE"/>
    <w:rsid w:val="00842D44"/>
    <w:rsid w:val="00842D6E"/>
    <w:rsid w:val="00842E10"/>
    <w:rsid w:val="00842E14"/>
    <w:rsid w:val="00842EA5"/>
    <w:rsid w:val="00842EB4"/>
    <w:rsid w:val="00842F26"/>
    <w:rsid w:val="00842F39"/>
    <w:rsid w:val="00842F62"/>
    <w:rsid w:val="00842F89"/>
    <w:rsid w:val="008430A1"/>
    <w:rsid w:val="008430CB"/>
    <w:rsid w:val="008430DC"/>
    <w:rsid w:val="00843107"/>
    <w:rsid w:val="00843112"/>
    <w:rsid w:val="00843222"/>
    <w:rsid w:val="0084339E"/>
    <w:rsid w:val="008433D3"/>
    <w:rsid w:val="008433E3"/>
    <w:rsid w:val="008433E4"/>
    <w:rsid w:val="0084347F"/>
    <w:rsid w:val="0084352B"/>
    <w:rsid w:val="00843537"/>
    <w:rsid w:val="00843572"/>
    <w:rsid w:val="0084359F"/>
    <w:rsid w:val="008436AD"/>
    <w:rsid w:val="00843740"/>
    <w:rsid w:val="00843847"/>
    <w:rsid w:val="0084384A"/>
    <w:rsid w:val="0084385A"/>
    <w:rsid w:val="0084397B"/>
    <w:rsid w:val="008439A7"/>
    <w:rsid w:val="00843A09"/>
    <w:rsid w:val="00843AD1"/>
    <w:rsid w:val="00843AEB"/>
    <w:rsid w:val="00843B4D"/>
    <w:rsid w:val="00843BE0"/>
    <w:rsid w:val="00843BE5"/>
    <w:rsid w:val="00843CE4"/>
    <w:rsid w:val="00843D75"/>
    <w:rsid w:val="00843E04"/>
    <w:rsid w:val="00843E4B"/>
    <w:rsid w:val="00843F36"/>
    <w:rsid w:val="00843F3E"/>
    <w:rsid w:val="00843F3F"/>
    <w:rsid w:val="00843F92"/>
    <w:rsid w:val="0084419E"/>
    <w:rsid w:val="0084421C"/>
    <w:rsid w:val="0084428E"/>
    <w:rsid w:val="008442BD"/>
    <w:rsid w:val="008442E6"/>
    <w:rsid w:val="0084433D"/>
    <w:rsid w:val="0084437B"/>
    <w:rsid w:val="0084438F"/>
    <w:rsid w:val="00844531"/>
    <w:rsid w:val="00844600"/>
    <w:rsid w:val="0084460D"/>
    <w:rsid w:val="00844612"/>
    <w:rsid w:val="00844679"/>
    <w:rsid w:val="0084467B"/>
    <w:rsid w:val="008446B0"/>
    <w:rsid w:val="00844707"/>
    <w:rsid w:val="0084472F"/>
    <w:rsid w:val="008447FD"/>
    <w:rsid w:val="0084482D"/>
    <w:rsid w:val="00844843"/>
    <w:rsid w:val="00844943"/>
    <w:rsid w:val="0084495D"/>
    <w:rsid w:val="00844984"/>
    <w:rsid w:val="008449D0"/>
    <w:rsid w:val="00844A63"/>
    <w:rsid w:val="00844B53"/>
    <w:rsid w:val="00844B7B"/>
    <w:rsid w:val="00844BB5"/>
    <w:rsid w:val="00844BD4"/>
    <w:rsid w:val="00844C88"/>
    <w:rsid w:val="00844CD7"/>
    <w:rsid w:val="00844DD0"/>
    <w:rsid w:val="00844E0B"/>
    <w:rsid w:val="00844E70"/>
    <w:rsid w:val="00844ECC"/>
    <w:rsid w:val="00844F42"/>
    <w:rsid w:val="008450E3"/>
    <w:rsid w:val="00845105"/>
    <w:rsid w:val="008451C8"/>
    <w:rsid w:val="0084521A"/>
    <w:rsid w:val="00845260"/>
    <w:rsid w:val="008452E5"/>
    <w:rsid w:val="00845300"/>
    <w:rsid w:val="008453AE"/>
    <w:rsid w:val="008453EC"/>
    <w:rsid w:val="00845480"/>
    <w:rsid w:val="008454A1"/>
    <w:rsid w:val="008454B6"/>
    <w:rsid w:val="008454E5"/>
    <w:rsid w:val="00845524"/>
    <w:rsid w:val="0084562E"/>
    <w:rsid w:val="008456C6"/>
    <w:rsid w:val="00845702"/>
    <w:rsid w:val="0084573D"/>
    <w:rsid w:val="0084577E"/>
    <w:rsid w:val="008457B2"/>
    <w:rsid w:val="008458AE"/>
    <w:rsid w:val="008458F6"/>
    <w:rsid w:val="00845974"/>
    <w:rsid w:val="00845A65"/>
    <w:rsid w:val="00845AE5"/>
    <w:rsid w:val="00845AF2"/>
    <w:rsid w:val="00845B3D"/>
    <w:rsid w:val="00845B52"/>
    <w:rsid w:val="00845C2B"/>
    <w:rsid w:val="00845CDF"/>
    <w:rsid w:val="00845D21"/>
    <w:rsid w:val="00845D76"/>
    <w:rsid w:val="00845DB6"/>
    <w:rsid w:val="00845DE0"/>
    <w:rsid w:val="00845F5B"/>
    <w:rsid w:val="00845FE3"/>
    <w:rsid w:val="00845FFA"/>
    <w:rsid w:val="008461A3"/>
    <w:rsid w:val="0084627D"/>
    <w:rsid w:val="0084628B"/>
    <w:rsid w:val="00846320"/>
    <w:rsid w:val="00846380"/>
    <w:rsid w:val="008463AC"/>
    <w:rsid w:val="00846474"/>
    <w:rsid w:val="00846654"/>
    <w:rsid w:val="008466A3"/>
    <w:rsid w:val="0084675B"/>
    <w:rsid w:val="0084685D"/>
    <w:rsid w:val="008468F7"/>
    <w:rsid w:val="008469A1"/>
    <w:rsid w:val="00846A2F"/>
    <w:rsid w:val="00846C45"/>
    <w:rsid w:val="00846CA5"/>
    <w:rsid w:val="00846CAC"/>
    <w:rsid w:val="00846D06"/>
    <w:rsid w:val="00846D0C"/>
    <w:rsid w:val="00846D20"/>
    <w:rsid w:val="00846D29"/>
    <w:rsid w:val="00846D5C"/>
    <w:rsid w:val="00846DA8"/>
    <w:rsid w:val="00846DF9"/>
    <w:rsid w:val="00846E57"/>
    <w:rsid w:val="00846EEC"/>
    <w:rsid w:val="00846F8A"/>
    <w:rsid w:val="00846F9A"/>
    <w:rsid w:val="00846FAC"/>
    <w:rsid w:val="00847006"/>
    <w:rsid w:val="0084707A"/>
    <w:rsid w:val="00847104"/>
    <w:rsid w:val="008471B8"/>
    <w:rsid w:val="0084722B"/>
    <w:rsid w:val="00847378"/>
    <w:rsid w:val="00847393"/>
    <w:rsid w:val="008473F4"/>
    <w:rsid w:val="00847426"/>
    <w:rsid w:val="00847446"/>
    <w:rsid w:val="0084744D"/>
    <w:rsid w:val="0084745A"/>
    <w:rsid w:val="00847478"/>
    <w:rsid w:val="008474C1"/>
    <w:rsid w:val="00847576"/>
    <w:rsid w:val="00847597"/>
    <w:rsid w:val="008475F8"/>
    <w:rsid w:val="008476DC"/>
    <w:rsid w:val="008476E1"/>
    <w:rsid w:val="00847774"/>
    <w:rsid w:val="0084779C"/>
    <w:rsid w:val="008477AE"/>
    <w:rsid w:val="00847810"/>
    <w:rsid w:val="00847906"/>
    <w:rsid w:val="00847937"/>
    <w:rsid w:val="00847945"/>
    <w:rsid w:val="00847950"/>
    <w:rsid w:val="0084795A"/>
    <w:rsid w:val="0084798F"/>
    <w:rsid w:val="00847A2C"/>
    <w:rsid w:val="00847A80"/>
    <w:rsid w:val="00847AA3"/>
    <w:rsid w:val="00847B4B"/>
    <w:rsid w:val="00847BBC"/>
    <w:rsid w:val="00847BCC"/>
    <w:rsid w:val="00847D77"/>
    <w:rsid w:val="00847DF1"/>
    <w:rsid w:val="00847E44"/>
    <w:rsid w:val="00847F35"/>
    <w:rsid w:val="00847F8D"/>
    <w:rsid w:val="00847FEC"/>
    <w:rsid w:val="00850046"/>
    <w:rsid w:val="00850087"/>
    <w:rsid w:val="008500F3"/>
    <w:rsid w:val="00850168"/>
    <w:rsid w:val="0085025D"/>
    <w:rsid w:val="008502D2"/>
    <w:rsid w:val="0085032D"/>
    <w:rsid w:val="008503ED"/>
    <w:rsid w:val="00850421"/>
    <w:rsid w:val="00850480"/>
    <w:rsid w:val="008504C4"/>
    <w:rsid w:val="00850511"/>
    <w:rsid w:val="00850541"/>
    <w:rsid w:val="008505D0"/>
    <w:rsid w:val="008505EC"/>
    <w:rsid w:val="00850607"/>
    <w:rsid w:val="008506BC"/>
    <w:rsid w:val="0085075E"/>
    <w:rsid w:val="008508F5"/>
    <w:rsid w:val="00850964"/>
    <w:rsid w:val="00850967"/>
    <w:rsid w:val="00850996"/>
    <w:rsid w:val="008509F7"/>
    <w:rsid w:val="00850A5A"/>
    <w:rsid w:val="00850A71"/>
    <w:rsid w:val="00850A87"/>
    <w:rsid w:val="00850ABC"/>
    <w:rsid w:val="00850C4F"/>
    <w:rsid w:val="00850CE6"/>
    <w:rsid w:val="00850D0F"/>
    <w:rsid w:val="00850D53"/>
    <w:rsid w:val="00850DC4"/>
    <w:rsid w:val="00850DFB"/>
    <w:rsid w:val="00850E22"/>
    <w:rsid w:val="00850E4C"/>
    <w:rsid w:val="00850E82"/>
    <w:rsid w:val="00850EC5"/>
    <w:rsid w:val="00850EDE"/>
    <w:rsid w:val="00850FC9"/>
    <w:rsid w:val="00850FD6"/>
    <w:rsid w:val="00851008"/>
    <w:rsid w:val="00851067"/>
    <w:rsid w:val="0085115C"/>
    <w:rsid w:val="00851280"/>
    <w:rsid w:val="008512B8"/>
    <w:rsid w:val="00851337"/>
    <w:rsid w:val="00851354"/>
    <w:rsid w:val="008513B1"/>
    <w:rsid w:val="008513B3"/>
    <w:rsid w:val="008514DC"/>
    <w:rsid w:val="00851516"/>
    <w:rsid w:val="00851534"/>
    <w:rsid w:val="0085166E"/>
    <w:rsid w:val="0085172B"/>
    <w:rsid w:val="00851733"/>
    <w:rsid w:val="0085173E"/>
    <w:rsid w:val="008517CB"/>
    <w:rsid w:val="00851810"/>
    <w:rsid w:val="008518E7"/>
    <w:rsid w:val="00851919"/>
    <w:rsid w:val="00851928"/>
    <w:rsid w:val="008519D0"/>
    <w:rsid w:val="00851B9F"/>
    <w:rsid w:val="00851C5A"/>
    <w:rsid w:val="00851C9C"/>
    <w:rsid w:val="00851D26"/>
    <w:rsid w:val="00851D9D"/>
    <w:rsid w:val="00851F33"/>
    <w:rsid w:val="00851F35"/>
    <w:rsid w:val="00851F48"/>
    <w:rsid w:val="00851F54"/>
    <w:rsid w:val="00852116"/>
    <w:rsid w:val="0085211D"/>
    <w:rsid w:val="0085229C"/>
    <w:rsid w:val="008522B1"/>
    <w:rsid w:val="0085233C"/>
    <w:rsid w:val="008524C3"/>
    <w:rsid w:val="008524DA"/>
    <w:rsid w:val="008525E5"/>
    <w:rsid w:val="008526E6"/>
    <w:rsid w:val="0085272C"/>
    <w:rsid w:val="008527F4"/>
    <w:rsid w:val="00852851"/>
    <w:rsid w:val="0085298D"/>
    <w:rsid w:val="008529A4"/>
    <w:rsid w:val="00852A08"/>
    <w:rsid w:val="00852A30"/>
    <w:rsid w:val="00852B25"/>
    <w:rsid w:val="00852CCE"/>
    <w:rsid w:val="00852E17"/>
    <w:rsid w:val="00852F10"/>
    <w:rsid w:val="00852F66"/>
    <w:rsid w:val="00852FEE"/>
    <w:rsid w:val="00853066"/>
    <w:rsid w:val="00853147"/>
    <w:rsid w:val="0085314F"/>
    <w:rsid w:val="008531E0"/>
    <w:rsid w:val="008531EF"/>
    <w:rsid w:val="00853378"/>
    <w:rsid w:val="0085338E"/>
    <w:rsid w:val="00853390"/>
    <w:rsid w:val="008533B3"/>
    <w:rsid w:val="00853419"/>
    <w:rsid w:val="0085341D"/>
    <w:rsid w:val="008534A3"/>
    <w:rsid w:val="0085359E"/>
    <w:rsid w:val="008535E0"/>
    <w:rsid w:val="0085361A"/>
    <w:rsid w:val="00853648"/>
    <w:rsid w:val="0085366C"/>
    <w:rsid w:val="008536B0"/>
    <w:rsid w:val="0085373B"/>
    <w:rsid w:val="008537B8"/>
    <w:rsid w:val="008537C2"/>
    <w:rsid w:val="008537D6"/>
    <w:rsid w:val="00853807"/>
    <w:rsid w:val="008538B6"/>
    <w:rsid w:val="008538D5"/>
    <w:rsid w:val="0085399C"/>
    <w:rsid w:val="008539DD"/>
    <w:rsid w:val="00853AB1"/>
    <w:rsid w:val="00853BC7"/>
    <w:rsid w:val="00853D19"/>
    <w:rsid w:val="00853D5B"/>
    <w:rsid w:val="00853D5F"/>
    <w:rsid w:val="00853E15"/>
    <w:rsid w:val="00853EB5"/>
    <w:rsid w:val="00853F95"/>
    <w:rsid w:val="00853FCA"/>
    <w:rsid w:val="00853FFD"/>
    <w:rsid w:val="00854004"/>
    <w:rsid w:val="0085405A"/>
    <w:rsid w:val="00854089"/>
    <w:rsid w:val="008540C5"/>
    <w:rsid w:val="00854140"/>
    <w:rsid w:val="00854208"/>
    <w:rsid w:val="0085422B"/>
    <w:rsid w:val="00854245"/>
    <w:rsid w:val="008542C8"/>
    <w:rsid w:val="008542DD"/>
    <w:rsid w:val="00854383"/>
    <w:rsid w:val="008543A5"/>
    <w:rsid w:val="00854400"/>
    <w:rsid w:val="00854494"/>
    <w:rsid w:val="008544DE"/>
    <w:rsid w:val="008544E9"/>
    <w:rsid w:val="0085453D"/>
    <w:rsid w:val="0085454D"/>
    <w:rsid w:val="008545C0"/>
    <w:rsid w:val="00854629"/>
    <w:rsid w:val="0085464C"/>
    <w:rsid w:val="008547A5"/>
    <w:rsid w:val="0085485E"/>
    <w:rsid w:val="00854897"/>
    <w:rsid w:val="0085491F"/>
    <w:rsid w:val="0085496F"/>
    <w:rsid w:val="0085497B"/>
    <w:rsid w:val="00854998"/>
    <w:rsid w:val="00854A51"/>
    <w:rsid w:val="00854AC1"/>
    <w:rsid w:val="00854AD1"/>
    <w:rsid w:val="00854AE8"/>
    <w:rsid w:val="00854AEC"/>
    <w:rsid w:val="00854B6A"/>
    <w:rsid w:val="00854BC2"/>
    <w:rsid w:val="00854C07"/>
    <w:rsid w:val="00854C4F"/>
    <w:rsid w:val="00854C8B"/>
    <w:rsid w:val="00854CA0"/>
    <w:rsid w:val="00854CB5"/>
    <w:rsid w:val="00854CED"/>
    <w:rsid w:val="00854D7D"/>
    <w:rsid w:val="00854DB9"/>
    <w:rsid w:val="00854DEE"/>
    <w:rsid w:val="00854DFD"/>
    <w:rsid w:val="00854EB0"/>
    <w:rsid w:val="00854F5F"/>
    <w:rsid w:val="00854FA3"/>
    <w:rsid w:val="00854FBE"/>
    <w:rsid w:val="00854FDB"/>
    <w:rsid w:val="00855046"/>
    <w:rsid w:val="00855093"/>
    <w:rsid w:val="008550C4"/>
    <w:rsid w:val="008550E2"/>
    <w:rsid w:val="00855189"/>
    <w:rsid w:val="008551CA"/>
    <w:rsid w:val="008552BF"/>
    <w:rsid w:val="00855324"/>
    <w:rsid w:val="0085537C"/>
    <w:rsid w:val="008553B6"/>
    <w:rsid w:val="008553BA"/>
    <w:rsid w:val="008554ED"/>
    <w:rsid w:val="00855635"/>
    <w:rsid w:val="00855636"/>
    <w:rsid w:val="00855667"/>
    <w:rsid w:val="00855696"/>
    <w:rsid w:val="00855721"/>
    <w:rsid w:val="0085573F"/>
    <w:rsid w:val="008557F9"/>
    <w:rsid w:val="008558DE"/>
    <w:rsid w:val="00855961"/>
    <w:rsid w:val="00855974"/>
    <w:rsid w:val="0085598F"/>
    <w:rsid w:val="008559AE"/>
    <w:rsid w:val="00855B1A"/>
    <w:rsid w:val="00855B36"/>
    <w:rsid w:val="00855B56"/>
    <w:rsid w:val="00855D65"/>
    <w:rsid w:val="00855E90"/>
    <w:rsid w:val="00855EA5"/>
    <w:rsid w:val="00855F68"/>
    <w:rsid w:val="00856118"/>
    <w:rsid w:val="00856184"/>
    <w:rsid w:val="008561AD"/>
    <w:rsid w:val="008561C3"/>
    <w:rsid w:val="0085626F"/>
    <w:rsid w:val="00856292"/>
    <w:rsid w:val="008562D4"/>
    <w:rsid w:val="0085630C"/>
    <w:rsid w:val="0085630E"/>
    <w:rsid w:val="00856321"/>
    <w:rsid w:val="0085635A"/>
    <w:rsid w:val="008563D8"/>
    <w:rsid w:val="008564A0"/>
    <w:rsid w:val="00856508"/>
    <w:rsid w:val="00856550"/>
    <w:rsid w:val="00856569"/>
    <w:rsid w:val="008566A4"/>
    <w:rsid w:val="00856705"/>
    <w:rsid w:val="0085670D"/>
    <w:rsid w:val="00856769"/>
    <w:rsid w:val="0085679E"/>
    <w:rsid w:val="0085680C"/>
    <w:rsid w:val="00856847"/>
    <w:rsid w:val="0085684D"/>
    <w:rsid w:val="008568AF"/>
    <w:rsid w:val="00856954"/>
    <w:rsid w:val="008569DD"/>
    <w:rsid w:val="00856AB7"/>
    <w:rsid w:val="00856ACE"/>
    <w:rsid w:val="00856AE9"/>
    <w:rsid w:val="00856B8C"/>
    <w:rsid w:val="00856BB0"/>
    <w:rsid w:val="00856BE7"/>
    <w:rsid w:val="00856C72"/>
    <w:rsid w:val="00856D9C"/>
    <w:rsid w:val="00856E0D"/>
    <w:rsid w:val="00856E4A"/>
    <w:rsid w:val="00856F2B"/>
    <w:rsid w:val="00856F49"/>
    <w:rsid w:val="00856F63"/>
    <w:rsid w:val="00856FEA"/>
    <w:rsid w:val="00857066"/>
    <w:rsid w:val="0085709C"/>
    <w:rsid w:val="008570B7"/>
    <w:rsid w:val="008570C1"/>
    <w:rsid w:val="008570CE"/>
    <w:rsid w:val="008570F6"/>
    <w:rsid w:val="00857143"/>
    <w:rsid w:val="00857177"/>
    <w:rsid w:val="00857342"/>
    <w:rsid w:val="00857361"/>
    <w:rsid w:val="008573BD"/>
    <w:rsid w:val="008573D6"/>
    <w:rsid w:val="008573E8"/>
    <w:rsid w:val="0085742A"/>
    <w:rsid w:val="00857514"/>
    <w:rsid w:val="00857573"/>
    <w:rsid w:val="0085763B"/>
    <w:rsid w:val="00857655"/>
    <w:rsid w:val="00857657"/>
    <w:rsid w:val="0085770B"/>
    <w:rsid w:val="00857761"/>
    <w:rsid w:val="0085779A"/>
    <w:rsid w:val="008577B3"/>
    <w:rsid w:val="008578E5"/>
    <w:rsid w:val="008579D2"/>
    <w:rsid w:val="00857A10"/>
    <w:rsid w:val="00857A1A"/>
    <w:rsid w:val="00857A5C"/>
    <w:rsid w:val="00857B09"/>
    <w:rsid w:val="00857B1A"/>
    <w:rsid w:val="00857B85"/>
    <w:rsid w:val="00857BF8"/>
    <w:rsid w:val="00857C1B"/>
    <w:rsid w:val="00857D5A"/>
    <w:rsid w:val="00857DB5"/>
    <w:rsid w:val="00857E15"/>
    <w:rsid w:val="00857E39"/>
    <w:rsid w:val="00857F2E"/>
    <w:rsid w:val="008600F9"/>
    <w:rsid w:val="00860117"/>
    <w:rsid w:val="0086018D"/>
    <w:rsid w:val="00860193"/>
    <w:rsid w:val="0086023D"/>
    <w:rsid w:val="0086033A"/>
    <w:rsid w:val="008603F2"/>
    <w:rsid w:val="008604D2"/>
    <w:rsid w:val="008604D7"/>
    <w:rsid w:val="00860531"/>
    <w:rsid w:val="00860560"/>
    <w:rsid w:val="008605CC"/>
    <w:rsid w:val="00860716"/>
    <w:rsid w:val="0086074B"/>
    <w:rsid w:val="008607EB"/>
    <w:rsid w:val="00860817"/>
    <w:rsid w:val="00860950"/>
    <w:rsid w:val="00860953"/>
    <w:rsid w:val="0086097F"/>
    <w:rsid w:val="008609DC"/>
    <w:rsid w:val="00860A2F"/>
    <w:rsid w:val="00860A31"/>
    <w:rsid w:val="00860AEC"/>
    <w:rsid w:val="00860B0E"/>
    <w:rsid w:val="00860B76"/>
    <w:rsid w:val="00860C3F"/>
    <w:rsid w:val="00860DC2"/>
    <w:rsid w:val="00860E16"/>
    <w:rsid w:val="00860E56"/>
    <w:rsid w:val="00860E7A"/>
    <w:rsid w:val="00860EFA"/>
    <w:rsid w:val="00860F71"/>
    <w:rsid w:val="0086102E"/>
    <w:rsid w:val="0086108B"/>
    <w:rsid w:val="008610BF"/>
    <w:rsid w:val="0086111C"/>
    <w:rsid w:val="00861135"/>
    <w:rsid w:val="0086113D"/>
    <w:rsid w:val="00861190"/>
    <w:rsid w:val="008611D8"/>
    <w:rsid w:val="00861260"/>
    <w:rsid w:val="008612A0"/>
    <w:rsid w:val="008612B2"/>
    <w:rsid w:val="008613B7"/>
    <w:rsid w:val="0086142B"/>
    <w:rsid w:val="00861485"/>
    <w:rsid w:val="008614B1"/>
    <w:rsid w:val="0086159D"/>
    <w:rsid w:val="00861623"/>
    <w:rsid w:val="0086165C"/>
    <w:rsid w:val="00861831"/>
    <w:rsid w:val="00861881"/>
    <w:rsid w:val="008618B7"/>
    <w:rsid w:val="00861CC1"/>
    <w:rsid w:val="00861CD4"/>
    <w:rsid w:val="00861D0E"/>
    <w:rsid w:val="00861D71"/>
    <w:rsid w:val="00861D9F"/>
    <w:rsid w:val="00861E02"/>
    <w:rsid w:val="00861E25"/>
    <w:rsid w:val="00861EE2"/>
    <w:rsid w:val="00861F0D"/>
    <w:rsid w:val="00861F81"/>
    <w:rsid w:val="00861F98"/>
    <w:rsid w:val="00862120"/>
    <w:rsid w:val="00862146"/>
    <w:rsid w:val="0086216F"/>
    <w:rsid w:val="008621CE"/>
    <w:rsid w:val="008621E4"/>
    <w:rsid w:val="00862238"/>
    <w:rsid w:val="00862263"/>
    <w:rsid w:val="0086227C"/>
    <w:rsid w:val="008622DC"/>
    <w:rsid w:val="008623D9"/>
    <w:rsid w:val="0086243D"/>
    <w:rsid w:val="00862485"/>
    <w:rsid w:val="00862554"/>
    <w:rsid w:val="008625CF"/>
    <w:rsid w:val="008625D7"/>
    <w:rsid w:val="008625E5"/>
    <w:rsid w:val="008625FF"/>
    <w:rsid w:val="008626AD"/>
    <w:rsid w:val="008626E2"/>
    <w:rsid w:val="00862770"/>
    <w:rsid w:val="0086288A"/>
    <w:rsid w:val="00862897"/>
    <w:rsid w:val="008628A7"/>
    <w:rsid w:val="008628AA"/>
    <w:rsid w:val="008628D4"/>
    <w:rsid w:val="00862913"/>
    <w:rsid w:val="00862991"/>
    <w:rsid w:val="008629C0"/>
    <w:rsid w:val="00862AD7"/>
    <w:rsid w:val="00862B35"/>
    <w:rsid w:val="00862B73"/>
    <w:rsid w:val="00862BC1"/>
    <w:rsid w:val="00862C87"/>
    <w:rsid w:val="00862CB3"/>
    <w:rsid w:val="00862E22"/>
    <w:rsid w:val="00862E3D"/>
    <w:rsid w:val="00862F8C"/>
    <w:rsid w:val="0086306C"/>
    <w:rsid w:val="008630F9"/>
    <w:rsid w:val="008630FA"/>
    <w:rsid w:val="0086310B"/>
    <w:rsid w:val="00863160"/>
    <w:rsid w:val="00863233"/>
    <w:rsid w:val="008632DE"/>
    <w:rsid w:val="0086330A"/>
    <w:rsid w:val="008633A4"/>
    <w:rsid w:val="008633CF"/>
    <w:rsid w:val="00863401"/>
    <w:rsid w:val="0086344A"/>
    <w:rsid w:val="0086360E"/>
    <w:rsid w:val="0086362E"/>
    <w:rsid w:val="00863678"/>
    <w:rsid w:val="00863742"/>
    <w:rsid w:val="00863792"/>
    <w:rsid w:val="008637E6"/>
    <w:rsid w:val="008638F8"/>
    <w:rsid w:val="00863958"/>
    <w:rsid w:val="00863A24"/>
    <w:rsid w:val="00863A5E"/>
    <w:rsid w:val="00863A78"/>
    <w:rsid w:val="00863BA3"/>
    <w:rsid w:val="00863BD8"/>
    <w:rsid w:val="00863BE1"/>
    <w:rsid w:val="00863BF2"/>
    <w:rsid w:val="00863BFB"/>
    <w:rsid w:val="00863BFD"/>
    <w:rsid w:val="00863C08"/>
    <w:rsid w:val="00863CBF"/>
    <w:rsid w:val="00863D42"/>
    <w:rsid w:val="00863E1A"/>
    <w:rsid w:val="00863E8F"/>
    <w:rsid w:val="00863EBB"/>
    <w:rsid w:val="00863ED5"/>
    <w:rsid w:val="00863F06"/>
    <w:rsid w:val="00863F2E"/>
    <w:rsid w:val="00863FC4"/>
    <w:rsid w:val="00864004"/>
    <w:rsid w:val="0086401E"/>
    <w:rsid w:val="00864092"/>
    <w:rsid w:val="008640A4"/>
    <w:rsid w:val="008641D4"/>
    <w:rsid w:val="0086425A"/>
    <w:rsid w:val="0086427E"/>
    <w:rsid w:val="008642C9"/>
    <w:rsid w:val="00864312"/>
    <w:rsid w:val="008643C7"/>
    <w:rsid w:val="0086457D"/>
    <w:rsid w:val="00864583"/>
    <w:rsid w:val="008645C9"/>
    <w:rsid w:val="00864682"/>
    <w:rsid w:val="008646EE"/>
    <w:rsid w:val="008646F1"/>
    <w:rsid w:val="008647C5"/>
    <w:rsid w:val="008647CE"/>
    <w:rsid w:val="008647D6"/>
    <w:rsid w:val="008647EE"/>
    <w:rsid w:val="0086481F"/>
    <w:rsid w:val="00864820"/>
    <w:rsid w:val="0086487F"/>
    <w:rsid w:val="0086491B"/>
    <w:rsid w:val="0086496C"/>
    <w:rsid w:val="00864A55"/>
    <w:rsid w:val="00864B10"/>
    <w:rsid w:val="00864BF1"/>
    <w:rsid w:val="00864D04"/>
    <w:rsid w:val="00864D79"/>
    <w:rsid w:val="00864E3F"/>
    <w:rsid w:val="00864F7B"/>
    <w:rsid w:val="00864FAE"/>
    <w:rsid w:val="00865010"/>
    <w:rsid w:val="0086507F"/>
    <w:rsid w:val="008650BA"/>
    <w:rsid w:val="008650BF"/>
    <w:rsid w:val="0086526F"/>
    <w:rsid w:val="008652B5"/>
    <w:rsid w:val="0086540F"/>
    <w:rsid w:val="00865460"/>
    <w:rsid w:val="008654AB"/>
    <w:rsid w:val="008654D7"/>
    <w:rsid w:val="00865512"/>
    <w:rsid w:val="00865584"/>
    <w:rsid w:val="008655DC"/>
    <w:rsid w:val="0086562E"/>
    <w:rsid w:val="008656DA"/>
    <w:rsid w:val="00865700"/>
    <w:rsid w:val="0086576C"/>
    <w:rsid w:val="00865814"/>
    <w:rsid w:val="0086583F"/>
    <w:rsid w:val="00865888"/>
    <w:rsid w:val="00865950"/>
    <w:rsid w:val="00865996"/>
    <w:rsid w:val="00865A25"/>
    <w:rsid w:val="00865A75"/>
    <w:rsid w:val="00865B63"/>
    <w:rsid w:val="00865B89"/>
    <w:rsid w:val="00865D9E"/>
    <w:rsid w:val="00865F23"/>
    <w:rsid w:val="00865F29"/>
    <w:rsid w:val="00865F4C"/>
    <w:rsid w:val="00865F6D"/>
    <w:rsid w:val="00865FDC"/>
    <w:rsid w:val="00865FFD"/>
    <w:rsid w:val="008660D2"/>
    <w:rsid w:val="008660F7"/>
    <w:rsid w:val="008661AB"/>
    <w:rsid w:val="0086622D"/>
    <w:rsid w:val="00866251"/>
    <w:rsid w:val="008662A6"/>
    <w:rsid w:val="00866304"/>
    <w:rsid w:val="0086630A"/>
    <w:rsid w:val="00866367"/>
    <w:rsid w:val="008663CC"/>
    <w:rsid w:val="008664C8"/>
    <w:rsid w:val="008664CD"/>
    <w:rsid w:val="008664FC"/>
    <w:rsid w:val="00866535"/>
    <w:rsid w:val="00866580"/>
    <w:rsid w:val="0086659F"/>
    <w:rsid w:val="0086673A"/>
    <w:rsid w:val="0086673F"/>
    <w:rsid w:val="008667C2"/>
    <w:rsid w:val="008667CF"/>
    <w:rsid w:val="008667D6"/>
    <w:rsid w:val="00866854"/>
    <w:rsid w:val="00866871"/>
    <w:rsid w:val="00866896"/>
    <w:rsid w:val="008668D6"/>
    <w:rsid w:val="008668DB"/>
    <w:rsid w:val="00866970"/>
    <w:rsid w:val="008669AF"/>
    <w:rsid w:val="00866A1C"/>
    <w:rsid w:val="00866A8A"/>
    <w:rsid w:val="00866B66"/>
    <w:rsid w:val="00866BEC"/>
    <w:rsid w:val="00866BFE"/>
    <w:rsid w:val="00866C2E"/>
    <w:rsid w:val="00866C58"/>
    <w:rsid w:val="00866CC6"/>
    <w:rsid w:val="00866E86"/>
    <w:rsid w:val="00866EED"/>
    <w:rsid w:val="00866F0C"/>
    <w:rsid w:val="00866F31"/>
    <w:rsid w:val="00866F33"/>
    <w:rsid w:val="00866F53"/>
    <w:rsid w:val="00866F6D"/>
    <w:rsid w:val="00866F87"/>
    <w:rsid w:val="00867005"/>
    <w:rsid w:val="008670E4"/>
    <w:rsid w:val="0086710D"/>
    <w:rsid w:val="00867232"/>
    <w:rsid w:val="00867270"/>
    <w:rsid w:val="008672B5"/>
    <w:rsid w:val="0086732A"/>
    <w:rsid w:val="00867428"/>
    <w:rsid w:val="00867439"/>
    <w:rsid w:val="008674C4"/>
    <w:rsid w:val="008674C6"/>
    <w:rsid w:val="008674FE"/>
    <w:rsid w:val="00867588"/>
    <w:rsid w:val="008675EE"/>
    <w:rsid w:val="0086763D"/>
    <w:rsid w:val="008676F4"/>
    <w:rsid w:val="00867777"/>
    <w:rsid w:val="00867883"/>
    <w:rsid w:val="00867896"/>
    <w:rsid w:val="008678BC"/>
    <w:rsid w:val="008679F6"/>
    <w:rsid w:val="00867A43"/>
    <w:rsid w:val="00867B54"/>
    <w:rsid w:val="00867BC5"/>
    <w:rsid w:val="00867BD4"/>
    <w:rsid w:val="00867C69"/>
    <w:rsid w:val="00867CA0"/>
    <w:rsid w:val="00867CBD"/>
    <w:rsid w:val="00867D2A"/>
    <w:rsid w:val="00867DC3"/>
    <w:rsid w:val="00867E2E"/>
    <w:rsid w:val="00867EAB"/>
    <w:rsid w:val="00867EF4"/>
    <w:rsid w:val="00867F40"/>
    <w:rsid w:val="00870162"/>
    <w:rsid w:val="00870181"/>
    <w:rsid w:val="00870216"/>
    <w:rsid w:val="00870257"/>
    <w:rsid w:val="00870310"/>
    <w:rsid w:val="00870431"/>
    <w:rsid w:val="008704A4"/>
    <w:rsid w:val="008704D8"/>
    <w:rsid w:val="00870626"/>
    <w:rsid w:val="008707E6"/>
    <w:rsid w:val="008707F4"/>
    <w:rsid w:val="00870806"/>
    <w:rsid w:val="00870846"/>
    <w:rsid w:val="00870872"/>
    <w:rsid w:val="008708A4"/>
    <w:rsid w:val="008708C6"/>
    <w:rsid w:val="008708D0"/>
    <w:rsid w:val="00870926"/>
    <w:rsid w:val="00870940"/>
    <w:rsid w:val="00870955"/>
    <w:rsid w:val="00870980"/>
    <w:rsid w:val="00870A47"/>
    <w:rsid w:val="00870A79"/>
    <w:rsid w:val="00870ADF"/>
    <w:rsid w:val="00870AEB"/>
    <w:rsid w:val="00870B3A"/>
    <w:rsid w:val="00870C36"/>
    <w:rsid w:val="00870C6D"/>
    <w:rsid w:val="00870C94"/>
    <w:rsid w:val="00870CAC"/>
    <w:rsid w:val="00870CCF"/>
    <w:rsid w:val="00870D2C"/>
    <w:rsid w:val="00870D86"/>
    <w:rsid w:val="00870DA2"/>
    <w:rsid w:val="00870DC1"/>
    <w:rsid w:val="00870E5C"/>
    <w:rsid w:val="00870E6E"/>
    <w:rsid w:val="00870E7E"/>
    <w:rsid w:val="00870F8A"/>
    <w:rsid w:val="00870FCA"/>
    <w:rsid w:val="00871028"/>
    <w:rsid w:val="00871048"/>
    <w:rsid w:val="0087110B"/>
    <w:rsid w:val="0087122F"/>
    <w:rsid w:val="00871271"/>
    <w:rsid w:val="00871297"/>
    <w:rsid w:val="008713BA"/>
    <w:rsid w:val="00871408"/>
    <w:rsid w:val="00871439"/>
    <w:rsid w:val="0087146E"/>
    <w:rsid w:val="0087151D"/>
    <w:rsid w:val="008715A9"/>
    <w:rsid w:val="008715B0"/>
    <w:rsid w:val="008715C7"/>
    <w:rsid w:val="00871602"/>
    <w:rsid w:val="0087168B"/>
    <w:rsid w:val="00871781"/>
    <w:rsid w:val="0087178D"/>
    <w:rsid w:val="008717AA"/>
    <w:rsid w:val="008717B0"/>
    <w:rsid w:val="008717DC"/>
    <w:rsid w:val="008717EB"/>
    <w:rsid w:val="008717F9"/>
    <w:rsid w:val="00871981"/>
    <w:rsid w:val="008719F0"/>
    <w:rsid w:val="008719FB"/>
    <w:rsid w:val="00871AAE"/>
    <w:rsid w:val="00871B0F"/>
    <w:rsid w:val="00871B27"/>
    <w:rsid w:val="00871BE4"/>
    <w:rsid w:val="00871C88"/>
    <w:rsid w:val="00871CC5"/>
    <w:rsid w:val="00871CD4"/>
    <w:rsid w:val="00871D2F"/>
    <w:rsid w:val="00871D8A"/>
    <w:rsid w:val="00871E5D"/>
    <w:rsid w:val="00871E66"/>
    <w:rsid w:val="00871EAD"/>
    <w:rsid w:val="00871EDE"/>
    <w:rsid w:val="00871FED"/>
    <w:rsid w:val="0087200C"/>
    <w:rsid w:val="00872098"/>
    <w:rsid w:val="00872106"/>
    <w:rsid w:val="0087211B"/>
    <w:rsid w:val="00872121"/>
    <w:rsid w:val="00872140"/>
    <w:rsid w:val="0087216A"/>
    <w:rsid w:val="00872217"/>
    <w:rsid w:val="00872240"/>
    <w:rsid w:val="00872245"/>
    <w:rsid w:val="00872347"/>
    <w:rsid w:val="008723C3"/>
    <w:rsid w:val="008723DB"/>
    <w:rsid w:val="00872472"/>
    <w:rsid w:val="00872475"/>
    <w:rsid w:val="00872494"/>
    <w:rsid w:val="008724A9"/>
    <w:rsid w:val="008724BA"/>
    <w:rsid w:val="008726B6"/>
    <w:rsid w:val="00872712"/>
    <w:rsid w:val="0087274D"/>
    <w:rsid w:val="00872753"/>
    <w:rsid w:val="008727FC"/>
    <w:rsid w:val="00872870"/>
    <w:rsid w:val="00872A84"/>
    <w:rsid w:val="00872B42"/>
    <w:rsid w:val="00872C01"/>
    <w:rsid w:val="00872C72"/>
    <w:rsid w:val="00872CB8"/>
    <w:rsid w:val="00872CDE"/>
    <w:rsid w:val="00872DC3"/>
    <w:rsid w:val="00872DFA"/>
    <w:rsid w:val="00872E0C"/>
    <w:rsid w:val="00872E1F"/>
    <w:rsid w:val="00872E66"/>
    <w:rsid w:val="00872E8B"/>
    <w:rsid w:val="00872E9B"/>
    <w:rsid w:val="00872ECF"/>
    <w:rsid w:val="00872FE0"/>
    <w:rsid w:val="00873016"/>
    <w:rsid w:val="0087302A"/>
    <w:rsid w:val="0087307E"/>
    <w:rsid w:val="00873098"/>
    <w:rsid w:val="008730E7"/>
    <w:rsid w:val="0087314A"/>
    <w:rsid w:val="0087315D"/>
    <w:rsid w:val="008731E1"/>
    <w:rsid w:val="0087324D"/>
    <w:rsid w:val="00873283"/>
    <w:rsid w:val="008732DF"/>
    <w:rsid w:val="00873335"/>
    <w:rsid w:val="0087338B"/>
    <w:rsid w:val="0087338E"/>
    <w:rsid w:val="008733B9"/>
    <w:rsid w:val="008733CD"/>
    <w:rsid w:val="008733F4"/>
    <w:rsid w:val="00873435"/>
    <w:rsid w:val="008735FF"/>
    <w:rsid w:val="0087371A"/>
    <w:rsid w:val="0087375F"/>
    <w:rsid w:val="0087379E"/>
    <w:rsid w:val="008737CA"/>
    <w:rsid w:val="0087385D"/>
    <w:rsid w:val="008738E1"/>
    <w:rsid w:val="0087395F"/>
    <w:rsid w:val="00873A5F"/>
    <w:rsid w:val="00873B56"/>
    <w:rsid w:val="00873BFF"/>
    <w:rsid w:val="00873C75"/>
    <w:rsid w:val="00873CFA"/>
    <w:rsid w:val="00873D8A"/>
    <w:rsid w:val="00873D97"/>
    <w:rsid w:val="00873DF7"/>
    <w:rsid w:val="00873E67"/>
    <w:rsid w:val="00873EBC"/>
    <w:rsid w:val="00873F35"/>
    <w:rsid w:val="00873F90"/>
    <w:rsid w:val="00874008"/>
    <w:rsid w:val="00874093"/>
    <w:rsid w:val="0087429E"/>
    <w:rsid w:val="008742AE"/>
    <w:rsid w:val="008742EC"/>
    <w:rsid w:val="0087430A"/>
    <w:rsid w:val="00874322"/>
    <w:rsid w:val="00874407"/>
    <w:rsid w:val="00874450"/>
    <w:rsid w:val="00874473"/>
    <w:rsid w:val="0087448B"/>
    <w:rsid w:val="008744E0"/>
    <w:rsid w:val="00874557"/>
    <w:rsid w:val="00874590"/>
    <w:rsid w:val="00874665"/>
    <w:rsid w:val="008747C8"/>
    <w:rsid w:val="008748C7"/>
    <w:rsid w:val="008749CB"/>
    <w:rsid w:val="00874A5F"/>
    <w:rsid w:val="00874A65"/>
    <w:rsid w:val="00874A7C"/>
    <w:rsid w:val="00874B0E"/>
    <w:rsid w:val="00874BB3"/>
    <w:rsid w:val="00874C09"/>
    <w:rsid w:val="00874C45"/>
    <w:rsid w:val="00874C8C"/>
    <w:rsid w:val="00874D24"/>
    <w:rsid w:val="00874DF4"/>
    <w:rsid w:val="00874E11"/>
    <w:rsid w:val="00874E69"/>
    <w:rsid w:val="00874EAE"/>
    <w:rsid w:val="00874ECD"/>
    <w:rsid w:val="00874EE8"/>
    <w:rsid w:val="00874F4F"/>
    <w:rsid w:val="00874F51"/>
    <w:rsid w:val="00874F59"/>
    <w:rsid w:val="00874F70"/>
    <w:rsid w:val="0087503A"/>
    <w:rsid w:val="00875082"/>
    <w:rsid w:val="008750BE"/>
    <w:rsid w:val="0087521D"/>
    <w:rsid w:val="00875318"/>
    <w:rsid w:val="008753E8"/>
    <w:rsid w:val="00875466"/>
    <w:rsid w:val="00875470"/>
    <w:rsid w:val="0087550D"/>
    <w:rsid w:val="008755BE"/>
    <w:rsid w:val="0087568B"/>
    <w:rsid w:val="008756AC"/>
    <w:rsid w:val="008756EB"/>
    <w:rsid w:val="008756EC"/>
    <w:rsid w:val="0087571F"/>
    <w:rsid w:val="008757D3"/>
    <w:rsid w:val="00875854"/>
    <w:rsid w:val="00875867"/>
    <w:rsid w:val="00875909"/>
    <w:rsid w:val="008759B0"/>
    <w:rsid w:val="00875A42"/>
    <w:rsid w:val="00875A51"/>
    <w:rsid w:val="00875A92"/>
    <w:rsid w:val="00875A9E"/>
    <w:rsid w:val="00875AA7"/>
    <w:rsid w:val="00875AA9"/>
    <w:rsid w:val="00875AEC"/>
    <w:rsid w:val="00875AF1"/>
    <w:rsid w:val="00875AFC"/>
    <w:rsid w:val="00875B3A"/>
    <w:rsid w:val="00875B67"/>
    <w:rsid w:val="00875BD1"/>
    <w:rsid w:val="00875C4A"/>
    <w:rsid w:val="00875C7A"/>
    <w:rsid w:val="00875C92"/>
    <w:rsid w:val="00875D05"/>
    <w:rsid w:val="00875D6F"/>
    <w:rsid w:val="00875E83"/>
    <w:rsid w:val="00875F19"/>
    <w:rsid w:val="00875F5E"/>
    <w:rsid w:val="00875F7A"/>
    <w:rsid w:val="00875F88"/>
    <w:rsid w:val="00875FA7"/>
    <w:rsid w:val="0087602E"/>
    <w:rsid w:val="008760CF"/>
    <w:rsid w:val="00876312"/>
    <w:rsid w:val="00876343"/>
    <w:rsid w:val="008763EB"/>
    <w:rsid w:val="0087642E"/>
    <w:rsid w:val="0087646B"/>
    <w:rsid w:val="00876472"/>
    <w:rsid w:val="008764D3"/>
    <w:rsid w:val="00876512"/>
    <w:rsid w:val="00876534"/>
    <w:rsid w:val="0087659B"/>
    <w:rsid w:val="008765D5"/>
    <w:rsid w:val="00876656"/>
    <w:rsid w:val="008766A9"/>
    <w:rsid w:val="008766DE"/>
    <w:rsid w:val="008766FA"/>
    <w:rsid w:val="00876751"/>
    <w:rsid w:val="008767F1"/>
    <w:rsid w:val="00876861"/>
    <w:rsid w:val="00876873"/>
    <w:rsid w:val="0087687A"/>
    <w:rsid w:val="008768E1"/>
    <w:rsid w:val="008769B1"/>
    <w:rsid w:val="008769CB"/>
    <w:rsid w:val="00876A97"/>
    <w:rsid w:val="00876AB9"/>
    <w:rsid w:val="00876ABB"/>
    <w:rsid w:val="00876ABC"/>
    <w:rsid w:val="00876C6A"/>
    <w:rsid w:val="00876C6E"/>
    <w:rsid w:val="00876D85"/>
    <w:rsid w:val="00876E6B"/>
    <w:rsid w:val="00876E79"/>
    <w:rsid w:val="00876F91"/>
    <w:rsid w:val="00876FAC"/>
    <w:rsid w:val="00876FF8"/>
    <w:rsid w:val="008770ED"/>
    <w:rsid w:val="008770F1"/>
    <w:rsid w:val="00877125"/>
    <w:rsid w:val="00877162"/>
    <w:rsid w:val="008771D4"/>
    <w:rsid w:val="008771EA"/>
    <w:rsid w:val="0087720D"/>
    <w:rsid w:val="0087725A"/>
    <w:rsid w:val="008772A2"/>
    <w:rsid w:val="008772D9"/>
    <w:rsid w:val="008772E4"/>
    <w:rsid w:val="00877301"/>
    <w:rsid w:val="00877324"/>
    <w:rsid w:val="0087735C"/>
    <w:rsid w:val="008773F5"/>
    <w:rsid w:val="00877403"/>
    <w:rsid w:val="00877412"/>
    <w:rsid w:val="00877539"/>
    <w:rsid w:val="00877562"/>
    <w:rsid w:val="008775C5"/>
    <w:rsid w:val="008775C9"/>
    <w:rsid w:val="00877606"/>
    <w:rsid w:val="0087761B"/>
    <w:rsid w:val="00877687"/>
    <w:rsid w:val="0087769A"/>
    <w:rsid w:val="008776AD"/>
    <w:rsid w:val="0087771A"/>
    <w:rsid w:val="0087771F"/>
    <w:rsid w:val="00877780"/>
    <w:rsid w:val="008777EE"/>
    <w:rsid w:val="008777F9"/>
    <w:rsid w:val="008779C8"/>
    <w:rsid w:val="008779F0"/>
    <w:rsid w:val="00877A05"/>
    <w:rsid w:val="00877A30"/>
    <w:rsid w:val="00877A35"/>
    <w:rsid w:val="00877A74"/>
    <w:rsid w:val="00877B52"/>
    <w:rsid w:val="00877B99"/>
    <w:rsid w:val="00877C51"/>
    <w:rsid w:val="00877C6B"/>
    <w:rsid w:val="00877CB2"/>
    <w:rsid w:val="00877CEA"/>
    <w:rsid w:val="00877E27"/>
    <w:rsid w:val="00877E61"/>
    <w:rsid w:val="00877F20"/>
    <w:rsid w:val="00877F3A"/>
    <w:rsid w:val="00877F42"/>
    <w:rsid w:val="00877FB8"/>
    <w:rsid w:val="00877FF2"/>
    <w:rsid w:val="00880070"/>
    <w:rsid w:val="00880084"/>
    <w:rsid w:val="0088010E"/>
    <w:rsid w:val="00880165"/>
    <w:rsid w:val="0088017A"/>
    <w:rsid w:val="00880280"/>
    <w:rsid w:val="008802BE"/>
    <w:rsid w:val="008802D9"/>
    <w:rsid w:val="008802EC"/>
    <w:rsid w:val="0088039A"/>
    <w:rsid w:val="0088040B"/>
    <w:rsid w:val="0088042E"/>
    <w:rsid w:val="0088043E"/>
    <w:rsid w:val="00880442"/>
    <w:rsid w:val="0088046E"/>
    <w:rsid w:val="00880481"/>
    <w:rsid w:val="0088051A"/>
    <w:rsid w:val="008805EC"/>
    <w:rsid w:val="0088060B"/>
    <w:rsid w:val="0088066B"/>
    <w:rsid w:val="008806A1"/>
    <w:rsid w:val="00880733"/>
    <w:rsid w:val="008807ED"/>
    <w:rsid w:val="0088085A"/>
    <w:rsid w:val="0088091B"/>
    <w:rsid w:val="00880945"/>
    <w:rsid w:val="0088099E"/>
    <w:rsid w:val="00880AB8"/>
    <w:rsid w:val="00880B95"/>
    <w:rsid w:val="00880B96"/>
    <w:rsid w:val="00880BAA"/>
    <w:rsid w:val="00880BDC"/>
    <w:rsid w:val="00880C4E"/>
    <w:rsid w:val="00880C7D"/>
    <w:rsid w:val="00880CA3"/>
    <w:rsid w:val="00880CEE"/>
    <w:rsid w:val="00880E94"/>
    <w:rsid w:val="00880E9F"/>
    <w:rsid w:val="00880F44"/>
    <w:rsid w:val="00880FA3"/>
    <w:rsid w:val="00880FEA"/>
    <w:rsid w:val="008810B7"/>
    <w:rsid w:val="008810D7"/>
    <w:rsid w:val="00881128"/>
    <w:rsid w:val="00881170"/>
    <w:rsid w:val="008811A8"/>
    <w:rsid w:val="00881260"/>
    <w:rsid w:val="00881282"/>
    <w:rsid w:val="0088128C"/>
    <w:rsid w:val="00881419"/>
    <w:rsid w:val="008814A8"/>
    <w:rsid w:val="008814BA"/>
    <w:rsid w:val="00881594"/>
    <w:rsid w:val="008815AB"/>
    <w:rsid w:val="008815C5"/>
    <w:rsid w:val="008815E9"/>
    <w:rsid w:val="00881629"/>
    <w:rsid w:val="00881642"/>
    <w:rsid w:val="00881708"/>
    <w:rsid w:val="00881760"/>
    <w:rsid w:val="008817FA"/>
    <w:rsid w:val="00881909"/>
    <w:rsid w:val="0088192F"/>
    <w:rsid w:val="00881933"/>
    <w:rsid w:val="00881943"/>
    <w:rsid w:val="008819B8"/>
    <w:rsid w:val="008819D6"/>
    <w:rsid w:val="008819E9"/>
    <w:rsid w:val="00881A24"/>
    <w:rsid w:val="00881A31"/>
    <w:rsid w:val="00881A7C"/>
    <w:rsid w:val="00881B18"/>
    <w:rsid w:val="00881B51"/>
    <w:rsid w:val="00881BCE"/>
    <w:rsid w:val="00881CC7"/>
    <w:rsid w:val="00881D01"/>
    <w:rsid w:val="00881D12"/>
    <w:rsid w:val="00881D37"/>
    <w:rsid w:val="00881D39"/>
    <w:rsid w:val="00881D51"/>
    <w:rsid w:val="00881D67"/>
    <w:rsid w:val="00881DBA"/>
    <w:rsid w:val="00881E30"/>
    <w:rsid w:val="00881FC1"/>
    <w:rsid w:val="00882006"/>
    <w:rsid w:val="008820D3"/>
    <w:rsid w:val="00882124"/>
    <w:rsid w:val="0088212E"/>
    <w:rsid w:val="00882247"/>
    <w:rsid w:val="00882274"/>
    <w:rsid w:val="00882316"/>
    <w:rsid w:val="0088231E"/>
    <w:rsid w:val="008823D2"/>
    <w:rsid w:val="008823FD"/>
    <w:rsid w:val="00882504"/>
    <w:rsid w:val="008825B5"/>
    <w:rsid w:val="008825D4"/>
    <w:rsid w:val="008825EB"/>
    <w:rsid w:val="0088261E"/>
    <w:rsid w:val="0088266F"/>
    <w:rsid w:val="00882698"/>
    <w:rsid w:val="008826C7"/>
    <w:rsid w:val="0088275A"/>
    <w:rsid w:val="00882797"/>
    <w:rsid w:val="008827A8"/>
    <w:rsid w:val="008827EF"/>
    <w:rsid w:val="008827F0"/>
    <w:rsid w:val="008827FF"/>
    <w:rsid w:val="008828FF"/>
    <w:rsid w:val="0088298F"/>
    <w:rsid w:val="00882B34"/>
    <w:rsid w:val="00882E18"/>
    <w:rsid w:val="00882EB6"/>
    <w:rsid w:val="00882EE6"/>
    <w:rsid w:val="00882F5B"/>
    <w:rsid w:val="0088304B"/>
    <w:rsid w:val="0088309C"/>
    <w:rsid w:val="008832A1"/>
    <w:rsid w:val="0088338E"/>
    <w:rsid w:val="008833CA"/>
    <w:rsid w:val="0088341A"/>
    <w:rsid w:val="0088347C"/>
    <w:rsid w:val="008834A9"/>
    <w:rsid w:val="0088362A"/>
    <w:rsid w:val="00883696"/>
    <w:rsid w:val="008836E1"/>
    <w:rsid w:val="0088374E"/>
    <w:rsid w:val="0088374F"/>
    <w:rsid w:val="0088379D"/>
    <w:rsid w:val="008837AA"/>
    <w:rsid w:val="0088382F"/>
    <w:rsid w:val="0088386D"/>
    <w:rsid w:val="008838B3"/>
    <w:rsid w:val="008838F6"/>
    <w:rsid w:val="0088394F"/>
    <w:rsid w:val="00883981"/>
    <w:rsid w:val="008839D3"/>
    <w:rsid w:val="00883AB8"/>
    <w:rsid w:val="00883AF4"/>
    <w:rsid w:val="00883B88"/>
    <w:rsid w:val="00883C75"/>
    <w:rsid w:val="00883CDE"/>
    <w:rsid w:val="00883CF5"/>
    <w:rsid w:val="00883D31"/>
    <w:rsid w:val="00883D63"/>
    <w:rsid w:val="00883DD7"/>
    <w:rsid w:val="00883F43"/>
    <w:rsid w:val="00883F71"/>
    <w:rsid w:val="00883FEE"/>
    <w:rsid w:val="008840E6"/>
    <w:rsid w:val="0088420B"/>
    <w:rsid w:val="0088424E"/>
    <w:rsid w:val="0088428C"/>
    <w:rsid w:val="008842C9"/>
    <w:rsid w:val="00884324"/>
    <w:rsid w:val="00884461"/>
    <w:rsid w:val="00884493"/>
    <w:rsid w:val="008845D1"/>
    <w:rsid w:val="008845D9"/>
    <w:rsid w:val="0088466B"/>
    <w:rsid w:val="008846E6"/>
    <w:rsid w:val="00884831"/>
    <w:rsid w:val="0088490A"/>
    <w:rsid w:val="008849A4"/>
    <w:rsid w:val="008849CD"/>
    <w:rsid w:val="00884A28"/>
    <w:rsid w:val="00884A6F"/>
    <w:rsid w:val="00884B27"/>
    <w:rsid w:val="00884BC8"/>
    <w:rsid w:val="00884C52"/>
    <w:rsid w:val="00884CF6"/>
    <w:rsid w:val="00884D0C"/>
    <w:rsid w:val="00884D3F"/>
    <w:rsid w:val="00884D57"/>
    <w:rsid w:val="00884D61"/>
    <w:rsid w:val="00884DD2"/>
    <w:rsid w:val="00884E39"/>
    <w:rsid w:val="00884E52"/>
    <w:rsid w:val="00884EB8"/>
    <w:rsid w:val="00884ED9"/>
    <w:rsid w:val="00884F59"/>
    <w:rsid w:val="00884FA9"/>
    <w:rsid w:val="00884FD6"/>
    <w:rsid w:val="00885152"/>
    <w:rsid w:val="00885160"/>
    <w:rsid w:val="008851DC"/>
    <w:rsid w:val="008851FA"/>
    <w:rsid w:val="00885217"/>
    <w:rsid w:val="008852B3"/>
    <w:rsid w:val="00885400"/>
    <w:rsid w:val="0088542E"/>
    <w:rsid w:val="0088548D"/>
    <w:rsid w:val="008854BB"/>
    <w:rsid w:val="008854DC"/>
    <w:rsid w:val="008854ED"/>
    <w:rsid w:val="0088555D"/>
    <w:rsid w:val="008855A8"/>
    <w:rsid w:val="00885744"/>
    <w:rsid w:val="00885774"/>
    <w:rsid w:val="008857F5"/>
    <w:rsid w:val="00885878"/>
    <w:rsid w:val="00885907"/>
    <w:rsid w:val="0088591C"/>
    <w:rsid w:val="00885A54"/>
    <w:rsid w:val="00885A92"/>
    <w:rsid w:val="00885B5E"/>
    <w:rsid w:val="00885B73"/>
    <w:rsid w:val="00885C05"/>
    <w:rsid w:val="00885C43"/>
    <w:rsid w:val="00885C63"/>
    <w:rsid w:val="00885CE2"/>
    <w:rsid w:val="00885CE5"/>
    <w:rsid w:val="00885CF6"/>
    <w:rsid w:val="00885D6B"/>
    <w:rsid w:val="00885D83"/>
    <w:rsid w:val="00885DBA"/>
    <w:rsid w:val="00885DCA"/>
    <w:rsid w:val="00885E50"/>
    <w:rsid w:val="00885FDD"/>
    <w:rsid w:val="008860C6"/>
    <w:rsid w:val="00886149"/>
    <w:rsid w:val="00886168"/>
    <w:rsid w:val="00886250"/>
    <w:rsid w:val="0088630A"/>
    <w:rsid w:val="00886318"/>
    <w:rsid w:val="008863F6"/>
    <w:rsid w:val="008864E8"/>
    <w:rsid w:val="0088650C"/>
    <w:rsid w:val="00886592"/>
    <w:rsid w:val="008865F9"/>
    <w:rsid w:val="0088668F"/>
    <w:rsid w:val="00886699"/>
    <w:rsid w:val="008867EF"/>
    <w:rsid w:val="00886872"/>
    <w:rsid w:val="00886873"/>
    <w:rsid w:val="00886948"/>
    <w:rsid w:val="008869AC"/>
    <w:rsid w:val="008869D3"/>
    <w:rsid w:val="00886A5B"/>
    <w:rsid w:val="00886AA5"/>
    <w:rsid w:val="00886B4C"/>
    <w:rsid w:val="00886B9F"/>
    <w:rsid w:val="00886BD6"/>
    <w:rsid w:val="00886C15"/>
    <w:rsid w:val="00886C55"/>
    <w:rsid w:val="00886CBC"/>
    <w:rsid w:val="00886CDE"/>
    <w:rsid w:val="00886DA2"/>
    <w:rsid w:val="00886E5D"/>
    <w:rsid w:val="008870C8"/>
    <w:rsid w:val="008870FC"/>
    <w:rsid w:val="0088711E"/>
    <w:rsid w:val="008871D5"/>
    <w:rsid w:val="00887233"/>
    <w:rsid w:val="008872A1"/>
    <w:rsid w:val="0088731B"/>
    <w:rsid w:val="00887322"/>
    <w:rsid w:val="0088733E"/>
    <w:rsid w:val="00887353"/>
    <w:rsid w:val="008873F3"/>
    <w:rsid w:val="00887437"/>
    <w:rsid w:val="00887479"/>
    <w:rsid w:val="0088748F"/>
    <w:rsid w:val="00887560"/>
    <w:rsid w:val="00887590"/>
    <w:rsid w:val="008875CA"/>
    <w:rsid w:val="008875F4"/>
    <w:rsid w:val="00887646"/>
    <w:rsid w:val="00887691"/>
    <w:rsid w:val="008876F8"/>
    <w:rsid w:val="0088772D"/>
    <w:rsid w:val="00887775"/>
    <w:rsid w:val="008877B8"/>
    <w:rsid w:val="0088782A"/>
    <w:rsid w:val="008878B6"/>
    <w:rsid w:val="008878B8"/>
    <w:rsid w:val="008878C2"/>
    <w:rsid w:val="00887C59"/>
    <w:rsid w:val="00887D2E"/>
    <w:rsid w:val="00887DC4"/>
    <w:rsid w:val="00887DC8"/>
    <w:rsid w:val="00887DE0"/>
    <w:rsid w:val="00887E1E"/>
    <w:rsid w:val="00887F1D"/>
    <w:rsid w:val="00887F61"/>
    <w:rsid w:val="00887F67"/>
    <w:rsid w:val="00887FA4"/>
    <w:rsid w:val="00890091"/>
    <w:rsid w:val="00890115"/>
    <w:rsid w:val="0089013B"/>
    <w:rsid w:val="0089013F"/>
    <w:rsid w:val="008901AE"/>
    <w:rsid w:val="008901CB"/>
    <w:rsid w:val="008901EA"/>
    <w:rsid w:val="008902A6"/>
    <w:rsid w:val="0089039E"/>
    <w:rsid w:val="0089042B"/>
    <w:rsid w:val="008904D3"/>
    <w:rsid w:val="00890584"/>
    <w:rsid w:val="00890606"/>
    <w:rsid w:val="0089060A"/>
    <w:rsid w:val="00890633"/>
    <w:rsid w:val="0089067B"/>
    <w:rsid w:val="008906A9"/>
    <w:rsid w:val="00890725"/>
    <w:rsid w:val="00890731"/>
    <w:rsid w:val="008907B6"/>
    <w:rsid w:val="008907BF"/>
    <w:rsid w:val="00890863"/>
    <w:rsid w:val="0089087C"/>
    <w:rsid w:val="008908FE"/>
    <w:rsid w:val="0089099B"/>
    <w:rsid w:val="0089099E"/>
    <w:rsid w:val="00890A60"/>
    <w:rsid w:val="00890A7E"/>
    <w:rsid w:val="00890AC8"/>
    <w:rsid w:val="00890B87"/>
    <w:rsid w:val="00890B91"/>
    <w:rsid w:val="00890BD5"/>
    <w:rsid w:val="00890C83"/>
    <w:rsid w:val="00890D69"/>
    <w:rsid w:val="00890D76"/>
    <w:rsid w:val="00890DC1"/>
    <w:rsid w:val="00890E4F"/>
    <w:rsid w:val="00890F9C"/>
    <w:rsid w:val="00890FB2"/>
    <w:rsid w:val="00891064"/>
    <w:rsid w:val="008910E7"/>
    <w:rsid w:val="0089117E"/>
    <w:rsid w:val="00891193"/>
    <w:rsid w:val="008911BC"/>
    <w:rsid w:val="008912F5"/>
    <w:rsid w:val="008912FA"/>
    <w:rsid w:val="00891335"/>
    <w:rsid w:val="00891336"/>
    <w:rsid w:val="00891340"/>
    <w:rsid w:val="008914C0"/>
    <w:rsid w:val="00891536"/>
    <w:rsid w:val="0089160A"/>
    <w:rsid w:val="0089166C"/>
    <w:rsid w:val="0089172E"/>
    <w:rsid w:val="0089177B"/>
    <w:rsid w:val="0089184B"/>
    <w:rsid w:val="00891871"/>
    <w:rsid w:val="0089187F"/>
    <w:rsid w:val="008918EF"/>
    <w:rsid w:val="008919B8"/>
    <w:rsid w:val="00891A75"/>
    <w:rsid w:val="00891ADE"/>
    <w:rsid w:val="00891B5B"/>
    <w:rsid w:val="00891B6E"/>
    <w:rsid w:val="00891B97"/>
    <w:rsid w:val="00891BB9"/>
    <w:rsid w:val="00891C19"/>
    <w:rsid w:val="00891C37"/>
    <w:rsid w:val="00891CC3"/>
    <w:rsid w:val="00891CE3"/>
    <w:rsid w:val="00891E75"/>
    <w:rsid w:val="00891E9F"/>
    <w:rsid w:val="00891EC3"/>
    <w:rsid w:val="00891EC6"/>
    <w:rsid w:val="00891F27"/>
    <w:rsid w:val="00891FB7"/>
    <w:rsid w:val="00891FE4"/>
    <w:rsid w:val="008920BF"/>
    <w:rsid w:val="008920EC"/>
    <w:rsid w:val="00892136"/>
    <w:rsid w:val="00892157"/>
    <w:rsid w:val="008921BA"/>
    <w:rsid w:val="008922D1"/>
    <w:rsid w:val="008923A3"/>
    <w:rsid w:val="008923AC"/>
    <w:rsid w:val="008923B8"/>
    <w:rsid w:val="008923D0"/>
    <w:rsid w:val="008923E4"/>
    <w:rsid w:val="00892441"/>
    <w:rsid w:val="00892490"/>
    <w:rsid w:val="008924A3"/>
    <w:rsid w:val="008924F7"/>
    <w:rsid w:val="0089252C"/>
    <w:rsid w:val="00892542"/>
    <w:rsid w:val="0089264E"/>
    <w:rsid w:val="008927FA"/>
    <w:rsid w:val="00892850"/>
    <w:rsid w:val="008928BF"/>
    <w:rsid w:val="008928E2"/>
    <w:rsid w:val="008928ED"/>
    <w:rsid w:val="0089295A"/>
    <w:rsid w:val="008929C9"/>
    <w:rsid w:val="008929EB"/>
    <w:rsid w:val="008929FF"/>
    <w:rsid w:val="00892A9B"/>
    <w:rsid w:val="00892A9E"/>
    <w:rsid w:val="00892B4C"/>
    <w:rsid w:val="00892CBF"/>
    <w:rsid w:val="00892CC1"/>
    <w:rsid w:val="00892D0C"/>
    <w:rsid w:val="00892D11"/>
    <w:rsid w:val="00892DDA"/>
    <w:rsid w:val="00892EB7"/>
    <w:rsid w:val="00892EDB"/>
    <w:rsid w:val="00892F2A"/>
    <w:rsid w:val="00892F36"/>
    <w:rsid w:val="00892F71"/>
    <w:rsid w:val="00892FD0"/>
    <w:rsid w:val="00893030"/>
    <w:rsid w:val="008930C0"/>
    <w:rsid w:val="0089316F"/>
    <w:rsid w:val="008931D6"/>
    <w:rsid w:val="008931D7"/>
    <w:rsid w:val="00893261"/>
    <w:rsid w:val="00893292"/>
    <w:rsid w:val="00893312"/>
    <w:rsid w:val="00893352"/>
    <w:rsid w:val="00893419"/>
    <w:rsid w:val="00893422"/>
    <w:rsid w:val="00893436"/>
    <w:rsid w:val="00893480"/>
    <w:rsid w:val="008934CD"/>
    <w:rsid w:val="00893604"/>
    <w:rsid w:val="00893606"/>
    <w:rsid w:val="00893657"/>
    <w:rsid w:val="00893668"/>
    <w:rsid w:val="00893699"/>
    <w:rsid w:val="008936B5"/>
    <w:rsid w:val="00893737"/>
    <w:rsid w:val="008937A9"/>
    <w:rsid w:val="008937AF"/>
    <w:rsid w:val="008937FE"/>
    <w:rsid w:val="0089382B"/>
    <w:rsid w:val="00893848"/>
    <w:rsid w:val="00893979"/>
    <w:rsid w:val="00893983"/>
    <w:rsid w:val="00893A2D"/>
    <w:rsid w:val="00893AF3"/>
    <w:rsid w:val="00893BC2"/>
    <w:rsid w:val="00893C4E"/>
    <w:rsid w:val="00893CDA"/>
    <w:rsid w:val="00893E6D"/>
    <w:rsid w:val="00893F42"/>
    <w:rsid w:val="00893FA1"/>
    <w:rsid w:val="00894034"/>
    <w:rsid w:val="00894161"/>
    <w:rsid w:val="008941E4"/>
    <w:rsid w:val="008941EB"/>
    <w:rsid w:val="0089422B"/>
    <w:rsid w:val="00894369"/>
    <w:rsid w:val="0089439D"/>
    <w:rsid w:val="008943EE"/>
    <w:rsid w:val="00894457"/>
    <w:rsid w:val="00894472"/>
    <w:rsid w:val="0089447A"/>
    <w:rsid w:val="00894618"/>
    <w:rsid w:val="00894619"/>
    <w:rsid w:val="0089462C"/>
    <w:rsid w:val="0089465E"/>
    <w:rsid w:val="0089473D"/>
    <w:rsid w:val="0089475D"/>
    <w:rsid w:val="008947C9"/>
    <w:rsid w:val="008947D7"/>
    <w:rsid w:val="00894826"/>
    <w:rsid w:val="008948B3"/>
    <w:rsid w:val="008948ED"/>
    <w:rsid w:val="0089490C"/>
    <w:rsid w:val="008949A8"/>
    <w:rsid w:val="008949CC"/>
    <w:rsid w:val="008949F0"/>
    <w:rsid w:val="00894A13"/>
    <w:rsid w:val="00894AD2"/>
    <w:rsid w:val="00894C3C"/>
    <w:rsid w:val="00894C62"/>
    <w:rsid w:val="00894D18"/>
    <w:rsid w:val="00894DF0"/>
    <w:rsid w:val="00894E54"/>
    <w:rsid w:val="00894F5A"/>
    <w:rsid w:val="00895007"/>
    <w:rsid w:val="00895109"/>
    <w:rsid w:val="00895143"/>
    <w:rsid w:val="00895234"/>
    <w:rsid w:val="00895336"/>
    <w:rsid w:val="00895357"/>
    <w:rsid w:val="008953DD"/>
    <w:rsid w:val="00895437"/>
    <w:rsid w:val="00895440"/>
    <w:rsid w:val="00895586"/>
    <w:rsid w:val="008955B3"/>
    <w:rsid w:val="008955B8"/>
    <w:rsid w:val="008955D8"/>
    <w:rsid w:val="0089576C"/>
    <w:rsid w:val="00895797"/>
    <w:rsid w:val="008957AD"/>
    <w:rsid w:val="0089594B"/>
    <w:rsid w:val="00895962"/>
    <w:rsid w:val="00895970"/>
    <w:rsid w:val="0089598E"/>
    <w:rsid w:val="00895AEF"/>
    <w:rsid w:val="00895B94"/>
    <w:rsid w:val="00895BAC"/>
    <w:rsid w:val="00895BCF"/>
    <w:rsid w:val="00895C16"/>
    <w:rsid w:val="00895C90"/>
    <w:rsid w:val="00895DB2"/>
    <w:rsid w:val="00895DE5"/>
    <w:rsid w:val="00895E30"/>
    <w:rsid w:val="00895E8C"/>
    <w:rsid w:val="00895EC6"/>
    <w:rsid w:val="00895F1C"/>
    <w:rsid w:val="00895F59"/>
    <w:rsid w:val="00895FFE"/>
    <w:rsid w:val="00896128"/>
    <w:rsid w:val="00896161"/>
    <w:rsid w:val="00896162"/>
    <w:rsid w:val="00896249"/>
    <w:rsid w:val="00896305"/>
    <w:rsid w:val="00896340"/>
    <w:rsid w:val="008963A8"/>
    <w:rsid w:val="00896474"/>
    <w:rsid w:val="00896507"/>
    <w:rsid w:val="00896556"/>
    <w:rsid w:val="00896561"/>
    <w:rsid w:val="00896565"/>
    <w:rsid w:val="008965A4"/>
    <w:rsid w:val="008965F5"/>
    <w:rsid w:val="0089663F"/>
    <w:rsid w:val="00896689"/>
    <w:rsid w:val="0089674A"/>
    <w:rsid w:val="0089681F"/>
    <w:rsid w:val="00896896"/>
    <w:rsid w:val="00896897"/>
    <w:rsid w:val="00896A35"/>
    <w:rsid w:val="00896A3B"/>
    <w:rsid w:val="00896B13"/>
    <w:rsid w:val="00896BD9"/>
    <w:rsid w:val="00896C81"/>
    <w:rsid w:val="00896C9B"/>
    <w:rsid w:val="00896CD6"/>
    <w:rsid w:val="00896E1D"/>
    <w:rsid w:val="00896E6A"/>
    <w:rsid w:val="00896F65"/>
    <w:rsid w:val="008970BC"/>
    <w:rsid w:val="008971E0"/>
    <w:rsid w:val="008971ED"/>
    <w:rsid w:val="008971F3"/>
    <w:rsid w:val="0089726E"/>
    <w:rsid w:val="00897289"/>
    <w:rsid w:val="008974FD"/>
    <w:rsid w:val="0089759B"/>
    <w:rsid w:val="008975D3"/>
    <w:rsid w:val="00897673"/>
    <w:rsid w:val="0089776D"/>
    <w:rsid w:val="0089777B"/>
    <w:rsid w:val="008978D7"/>
    <w:rsid w:val="008978FC"/>
    <w:rsid w:val="008978FD"/>
    <w:rsid w:val="00897943"/>
    <w:rsid w:val="008979AD"/>
    <w:rsid w:val="008979DB"/>
    <w:rsid w:val="00897A91"/>
    <w:rsid w:val="00897B6F"/>
    <w:rsid w:val="00897C74"/>
    <w:rsid w:val="00897CA8"/>
    <w:rsid w:val="00897CB2"/>
    <w:rsid w:val="00897CC4"/>
    <w:rsid w:val="00897CE9"/>
    <w:rsid w:val="00897D16"/>
    <w:rsid w:val="00897D65"/>
    <w:rsid w:val="00897D84"/>
    <w:rsid w:val="00897DCF"/>
    <w:rsid w:val="00897E52"/>
    <w:rsid w:val="00897F08"/>
    <w:rsid w:val="00897F0B"/>
    <w:rsid w:val="00897F73"/>
    <w:rsid w:val="008A0110"/>
    <w:rsid w:val="008A012C"/>
    <w:rsid w:val="008A01C1"/>
    <w:rsid w:val="008A01D2"/>
    <w:rsid w:val="008A0221"/>
    <w:rsid w:val="008A046C"/>
    <w:rsid w:val="008A04E4"/>
    <w:rsid w:val="008A0515"/>
    <w:rsid w:val="008A054B"/>
    <w:rsid w:val="008A0764"/>
    <w:rsid w:val="008A07AE"/>
    <w:rsid w:val="008A07F7"/>
    <w:rsid w:val="008A0808"/>
    <w:rsid w:val="008A0828"/>
    <w:rsid w:val="008A0845"/>
    <w:rsid w:val="008A08E7"/>
    <w:rsid w:val="008A0923"/>
    <w:rsid w:val="008A096F"/>
    <w:rsid w:val="008A0999"/>
    <w:rsid w:val="008A0A1F"/>
    <w:rsid w:val="008A0A22"/>
    <w:rsid w:val="008A0AA9"/>
    <w:rsid w:val="008A0B09"/>
    <w:rsid w:val="008A0C3C"/>
    <w:rsid w:val="008A0C89"/>
    <w:rsid w:val="008A0E55"/>
    <w:rsid w:val="008A0E8B"/>
    <w:rsid w:val="008A0ECB"/>
    <w:rsid w:val="008A0EF3"/>
    <w:rsid w:val="008A0F1F"/>
    <w:rsid w:val="008A0F4A"/>
    <w:rsid w:val="008A0F55"/>
    <w:rsid w:val="008A0F8F"/>
    <w:rsid w:val="008A0FD9"/>
    <w:rsid w:val="008A10A4"/>
    <w:rsid w:val="008A10AE"/>
    <w:rsid w:val="008A117D"/>
    <w:rsid w:val="008A1182"/>
    <w:rsid w:val="008A126A"/>
    <w:rsid w:val="008A1348"/>
    <w:rsid w:val="008A1353"/>
    <w:rsid w:val="008A1400"/>
    <w:rsid w:val="008A1452"/>
    <w:rsid w:val="008A14A8"/>
    <w:rsid w:val="008A14E5"/>
    <w:rsid w:val="008A1552"/>
    <w:rsid w:val="008A1559"/>
    <w:rsid w:val="008A15B4"/>
    <w:rsid w:val="008A15CF"/>
    <w:rsid w:val="008A1608"/>
    <w:rsid w:val="008A1747"/>
    <w:rsid w:val="008A174C"/>
    <w:rsid w:val="008A1779"/>
    <w:rsid w:val="008A1822"/>
    <w:rsid w:val="008A1851"/>
    <w:rsid w:val="008A1897"/>
    <w:rsid w:val="008A18AB"/>
    <w:rsid w:val="008A18D1"/>
    <w:rsid w:val="008A1905"/>
    <w:rsid w:val="008A1A56"/>
    <w:rsid w:val="008A1AAA"/>
    <w:rsid w:val="008A1AC7"/>
    <w:rsid w:val="008A1B74"/>
    <w:rsid w:val="008A1B92"/>
    <w:rsid w:val="008A1BCB"/>
    <w:rsid w:val="008A1C0D"/>
    <w:rsid w:val="008A1CAC"/>
    <w:rsid w:val="008A1D09"/>
    <w:rsid w:val="008A1D14"/>
    <w:rsid w:val="008A1D42"/>
    <w:rsid w:val="008A1DC0"/>
    <w:rsid w:val="008A1DEE"/>
    <w:rsid w:val="008A1E70"/>
    <w:rsid w:val="008A1F6C"/>
    <w:rsid w:val="008A1FD7"/>
    <w:rsid w:val="008A2044"/>
    <w:rsid w:val="008A20A9"/>
    <w:rsid w:val="008A2144"/>
    <w:rsid w:val="008A221B"/>
    <w:rsid w:val="008A22CC"/>
    <w:rsid w:val="008A22F8"/>
    <w:rsid w:val="008A241F"/>
    <w:rsid w:val="008A24ED"/>
    <w:rsid w:val="008A2511"/>
    <w:rsid w:val="008A2545"/>
    <w:rsid w:val="008A25FD"/>
    <w:rsid w:val="008A2658"/>
    <w:rsid w:val="008A26CA"/>
    <w:rsid w:val="008A26DC"/>
    <w:rsid w:val="008A27E6"/>
    <w:rsid w:val="008A28CD"/>
    <w:rsid w:val="008A29E7"/>
    <w:rsid w:val="008A2AE4"/>
    <w:rsid w:val="008A2B22"/>
    <w:rsid w:val="008A2CDB"/>
    <w:rsid w:val="008A2D64"/>
    <w:rsid w:val="008A2DC4"/>
    <w:rsid w:val="008A2DCC"/>
    <w:rsid w:val="008A2F06"/>
    <w:rsid w:val="008A2F3B"/>
    <w:rsid w:val="008A2F78"/>
    <w:rsid w:val="008A2FC9"/>
    <w:rsid w:val="008A300B"/>
    <w:rsid w:val="008A310C"/>
    <w:rsid w:val="008A3173"/>
    <w:rsid w:val="008A31AA"/>
    <w:rsid w:val="008A32BD"/>
    <w:rsid w:val="008A33C3"/>
    <w:rsid w:val="008A34C8"/>
    <w:rsid w:val="008A34E4"/>
    <w:rsid w:val="008A352B"/>
    <w:rsid w:val="008A36CE"/>
    <w:rsid w:val="008A372D"/>
    <w:rsid w:val="008A3746"/>
    <w:rsid w:val="008A389F"/>
    <w:rsid w:val="008A3941"/>
    <w:rsid w:val="008A3995"/>
    <w:rsid w:val="008A39C5"/>
    <w:rsid w:val="008A3A6D"/>
    <w:rsid w:val="008A3A79"/>
    <w:rsid w:val="008A3A81"/>
    <w:rsid w:val="008A3B26"/>
    <w:rsid w:val="008A3B55"/>
    <w:rsid w:val="008A3B90"/>
    <w:rsid w:val="008A3BA9"/>
    <w:rsid w:val="008A3BC7"/>
    <w:rsid w:val="008A3C3C"/>
    <w:rsid w:val="008A3CF4"/>
    <w:rsid w:val="008A3D92"/>
    <w:rsid w:val="008A3E77"/>
    <w:rsid w:val="008A3E8B"/>
    <w:rsid w:val="008A3EC3"/>
    <w:rsid w:val="008A3EEB"/>
    <w:rsid w:val="008A3EF2"/>
    <w:rsid w:val="008A3F72"/>
    <w:rsid w:val="008A4116"/>
    <w:rsid w:val="008A413D"/>
    <w:rsid w:val="008A4209"/>
    <w:rsid w:val="008A4280"/>
    <w:rsid w:val="008A42C3"/>
    <w:rsid w:val="008A42D3"/>
    <w:rsid w:val="008A42D7"/>
    <w:rsid w:val="008A42D9"/>
    <w:rsid w:val="008A42DC"/>
    <w:rsid w:val="008A42E0"/>
    <w:rsid w:val="008A43EE"/>
    <w:rsid w:val="008A447F"/>
    <w:rsid w:val="008A448A"/>
    <w:rsid w:val="008A44B9"/>
    <w:rsid w:val="008A4527"/>
    <w:rsid w:val="008A4634"/>
    <w:rsid w:val="008A46EA"/>
    <w:rsid w:val="008A47F4"/>
    <w:rsid w:val="008A47FB"/>
    <w:rsid w:val="008A47FD"/>
    <w:rsid w:val="008A4872"/>
    <w:rsid w:val="008A489A"/>
    <w:rsid w:val="008A494A"/>
    <w:rsid w:val="008A4989"/>
    <w:rsid w:val="008A49C5"/>
    <w:rsid w:val="008A49F6"/>
    <w:rsid w:val="008A4A2D"/>
    <w:rsid w:val="008A4AD1"/>
    <w:rsid w:val="008A4AE5"/>
    <w:rsid w:val="008A4B08"/>
    <w:rsid w:val="008A4B3C"/>
    <w:rsid w:val="008A4BC6"/>
    <w:rsid w:val="008A4C1C"/>
    <w:rsid w:val="008A4CEE"/>
    <w:rsid w:val="008A4CFA"/>
    <w:rsid w:val="008A4DD6"/>
    <w:rsid w:val="008A4DF9"/>
    <w:rsid w:val="008A4E32"/>
    <w:rsid w:val="008A4E60"/>
    <w:rsid w:val="008A4F01"/>
    <w:rsid w:val="008A4F31"/>
    <w:rsid w:val="008A4F6D"/>
    <w:rsid w:val="008A500B"/>
    <w:rsid w:val="008A504B"/>
    <w:rsid w:val="008A515C"/>
    <w:rsid w:val="008A51C0"/>
    <w:rsid w:val="008A51C6"/>
    <w:rsid w:val="008A51F3"/>
    <w:rsid w:val="008A520F"/>
    <w:rsid w:val="008A5210"/>
    <w:rsid w:val="008A537D"/>
    <w:rsid w:val="008A546B"/>
    <w:rsid w:val="008A54B2"/>
    <w:rsid w:val="008A54F7"/>
    <w:rsid w:val="008A552D"/>
    <w:rsid w:val="008A5534"/>
    <w:rsid w:val="008A553C"/>
    <w:rsid w:val="008A5562"/>
    <w:rsid w:val="008A5582"/>
    <w:rsid w:val="008A55CE"/>
    <w:rsid w:val="008A55FD"/>
    <w:rsid w:val="008A561C"/>
    <w:rsid w:val="008A56A4"/>
    <w:rsid w:val="008A576C"/>
    <w:rsid w:val="008A5777"/>
    <w:rsid w:val="008A57A9"/>
    <w:rsid w:val="008A585A"/>
    <w:rsid w:val="008A5872"/>
    <w:rsid w:val="008A587A"/>
    <w:rsid w:val="008A58C5"/>
    <w:rsid w:val="008A5971"/>
    <w:rsid w:val="008A5977"/>
    <w:rsid w:val="008A59C2"/>
    <w:rsid w:val="008A59ED"/>
    <w:rsid w:val="008A5A28"/>
    <w:rsid w:val="008A5BA8"/>
    <w:rsid w:val="008A5C5B"/>
    <w:rsid w:val="008A5CCD"/>
    <w:rsid w:val="008A5CF0"/>
    <w:rsid w:val="008A5E17"/>
    <w:rsid w:val="008A5E35"/>
    <w:rsid w:val="008A5E9B"/>
    <w:rsid w:val="008A5F3D"/>
    <w:rsid w:val="008A5F80"/>
    <w:rsid w:val="008A5FB2"/>
    <w:rsid w:val="008A6145"/>
    <w:rsid w:val="008A61DA"/>
    <w:rsid w:val="008A6288"/>
    <w:rsid w:val="008A62BD"/>
    <w:rsid w:val="008A6311"/>
    <w:rsid w:val="008A6353"/>
    <w:rsid w:val="008A63E4"/>
    <w:rsid w:val="008A63F9"/>
    <w:rsid w:val="008A6413"/>
    <w:rsid w:val="008A6440"/>
    <w:rsid w:val="008A652C"/>
    <w:rsid w:val="008A65AE"/>
    <w:rsid w:val="008A6610"/>
    <w:rsid w:val="008A6653"/>
    <w:rsid w:val="008A66A2"/>
    <w:rsid w:val="008A66F7"/>
    <w:rsid w:val="008A6736"/>
    <w:rsid w:val="008A67CF"/>
    <w:rsid w:val="008A6887"/>
    <w:rsid w:val="008A68F9"/>
    <w:rsid w:val="008A6980"/>
    <w:rsid w:val="008A69C3"/>
    <w:rsid w:val="008A69EC"/>
    <w:rsid w:val="008A6A1D"/>
    <w:rsid w:val="008A6B7F"/>
    <w:rsid w:val="008A6C07"/>
    <w:rsid w:val="008A6C85"/>
    <w:rsid w:val="008A6CB5"/>
    <w:rsid w:val="008A6DAD"/>
    <w:rsid w:val="008A6E95"/>
    <w:rsid w:val="008A6EDF"/>
    <w:rsid w:val="008A6F9A"/>
    <w:rsid w:val="008A6FB2"/>
    <w:rsid w:val="008A7033"/>
    <w:rsid w:val="008A705B"/>
    <w:rsid w:val="008A7098"/>
    <w:rsid w:val="008A70BD"/>
    <w:rsid w:val="008A714A"/>
    <w:rsid w:val="008A71A7"/>
    <w:rsid w:val="008A7280"/>
    <w:rsid w:val="008A7312"/>
    <w:rsid w:val="008A733C"/>
    <w:rsid w:val="008A7356"/>
    <w:rsid w:val="008A735A"/>
    <w:rsid w:val="008A7423"/>
    <w:rsid w:val="008A7466"/>
    <w:rsid w:val="008A75A6"/>
    <w:rsid w:val="008A75AC"/>
    <w:rsid w:val="008A76E6"/>
    <w:rsid w:val="008A76F5"/>
    <w:rsid w:val="008A7705"/>
    <w:rsid w:val="008A781D"/>
    <w:rsid w:val="008A7944"/>
    <w:rsid w:val="008A7A18"/>
    <w:rsid w:val="008A7A4E"/>
    <w:rsid w:val="008A7A57"/>
    <w:rsid w:val="008A7A9B"/>
    <w:rsid w:val="008A7B29"/>
    <w:rsid w:val="008A7B7B"/>
    <w:rsid w:val="008A7C11"/>
    <w:rsid w:val="008A7CD0"/>
    <w:rsid w:val="008A7CD2"/>
    <w:rsid w:val="008A7DA2"/>
    <w:rsid w:val="008A7E01"/>
    <w:rsid w:val="008A7EC5"/>
    <w:rsid w:val="008A7F3D"/>
    <w:rsid w:val="008A7FFD"/>
    <w:rsid w:val="008B0001"/>
    <w:rsid w:val="008B0047"/>
    <w:rsid w:val="008B0135"/>
    <w:rsid w:val="008B0147"/>
    <w:rsid w:val="008B0238"/>
    <w:rsid w:val="008B041F"/>
    <w:rsid w:val="008B046E"/>
    <w:rsid w:val="008B050E"/>
    <w:rsid w:val="008B0672"/>
    <w:rsid w:val="008B069E"/>
    <w:rsid w:val="008B076E"/>
    <w:rsid w:val="008B0791"/>
    <w:rsid w:val="008B07CC"/>
    <w:rsid w:val="008B07ED"/>
    <w:rsid w:val="008B085C"/>
    <w:rsid w:val="008B0901"/>
    <w:rsid w:val="008B0910"/>
    <w:rsid w:val="008B0941"/>
    <w:rsid w:val="008B09D7"/>
    <w:rsid w:val="008B0A6D"/>
    <w:rsid w:val="008B0B05"/>
    <w:rsid w:val="008B0B58"/>
    <w:rsid w:val="008B0B7C"/>
    <w:rsid w:val="008B0BB1"/>
    <w:rsid w:val="008B0C90"/>
    <w:rsid w:val="008B0DD2"/>
    <w:rsid w:val="008B1041"/>
    <w:rsid w:val="008B10B2"/>
    <w:rsid w:val="008B10B9"/>
    <w:rsid w:val="008B1140"/>
    <w:rsid w:val="008B1148"/>
    <w:rsid w:val="008B11B3"/>
    <w:rsid w:val="008B11C8"/>
    <w:rsid w:val="008B12F9"/>
    <w:rsid w:val="008B131F"/>
    <w:rsid w:val="008B146C"/>
    <w:rsid w:val="008B15DF"/>
    <w:rsid w:val="008B163A"/>
    <w:rsid w:val="008B1680"/>
    <w:rsid w:val="008B16E6"/>
    <w:rsid w:val="008B17C3"/>
    <w:rsid w:val="008B186B"/>
    <w:rsid w:val="008B1B3F"/>
    <w:rsid w:val="008B1BAB"/>
    <w:rsid w:val="008B1D13"/>
    <w:rsid w:val="008B1D1C"/>
    <w:rsid w:val="008B1D69"/>
    <w:rsid w:val="008B1E64"/>
    <w:rsid w:val="008B1F9A"/>
    <w:rsid w:val="008B2021"/>
    <w:rsid w:val="008B206D"/>
    <w:rsid w:val="008B20F6"/>
    <w:rsid w:val="008B21EA"/>
    <w:rsid w:val="008B21FC"/>
    <w:rsid w:val="008B221C"/>
    <w:rsid w:val="008B224C"/>
    <w:rsid w:val="008B225E"/>
    <w:rsid w:val="008B22B1"/>
    <w:rsid w:val="008B22D7"/>
    <w:rsid w:val="008B234B"/>
    <w:rsid w:val="008B235B"/>
    <w:rsid w:val="008B243E"/>
    <w:rsid w:val="008B245D"/>
    <w:rsid w:val="008B2493"/>
    <w:rsid w:val="008B2586"/>
    <w:rsid w:val="008B25E9"/>
    <w:rsid w:val="008B270D"/>
    <w:rsid w:val="008B2748"/>
    <w:rsid w:val="008B2774"/>
    <w:rsid w:val="008B2792"/>
    <w:rsid w:val="008B27D1"/>
    <w:rsid w:val="008B281B"/>
    <w:rsid w:val="008B28AF"/>
    <w:rsid w:val="008B28C4"/>
    <w:rsid w:val="008B2A5A"/>
    <w:rsid w:val="008B2A6D"/>
    <w:rsid w:val="008B2B0B"/>
    <w:rsid w:val="008B2B33"/>
    <w:rsid w:val="008B2B51"/>
    <w:rsid w:val="008B2BD9"/>
    <w:rsid w:val="008B2C8F"/>
    <w:rsid w:val="008B2D3E"/>
    <w:rsid w:val="008B2D7C"/>
    <w:rsid w:val="008B2D93"/>
    <w:rsid w:val="008B2DC3"/>
    <w:rsid w:val="008B2E21"/>
    <w:rsid w:val="008B2E5E"/>
    <w:rsid w:val="008B2E88"/>
    <w:rsid w:val="008B2F77"/>
    <w:rsid w:val="008B2F94"/>
    <w:rsid w:val="008B3036"/>
    <w:rsid w:val="008B30C9"/>
    <w:rsid w:val="008B316C"/>
    <w:rsid w:val="008B31B2"/>
    <w:rsid w:val="008B3219"/>
    <w:rsid w:val="008B3275"/>
    <w:rsid w:val="008B327F"/>
    <w:rsid w:val="008B336E"/>
    <w:rsid w:val="008B33E9"/>
    <w:rsid w:val="008B341E"/>
    <w:rsid w:val="008B3451"/>
    <w:rsid w:val="008B3468"/>
    <w:rsid w:val="008B34AB"/>
    <w:rsid w:val="008B3578"/>
    <w:rsid w:val="008B35B0"/>
    <w:rsid w:val="008B3673"/>
    <w:rsid w:val="008B3688"/>
    <w:rsid w:val="008B3788"/>
    <w:rsid w:val="008B37A2"/>
    <w:rsid w:val="008B37FC"/>
    <w:rsid w:val="008B3861"/>
    <w:rsid w:val="008B38ED"/>
    <w:rsid w:val="008B393A"/>
    <w:rsid w:val="008B393E"/>
    <w:rsid w:val="008B3967"/>
    <w:rsid w:val="008B39CD"/>
    <w:rsid w:val="008B39D4"/>
    <w:rsid w:val="008B3BFF"/>
    <w:rsid w:val="008B3C03"/>
    <w:rsid w:val="008B3C0B"/>
    <w:rsid w:val="008B3C78"/>
    <w:rsid w:val="008B3C93"/>
    <w:rsid w:val="008B3DA2"/>
    <w:rsid w:val="008B3E04"/>
    <w:rsid w:val="008B3E48"/>
    <w:rsid w:val="008B3E93"/>
    <w:rsid w:val="008B3F04"/>
    <w:rsid w:val="008B3F2F"/>
    <w:rsid w:val="008B3FA2"/>
    <w:rsid w:val="008B4029"/>
    <w:rsid w:val="008B4033"/>
    <w:rsid w:val="008B4095"/>
    <w:rsid w:val="008B409A"/>
    <w:rsid w:val="008B40EE"/>
    <w:rsid w:val="008B4121"/>
    <w:rsid w:val="008B4150"/>
    <w:rsid w:val="008B421D"/>
    <w:rsid w:val="008B4221"/>
    <w:rsid w:val="008B4272"/>
    <w:rsid w:val="008B4287"/>
    <w:rsid w:val="008B42E0"/>
    <w:rsid w:val="008B42F6"/>
    <w:rsid w:val="008B4301"/>
    <w:rsid w:val="008B43DE"/>
    <w:rsid w:val="008B43F5"/>
    <w:rsid w:val="008B451A"/>
    <w:rsid w:val="008B4538"/>
    <w:rsid w:val="008B4623"/>
    <w:rsid w:val="008B4646"/>
    <w:rsid w:val="008B46DE"/>
    <w:rsid w:val="008B46E7"/>
    <w:rsid w:val="008B4745"/>
    <w:rsid w:val="008B4998"/>
    <w:rsid w:val="008B49FA"/>
    <w:rsid w:val="008B4A20"/>
    <w:rsid w:val="008B4A8F"/>
    <w:rsid w:val="008B4AAF"/>
    <w:rsid w:val="008B4AC2"/>
    <w:rsid w:val="008B4B22"/>
    <w:rsid w:val="008B4B67"/>
    <w:rsid w:val="008B4B7E"/>
    <w:rsid w:val="008B4BA4"/>
    <w:rsid w:val="008B4CB2"/>
    <w:rsid w:val="008B4DBB"/>
    <w:rsid w:val="008B4DD5"/>
    <w:rsid w:val="008B4F23"/>
    <w:rsid w:val="008B4FA2"/>
    <w:rsid w:val="008B5019"/>
    <w:rsid w:val="008B5048"/>
    <w:rsid w:val="008B50B1"/>
    <w:rsid w:val="008B5108"/>
    <w:rsid w:val="008B5137"/>
    <w:rsid w:val="008B513E"/>
    <w:rsid w:val="008B5222"/>
    <w:rsid w:val="008B527C"/>
    <w:rsid w:val="008B5369"/>
    <w:rsid w:val="008B53B1"/>
    <w:rsid w:val="008B540C"/>
    <w:rsid w:val="008B5496"/>
    <w:rsid w:val="008B54C0"/>
    <w:rsid w:val="008B5598"/>
    <w:rsid w:val="008B55B1"/>
    <w:rsid w:val="008B55E6"/>
    <w:rsid w:val="008B56B0"/>
    <w:rsid w:val="008B56F3"/>
    <w:rsid w:val="008B5718"/>
    <w:rsid w:val="008B5723"/>
    <w:rsid w:val="008B57F2"/>
    <w:rsid w:val="008B5813"/>
    <w:rsid w:val="008B5865"/>
    <w:rsid w:val="008B58AD"/>
    <w:rsid w:val="008B5958"/>
    <w:rsid w:val="008B5972"/>
    <w:rsid w:val="008B59AE"/>
    <w:rsid w:val="008B59F0"/>
    <w:rsid w:val="008B5A1C"/>
    <w:rsid w:val="008B5AA9"/>
    <w:rsid w:val="008B5AB6"/>
    <w:rsid w:val="008B5AB9"/>
    <w:rsid w:val="008B5B3E"/>
    <w:rsid w:val="008B5B77"/>
    <w:rsid w:val="008B5B83"/>
    <w:rsid w:val="008B5C65"/>
    <w:rsid w:val="008B5F61"/>
    <w:rsid w:val="008B5FFE"/>
    <w:rsid w:val="008B60E9"/>
    <w:rsid w:val="008B6146"/>
    <w:rsid w:val="008B61AA"/>
    <w:rsid w:val="008B61C3"/>
    <w:rsid w:val="008B61C7"/>
    <w:rsid w:val="008B6273"/>
    <w:rsid w:val="008B6335"/>
    <w:rsid w:val="008B634D"/>
    <w:rsid w:val="008B644A"/>
    <w:rsid w:val="008B650B"/>
    <w:rsid w:val="008B6697"/>
    <w:rsid w:val="008B66F1"/>
    <w:rsid w:val="008B670B"/>
    <w:rsid w:val="008B6917"/>
    <w:rsid w:val="008B69B0"/>
    <w:rsid w:val="008B6A1D"/>
    <w:rsid w:val="008B6A91"/>
    <w:rsid w:val="008B6AB4"/>
    <w:rsid w:val="008B6AE6"/>
    <w:rsid w:val="008B6C0D"/>
    <w:rsid w:val="008B6C1D"/>
    <w:rsid w:val="008B6C25"/>
    <w:rsid w:val="008B6D71"/>
    <w:rsid w:val="008B6DD6"/>
    <w:rsid w:val="008B6E28"/>
    <w:rsid w:val="008B6E8E"/>
    <w:rsid w:val="008B6E91"/>
    <w:rsid w:val="008B6ED2"/>
    <w:rsid w:val="008B6F1D"/>
    <w:rsid w:val="008B6FDB"/>
    <w:rsid w:val="008B6FFD"/>
    <w:rsid w:val="008B7096"/>
    <w:rsid w:val="008B70F2"/>
    <w:rsid w:val="008B718F"/>
    <w:rsid w:val="008B71BD"/>
    <w:rsid w:val="008B71EA"/>
    <w:rsid w:val="008B734A"/>
    <w:rsid w:val="008B734F"/>
    <w:rsid w:val="008B750F"/>
    <w:rsid w:val="008B757A"/>
    <w:rsid w:val="008B757B"/>
    <w:rsid w:val="008B759B"/>
    <w:rsid w:val="008B766A"/>
    <w:rsid w:val="008B76C7"/>
    <w:rsid w:val="008B76F2"/>
    <w:rsid w:val="008B7723"/>
    <w:rsid w:val="008B7898"/>
    <w:rsid w:val="008B78D5"/>
    <w:rsid w:val="008B79A5"/>
    <w:rsid w:val="008B7A9D"/>
    <w:rsid w:val="008B7AE9"/>
    <w:rsid w:val="008B7B60"/>
    <w:rsid w:val="008B7B6D"/>
    <w:rsid w:val="008B7B90"/>
    <w:rsid w:val="008B7BE6"/>
    <w:rsid w:val="008B7C1F"/>
    <w:rsid w:val="008B7CA8"/>
    <w:rsid w:val="008B7DD1"/>
    <w:rsid w:val="008B7E18"/>
    <w:rsid w:val="008B7EA7"/>
    <w:rsid w:val="008B7FF6"/>
    <w:rsid w:val="008C00CE"/>
    <w:rsid w:val="008C0121"/>
    <w:rsid w:val="008C01C1"/>
    <w:rsid w:val="008C01ED"/>
    <w:rsid w:val="008C02B6"/>
    <w:rsid w:val="008C02DC"/>
    <w:rsid w:val="008C02E1"/>
    <w:rsid w:val="008C03D0"/>
    <w:rsid w:val="008C03D2"/>
    <w:rsid w:val="008C0434"/>
    <w:rsid w:val="008C0455"/>
    <w:rsid w:val="008C045C"/>
    <w:rsid w:val="008C055F"/>
    <w:rsid w:val="008C05A1"/>
    <w:rsid w:val="008C060D"/>
    <w:rsid w:val="008C061C"/>
    <w:rsid w:val="008C063D"/>
    <w:rsid w:val="008C06B4"/>
    <w:rsid w:val="008C06FA"/>
    <w:rsid w:val="008C075E"/>
    <w:rsid w:val="008C089F"/>
    <w:rsid w:val="008C08B6"/>
    <w:rsid w:val="008C0996"/>
    <w:rsid w:val="008C0A00"/>
    <w:rsid w:val="008C0A2D"/>
    <w:rsid w:val="008C0AAD"/>
    <w:rsid w:val="008C0BC1"/>
    <w:rsid w:val="008C0BDA"/>
    <w:rsid w:val="008C0C6B"/>
    <w:rsid w:val="008C0C73"/>
    <w:rsid w:val="008C0CA5"/>
    <w:rsid w:val="008C0CC7"/>
    <w:rsid w:val="008C0CD0"/>
    <w:rsid w:val="008C0D35"/>
    <w:rsid w:val="008C0D3B"/>
    <w:rsid w:val="008C0D5F"/>
    <w:rsid w:val="008C0E6B"/>
    <w:rsid w:val="008C0E7B"/>
    <w:rsid w:val="008C0EAF"/>
    <w:rsid w:val="008C0EDD"/>
    <w:rsid w:val="008C0FD4"/>
    <w:rsid w:val="008C0FDE"/>
    <w:rsid w:val="008C100F"/>
    <w:rsid w:val="008C104A"/>
    <w:rsid w:val="008C10C4"/>
    <w:rsid w:val="008C10CD"/>
    <w:rsid w:val="008C10E6"/>
    <w:rsid w:val="008C10F3"/>
    <w:rsid w:val="008C12FE"/>
    <w:rsid w:val="008C1392"/>
    <w:rsid w:val="008C1433"/>
    <w:rsid w:val="008C1473"/>
    <w:rsid w:val="008C14C8"/>
    <w:rsid w:val="008C14E0"/>
    <w:rsid w:val="008C1700"/>
    <w:rsid w:val="008C1714"/>
    <w:rsid w:val="008C177D"/>
    <w:rsid w:val="008C178F"/>
    <w:rsid w:val="008C17B8"/>
    <w:rsid w:val="008C17ED"/>
    <w:rsid w:val="008C19A7"/>
    <w:rsid w:val="008C19BB"/>
    <w:rsid w:val="008C1A30"/>
    <w:rsid w:val="008C1B86"/>
    <w:rsid w:val="008C1BB6"/>
    <w:rsid w:val="008C1C4E"/>
    <w:rsid w:val="008C1C86"/>
    <w:rsid w:val="008C1CD2"/>
    <w:rsid w:val="008C1CF8"/>
    <w:rsid w:val="008C1EC6"/>
    <w:rsid w:val="008C1F44"/>
    <w:rsid w:val="008C223B"/>
    <w:rsid w:val="008C2292"/>
    <w:rsid w:val="008C229F"/>
    <w:rsid w:val="008C22CD"/>
    <w:rsid w:val="008C2304"/>
    <w:rsid w:val="008C234D"/>
    <w:rsid w:val="008C235A"/>
    <w:rsid w:val="008C238A"/>
    <w:rsid w:val="008C23F5"/>
    <w:rsid w:val="008C246D"/>
    <w:rsid w:val="008C24E8"/>
    <w:rsid w:val="008C254E"/>
    <w:rsid w:val="008C2560"/>
    <w:rsid w:val="008C25C4"/>
    <w:rsid w:val="008C2652"/>
    <w:rsid w:val="008C273A"/>
    <w:rsid w:val="008C27F1"/>
    <w:rsid w:val="008C283C"/>
    <w:rsid w:val="008C28AA"/>
    <w:rsid w:val="008C28D3"/>
    <w:rsid w:val="008C28EE"/>
    <w:rsid w:val="008C28F3"/>
    <w:rsid w:val="008C29D8"/>
    <w:rsid w:val="008C2A4B"/>
    <w:rsid w:val="008C2A7C"/>
    <w:rsid w:val="008C2A80"/>
    <w:rsid w:val="008C2AD4"/>
    <w:rsid w:val="008C2AE0"/>
    <w:rsid w:val="008C2AEA"/>
    <w:rsid w:val="008C2B1D"/>
    <w:rsid w:val="008C2B2F"/>
    <w:rsid w:val="008C2B7D"/>
    <w:rsid w:val="008C2D19"/>
    <w:rsid w:val="008C2D68"/>
    <w:rsid w:val="008C2D8D"/>
    <w:rsid w:val="008C2E49"/>
    <w:rsid w:val="008C2EAB"/>
    <w:rsid w:val="008C2F16"/>
    <w:rsid w:val="008C2F63"/>
    <w:rsid w:val="008C2FFB"/>
    <w:rsid w:val="008C309E"/>
    <w:rsid w:val="008C317B"/>
    <w:rsid w:val="008C3197"/>
    <w:rsid w:val="008C31C8"/>
    <w:rsid w:val="008C31D9"/>
    <w:rsid w:val="008C3257"/>
    <w:rsid w:val="008C3283"/>
    <w:rsid w:val="008C34CB"/>
    <w:rsid w:val="008C352B"/>
    <w:rsid w:val="008C359D"/>
    <w:rsid w:val="008C35B2"/>
    <w:rsid w:val="008C35B8"/>
    <w:rsid w:val="008C3621"/>
    <w:rsid w:val="008C364B"/>
    <w:rsid w:val="008C3683"/>
    <w:rsid w:val="008C374E"/>
    <w:rsid w:val="008C3877"/>
    <w:rsid w:val="008C390C"/>
    <w:rsid w:val="008C3B08"/>
    <w:rsid w:val="008C3B2C"/>
    <w:rsid w:val="008C3C07"/>
    <w:rsid w:val="008C3CC4"/>
    <w:rsid w:val="008C3D0B"/>
    <w:rsid w:val="008C3DAC"/>
    <w:rsid w:val="008C3DEA"/>
    <w:rsid w:val="008C3E09"/>
    <w:rsid w:val="008C3E52"/>
    <w:rsid w:val="008C3E7E"/>
    <w:rsid w:val="008C3F0B"/>
    <w:rsid w:val="008C3FB1"/>
    <w:rsid w:val="008C3FD4"/>
    <w:rsid w:val="008C40DB"/>
    <w:rsid w:val="008C41CD"/>
    <w:rsid w:val="008C4232"/>
    <w:rsid w:val="008C42AA"/>
    <w:rsid w:val="008C4323"/>
    <w:rsid w:val="008C43DD"/>
    <w:rsid w:val="008C43F5"/>
    <w:rsid w:val="008C4452"/>
    <w:rsid w:val="008C4511"/>
    <w:rsid w:val="008C45DC"/>
    <w:rsid w:val="008C4657"/>
    <w:rsid w:val="008C46D9"/>
    <w:rsid w:val="008C4733"/>
    <w:rsid w:val="008C4792"/>
    <w:rsid w:val="008C487C"/>
    <w:rsid w:val="008C491C"/>
    <w:rsid w:val="008C497C"/>
    <w:rsid w:val="008C49A6"/>
    <w:rsid w:val="008C4A53"/>
    <w:rsid w:val="008C4ADC"/>
    <w:rsid w:val="008C4B1F"/>
    <w:rsid w:val="008C4B4F"/>
    <w:rsid w:val="008C4BC8"/>
    <w:rsid w:val="008C4BD0"/>
    <w:rsid w:val="008C4C11"/>
    <w:rsid w:val="008C4C35"/>
    <w:rsid w:val="008C4C6B"/>
    <w:rsid w:val="008C4CC2"/>
    <w:rsid w:val="008C4D5A"/>
    <w:rsid w:val="008C4D97"/>
    <w:rsid w:val="008C4DAE"/>
    <w:rsid w:val="008C4DDD"/>
    <w:rsid w:val="008C4E45"/>
    <w:rsid w:val="008C4E5C"/>
    <w:rsid w:val="008C4E93"/>
    <w:rsid w:val="008C4F97"/>
    <w:rsid w:val="008C5023"/>
    <w:rsid w:val="008C50D6"/>
    <w:rsid w:val="008C50F7"/>
    <w:rsid w:val="008C5168"/>
    <w:rsid w:val="008C519E"/>
    <w:rsid w:val="008C51CC"/>
    <w:rsid w:val="008C5221"/>
    <w:rsid w:val="008C52B1"/>
    <w:rsid w:val="008C532E"/>
    <w:rsid w:val="008C5352"/>
    <w:rsid w:val="008C53CD"/>
    <w:rsid w:val="008C53D8"/>
    <w:rsid w:val="008C544A"/>
    <w:rsid w:val="008C54A9"/>
    <w:rsid w:val="008C54DD"/>
    <w:rsid w:val="008C551D"/>
    <w:rsid w:val="008C556A"/>
    <w:rsid w:val="008C5581"/>
    <w:rsid w:val="008C55CA"/>
    <w:rsid w:val="008C563D"/>
    <w:rsid w:val="008C5675"/>
    <w:rsid w:val="008C56D6"/>
    <w:rsid w:val="008C5804"/>
    <w:rsid w:val="008C5808"/>
    <w:rsid w:val="008C5810"/>
    <w:rsid w:val="008C582C"/>
    <w:rsid w:val="008C5834"/>
    <w:rsid w:val="008C5959"/>
    <w:rsid w:val="008C5A6D"/>
    <w:rsid w:val="008C5ABF"/>
    <w:rsid w:val="008C5AC0"/>
    <w:rsid w:val="008C5AC7"/>
    <w:rsid w:val="008C5BC2"/>
    <w:rsid w:val="008C5BDE"/>
    <w:rsid w:val="008C5C59"/>
    <w:rsid w:val="008C5C5B"/>
    <w:rsid w:val="008C5C89"/>
    <w:rsid w:val="008C5CF7"/>
    <w:rsid w:val="008C5D73"/>
    <w:rsid w:val="008C5DB0"/>
    <w:rsid w:val="008C5DDC"/>
    <w:rsid w:val="008C5E40"/>
    <w:rsid w:val="008C5E7B"/>
    <w:rsid w:val="008C5EC4"/>
    <w:rsid w:val="008C5F62"/>
    <w:rsid w:val="008C607C"/>
    <w:rsid w:val="008C615F"/>
    <w:rsid w:val="008C6176"/>
    <w:rsid w:val="008C62E9"/>
    <w:rsid w:val="008C6320"/>
    <w:rsid w:val="008C63E0"/>
    <w:rsid w:val="008C6591"/>
    <w:rsid w:val="008C65B6"/>
    <w:rsid w:val="008C65F8"/>
    <w:rsid w:val="008C66A2"/>
    <w:rsid w:val="008C6747"/>
    <w:rsid w:val="008C6773"/>
    <w:rsid w:val="008C677A"/>
    <w:rsid w:val="008C6891"/>
    <w:rsid w:val="008C68CB"/>
    <w:rsid w:val="008C690E"/>
    <w:rsid w:val="008C697E"/>
    <w:rsid w:val="008C6AC2"/>
    <w:rsid w:val="008C6ADD"/>
    <w:rsid w:val="008C6AEC"/>
    <w:rsid w:val="008C6AF4"/>
    <w:rsid w:val="008C6B02"/>
    <w:rsid w:val="008C6B5D"/>
    <w:rsid w:val="008C6BA1"/>
    <w:rsid w:val="008C6C37"/>
    <w:rsid w:val="008C6C50"/>
    <w:rsid w:val="008C6C7E"/>
    <w:rsid w:val="008C6DA0"/>
    <w:rsid w:val="008C6EBA"/>
    <w:rsid w:val="008C6F22"/>
    <w:rsid w:val="008C6F5A"/>
    <w:rsid w:val="008C6FDC"/>
    <w:rsid w:val="008C6FE3"/>
    <w:rsid w:val="008C706F"/>
    <w:rsid w:val="008C7197"/>
    <w:rsid w:val="008C720B"/>
    <w:rsid w:val="008C7278"/>
    <w:rsid w:val="008C727A"/>
    <w:rsid w:val="008C7311"/>
    <w:rsid w:val="008C734F"/>
    <w:rsid w:val="008C73EC"/>
    <w:rsid w:val="008C7455"/>
    <w:rsid w:val="008C74D9"/>
    <w:rsid w:val="008C75C7"/>
    <w:rsid w:val="008C75F5"/>
    <w:rsid w:val="008C7621"/>
    <w:rsid w:val="008C7648"/>
    <w:rsid w:val="008C7675"/>
    <w:rsid w:val="008C7693"/>
    <w:rsid w:val="008C769A"/>
    <w:rsid w:val="008C76F6"/>
    <w:rsid w:val="008C7738"/>
    <w:rsid w:val="008C77D8"/>
    <w:rsid w:val="008C77E0"/>
    <w:rsid w:val="008C77F5"/>
    <w:rsid w:val="008C7833"/>
    <w:rsid w:val="008C7890"/>
    <w:rsid w:val="008C7895"/>
    <w:rsid w:val="008C78E4"/>
    <w:rsid w:val="008C7934"/>
    <w:rsid w:val="008C79C0"/>
    <w:rsid w:val="008C79EC"/>
    <w:rsid w:val="008C79F8"/>
    <w:rsid w:val="008C7A01"/>
    <w:rsid w:val="008C7A6C"/>
    <w:rsid w:val="008C7A93"/>
    <w:rsid w:val="008C7AA4"/>
    <w:rsid w:val="008C7BDA"/>
    <w:rsid w:val="008C7BFE"/>
    <w:rsid w:val="008C7C7A"/>
    <w:rsid w:val="008C7CB3"/>
    <w:rsid w:val="008C7CC2"/>
    <w:rsid w:val="008C7DF8"/>
    <w:rsid w:val="008C7EF9"/>
    <w:rsid w:val="008C7EFB"/>
    <w:rsid w:val="008C7F9E"/>
    <w:rsid w:val="008C7FDC"/>
    <w:rsid w:val="008C7FDF"/>
    <w:rsid w:val="008C7FEC"/>
    <w:rsid w:val="008C7FFE"/>
    <w:rsid w:val="008D00E1"/>
    <w:rsid w:val="008D0127"/>
    <w:rsid w:val="008D0155"/>
    <w:rsid w:val="008D01F0"/>
    <w:rsid w:val="008D02CF"/>
    <w:rsid w:val="008D02D5"/>
    <w:rsid w:val="008D02F9"/>
    <w:rsid w:val="008D03BC"/>
    <w:rsid w:val="008D03EE"/>
    <w:rsid w:val="008D042F"/>
    <w:rsid w:val="008D043A"/>
    <w:rsid w:val="008D04F2"/>
    <w:rsid w:val="008D0521"/>
    <w:rsid w:val="008D056A"/>
    <w:rsid w:val="008D05F6"/>
    <w:rsid w:val="008D066B"/>
    <w:rsid w:val="008D06CD"/>
    <w:rsid w:val="008D0710"/>
    <w:rsid w:val="008D0744"/>
    <w:rsid w:val="008D0822"/>
    <w:rsid w:val="008D0915"/>
    <w:rsid w:val="008D09D1"/>
    <w:rsid w:val="008D0A02"/>
    <w:rsid w:val="008D0A49"/>
    <w:rsid w:val="008D0A81"/>
    <w:rsid w:val="008D0A9C"/>
    <w:rsid w:val="008D0AAC"/>
    <w:rsid w:val="008D0ADD"/>
    <w:rsid w:val="008D0AF9"/>
    <w:rsid w:val="008D0B3F"/>
    <w:rsid w:val="008D0C0D"/>
    <w:rsid w:val="008D0CA0"/>
    <w:rsid w:val="008D0CDD"/>
    <w:rsid w:val="008D0DC8"/>
    <w:rsid w:val="008D0DE0"/>
    <w:rsid w:val="008D0EA7"/>
    <w:rsid w:val="008D0EE2"/>
    <w:rsid w:val="008D0F27"/>
    <w:rsid w:val="008D0F4B"/>
    <w:rsid w:val="008D0F9B"/>
    <w:rsid w:val="008D0FE0"/>
    <w:rsid w:val="008D0FE2"/>
    <w:rsid w:val="008D0FF4"/>
    <w:rsid w:val="008D100F"/>
    <w:rsid w:val="008D1058"/>
    <w:rsid w:val="008D1072"/>
    <w:rsid w:val="008D112D"/>
    <w:rsid w:val="008D119D"/>
    <w:rsid w:val="008D11B0"/>
    <w:rsid w:val="008D11C2"/>
    <w:rsid w:val="008D1271"/>
    <w:rsid w:val="008D12EB"/>
    <w:rsid w:val="008D1317"/>
    <w:rsid w:val="008D13CA"/>
    <w:rsid w:val="008D13EB"/>
    <w:rsid w:val="008D13F4"/>
    <w:rsid w:val="008D1412"/>
    <w:rsid w:val="008D1428"/>
    <w:rsid w:val="008D1479"/>
    <w:rsid w:val="008D149B"/>
    <w:rsid w:val="008D14BE"/>
    <w:rsid w:val="008D14D5"/>
    <w:rsid w:val="008D15B4"/>
    <w:rsid w:val="008D15D6"/>
    <w:rsid w:val="008D175C"/>
    <w:rsid w:val="008D1857"/>
    <w:rsid w:val="008D1867"/>
    <w:rsid w:val="008D1872"/>
    <w:rsid w:val="008D1900"/>
    <w:rsid w:val="008D1950"/>
    <w:rsid w:val="008D1953"/>
    <w:rsid w:val="008D1972"/>
    <w:rsid w:val="008D19C7"/>
    <w:rsid w:val="008D1A0F"/>
    <w:rsid w:val="008D1A8B"/>
    <w:rsid w:val="008D1AD2"/>
    <w:rsid w:val="008D1AFC"/>
    <w:rsid w:val="008D1B07"/>
    <w:rsid w:val="008D1B42"/>
    <w:rsid w:val="008D1B54"/>
    <w:rsid w:val="008D1CD9"/>
    <w:rsid w:val="008D1D15"/>
    <w:rsid w:val="008D1D36"/>
    <w:rsid w:val="008D1DE6"/>
    <w:rsid w:val="008D1E18"/>
    <w:rsid w:val="008D1E2E"/>
    <w:rsid w:val="008D1E6E"/>
    <w:rsid w:val="008D1EA6"/>
    <w:rsid w:val="008D1ECB"/>
    <w:rsid w:val="008D1EDD"/>
    <w:rsid w:val="008D1FF8"/>
    <w:rsid w:val="008D20C3"/>
    <w:rsid w:val="008D21A3"/>
    <w:rsid w:val="008D226E"/>
    <w:rsid w:val="008D22E2"/>
    <w:rsid w:val="008D2370"/>
    <w:rsid w:val="008D23C7"/>
    <w:rsid w:val="008D240F"/>
    <w:rsid w:val="008D245F"/>
    <w:rsid w:val="008D24D9"/>
    <w:rsid w:val="008D260B"/>
    <w:rsid w:val="008D261D"/>
    <w:rsid w:val="008D266D"/>
    <w:rsid w:val="008D2708"/>
    <w:rsid w:val="008D270B"/>
    <w:rsid w:val="008D27D0"/>
    <w:rsid w:val="008D28FF"/>
    <w:rsid w:val="008D2983"/>
    <w:rsid w:val="008D2994"/>
    <w:rsid w:val="008D29A5"/>
    <w:rsid w:val="008D29AE"/>
    <w:rsid w:val="008D2A4D"/>
    <w:rsid w:val="008D2C27"/>
    <w:rsid w:val="008D2C2B"/>
    <w:rsid w:val="008D2C61"/>
    <w:rsid w:val="008D2D34"/>
    <w:rsid w:val="008D2D56"/>
    <w:rsid w:val="008D2D8F"/>
    <w:rsid w:val="008D2DBE"/>
    <w:rsid w:val="008D2E62"/>
    <w:rsid w:val="008D2F49"/>
    <w:rsid w:val="008D2FBE"/>
    <w:rsid w:val="008D30C9"/>
    <w:rsid w:val="008D30D0"/>
    <w:rsid w:val="008D30FD"/>
    <w:rsid w:val="008D32BE"/>
    <w:rsid w:val="008D32EF"/>
    <w:rsid w:val="008D34DA"/>
    <w:rsid w:val="008D3539"/>
    <w:rsid w:val="008D354D"/>
    <w:rsid w:val="008D3572"/>
    <w:rsid w:val="008D3626"/>
    <w:rsid w:val="008D363A"/>
    <w:rsid w:val="008D365C"/>
    <w:rsid w:val="008D366F"/>
    <w:rsid w:val="008D3725"/>
    <w:rsid w:val="008D3752"/>
    <w:rsid w:val="008D381B"/>
    <w:rsid w:val="008D3867"/>
    <w:rsid w:val="008D38EA"/>
    <w:rsid w:val="008D393B"/>
    <w:rsid w:val="008D3972"/>
    <w:rsid w:val="008D3999"/>
    <w:rsid w:val="008D39FF"/>
    <w:rsid w:val="008D3A16"/>
    <w:rsid w:val="008D3A21"/>
    <w:rsid w:val="008D3A4A"/>
    <w:rsid w:val="008D3AE4"/>
    <w:rsid w:val="008D3AF2"/>
    <w:rsid w:val="008D3B0D"/>
    <w:rsid w:val="008D3B17"/>
    <w:rsid w:val="008D3B9D"/>
    <w:rsid w:val="008D3BB3"/>
    <w:rsid w:val="008D3BB7"/>
    <w:rsid w:val="008D3BF0"/>
    <w:rsid w:val="008D3CCB"/>
    <w:rsid w:val="008D3D49"/>
    <w:rsid w:val="008D3DEE"/>
    <w:rsid w:val="008D3E03"/>
    <w:rsid w:val="008D3E0C"/>
    <w:rsid w:val="008D3E48"/>
    <w:rsid w:val="008D3ED7"/>
    <w:rsid w:val="008D3F2A"/>
    <w:rsid w:val="008D3F2B"/>
    <w:rsid w:val="008D3F2E"/>
    <w:rsid w:val="008D3F94"/>
    <w:rsid w:val="008D3FB5"/>
    <w:rsid w:val="008D3FCB"/>
    <w:rsid w:val="008D400A"/>
    <w:rsid w:val="008D4051"/>
    <w:rsid w:val="008D407B"/>
    <w:rsid w:val="008D40A5"/>
    <w:rsid w:val="008D40D0"/>
    <w:rsid w:val="008D41B2"/>
    <w:rsid w:val="008D41CA"/>
    <w:rsid w:val="008D4248"/>
    <w:rsid w:val="008D4252"/>
    <w:rsid w:val="008D42D4"/>
    <w:rsid w:val="008D42F9"/>
    <w:rsid w:val="008D433B"/>
    <w:rsid w:val="008D4357"/>
    <w:rsid w:val="008D4368"/>
    <w:rsid w:val="008D43A2"/>
    <w:rsid w:val="008D43C1"/>
    <w:rsid w:val="008D444D"/>
    <w:rsid w:val="008D44CA"/>
    <w:rsid w:val="008D4579"/>
    <w:rsid w:val="008D4641"/>
    <w:rsid w:val="008D4670"/>
    <w:rsid w:val="008D472A"/>
    <w:rsid w:val="008D4939"/>
    <w:rsid w:val="008D4A03"/>
    <w:rsid w:val="008D4A29"/>
    <w:rsid w:val="008D4A35"/>
    <w:rsid w:val="008D4B4E"/>
    <w:rsid w:val="008D4BB6"/>
    <w:rsid w:val="008D4C7A"/>
    <w:rsid w:val="008D4C90"/>
    <w:rsid w:val="008D4C9E"/>
    <w:rsid w:val="008D4D55"/>
    <w:rsid w:val="008D4DEB"/>
    <w:rsid w:val="008D4E0B"/>
    <w:rsid w:val="008D4E34"/>
    <w:rsid w:val="008D4E4F"/>
    <w:rsid w:val="008D4E59"/>
    <w:rsid w:val="008D4FB5"/>
    <w:rsid w:val="008D5055"/>
    <w:rsid w:val="008D5057"/>
    <w:rsid w:val="008D5174"/>
    <w:rsid w:val="008D519D"/>
    <w:rsid w:val="008D525E"/>
    <w:rsid w:val="008D5299"/>
    <w:rsid w:val="008D52AE"/>
    <w:rsid w:val="008D538D"/>
    <w:rsid w:val="008D53B8"/>
    <w:rsid w:val="008D541B"/>
    <w:rsid w:val="008D54F9"/>
    <w:rsid w:val="008D557D"/>
    <w:rsid w:val="008D5625"/>
    <w:rsid w:val="008D5651"/>
    <w:rsid w:val="008D574E"/>
    <w:rsid w:val="008D5755"/>
    <w:rsid w:val="008D5781"/>
    <w:rsid w:val="008D5789"/>
    <w:rsid w:val="008D57F0"/>
    <w:rsid w:val="008D583B"/>
    <w:rsid w:val="008D589F"/>
    <w:rsid w:val="008D58EB"/>
    <w:rsid w:val="008D58FA"/>
    <w:rsid w:val="008D5947"/>
    <w:rsid w:val="008D5978"/>
    <w:rsid w:val="008D5979"/>
    <w:rsid w:val="008D59B6"/>
    <w:rsid w:val="008D5A07"/>
    <w:rsid w:val="008D5A6D"/>
    <w:rsid w:val="008D5CAD"/>
    <w:rsid w:val="008D5CDE"/>
    <w:rsid w:val="008D5D29"/>
    <w:rsid w:val="008D5E9E"/>
    <w:rsid w:val="008D5EAC"/>
    <w:rsid w:val="008D5FA3"/>
    <w:rsid w:val="008D61B0"/>
    <w:rsid w:val="008D61B7"/>
    <w:rsid w:val="008D61C4"/>
    <w:rsid w:val="008D6250"/>
    <w:rsid w:val="008D62B9"/>
    <w:rsid w:val="008D6377"/>
    <w:rsid w:val="008D63FC"/>
    <w:rsid w:val="008D64B0"/>
    <w:rsid w:val="008D6691"/>
    <w:rsid w:val="008D66B3"/>
    <w:rsid w:val="008D66CA"/>
    <w:rsid w:val="008D682C"/>
    <w:rsid w:val="008D685D"/>
    <w:rsid w:val="008D688F"/>
    <w:rsid w:val="008D68C8"/>
    <w:rsid w:val="008D69A1"/>
    <w:rsid w:val="008D69C1"/>
    <w:rsid w:val="008D69EB"/>
    <w:rsid w:val="008D6A32"/>
    <w:rsid w:val="008D6A3A"/>
    <w:rsid w:val="008D6B10"/>
    <w:rsid w:val="008D6B1B"/>
    <w:rsid w:val="008D6BC6"/>
    <w:rsid w:val="008D6C7B"/>
    <w:rsid w:val="008D6DFB"/>
    <w:rsid w:val="008D6E2A"/>
    <w:rsid w:val="008D6EA7"/>
    <w:rsid w:val="008D6F4B"/>
    <w:rsid w:val="008D6FE2"/>
    <w:rsid w:val="008D700A"/>
    <w:rsid w:val="008D704F"/>
    <w:rsid w:val="008D71A0"/>
    <w:rsid w:val="008D71FA"/>
    <w:rsid w:val="008D7233"/>
    <w:rsid w:val="008D725A"/>
    <w:rsid w:val="008D72D8"/>
    <w:rsid w:val="008D7371"/>
    <w:rsid w:val="008D7479"/>
    <w:rsid w:val="008D74E3"/>
    <w:rsid w:val="008D7515"/>
    <w:rsid w:val="008D7599"/>
    <w:rsid w:val="008D75DE"/>
    <w:rsid w:val="008D7602"/>
    <w:rsid w:val="008D7621"/>
    <w:rsid w:val="008D7648"/>
    <w:rsid w:val="008D77CE"/>
    <w:rsid w:val="008D7813"/>
    <w:rsid w:val="008D78CE"/>
    <w:rsid w:val="008D7926"/>
    <w:rsid w:val="008D79C1"/>
    <w:rsid w:val="008D7B12"/>
    <w:rsid w:val="008D7CC7"/>
    <w:rsid w:val="008D7D27"/>
    <w:rsid w:val="008D7D87"/>
    <w:rsid w:val="008D7DC2"/>
    <w:rsid w:val="008D7DDA"/>
    <w:rsid w:val="008D7E2D"/>
    <w:rsid w:val="008D7E60"/>
    <w:rsid w:val="008D7EF4"/>
    <w:rsid w:val="008E0045"/>
    <w:rsid w:val="008E0071"/>
    <w:rsid w:val="008E0099"/>
    <w:rsid w:val="008E01CC"/>
    <w:rsid w:val="008E022E"/>
    <w:rsid w:val="008E026C"/>
    <w:rsid w:val="008E02AF"/>
    <w:rsid w:val="008E02B5"/>
    <w:rsid w:val="008E02D1"/>
    <w:rsid w:val="008E02D8"/>
    <w:rsid w:val="008E032A"/>
    <w:rsid w:val="008E0416"/>
    <w:rsid w:val="008E0505"/>
    <w:rsid w:val="008E060A"/>
    <w:rsid w:val="008E06D6"/>
    <w:rsid w:val="008E0701"/>
    <w:rsid w:val="008E076A"/>
    <w:rsid w:val="008E07A7"/>
    <w:rsid w:val="008E07EE"/>
    <w:rsid w:val="008E08C6"/>
    <w:rsid w:val="008E0929"/>
    <w:rsid w:val="008E09AA"/>
    <w:rsid w:val="008E09ED"/>
    <w:rsid w:val="008E0B11"/>
    <w:rsid w:val="008E0C75"/>
    <w:rsid w:val="008E0C8D"/>
    <w:rsid w:val="008E0C9A"/>
    <w:rsid w:val="008E0D8F"/>
    <w:rsid w:val="008E0DB0"/>
    <w:rsid w:val="008E0DB3"/>
    <w:rsid w:val="008E0E31"/>
    <w:rsid w:val="008E0E53"/>
    <w:rsid w:val="008E0E56"/>
    <w:rsid w:val="008E0E89"/>
    <w:rsid w:val="008E0EB0"/>
    <w:rsid w:val="008E0EB3"/>
    <w:rsid w:val="008E0EB8"/>
    <w:rsid w:val="008E0ECD"/>
    <w:rsid w:val="008E0F19"/>
    <w:rsid w:val="008E1009"/>
    <w:rsid w:val="008E10C8"/>
    <w:rsid w:val="008E10D4"/>
    <w:rsid w:val="008E12A8"/>
    <w:rsid w:val="008E12EE"/>
    <w:rsid w:val="008E135E"/>
    <w:rsid w:val="008E13D0"/>
    <w:rsid w:val="008E144C"/>
    <w:rsid w:val="008E147C"/>
    <w:rsid w:val="008E1520"/>
    <w:rsid w:val="008E1543"/>
    <w:rsid w:val="008E15BE"/>
    <w:rsid w:val="008E1664"/>
    <w:rsid w:val="008E16A0"/>
    <w:rsid w:val="008E1722"/>
    <w:rsid w:val="008E173A"/>
    <w:rsid w:val="008E1820"/>
    <w:rsid w:val="008E182E"/>
    <w:rsid w:val="008E1871"/>
    <w:rsid w:val="008E1915"/>
    <w:rsid w:val="008E1993"/>
    <w:rsid w:val="008E1AD3"/>
    <w:rsid w:val="008E1B4C"/>
    <w:rsid w:val="008E1DC4"/>
    <w:rsid w:val="008E1E8D"/>
    <w:rsid w:val="008E1EB6"/>
    <w:rsid w:val="008E1EBD"/>
    <w:rsid w:val="008E1FD7"/>
    <w:rsid w:val="008E1FE6"/>
    <w:rsid w:val="008E1FE9"/>
    <w:rsid w:val="008E20B0"/>
    <w:rsid w:val="008E2125"/>
    <w:rsid w:val="008E2132"/>
    <w:rsid w:val="008E2179"/>
    <w:rsid w:val="008E225B"/>
    <w:rsid w:val="008E2262"/>
    <w:rsid w:val="008E228B"/>
    <w:rsid w:val="008E22DF"/>
    <w:rsid w:val="008E23AC"/>
    <w:rsid w:val="008E23C0"/>
    <w:rsid w:val="008E241D"/>
    <w:rsid w:val="008E2498"/>
    <w:rsid w:val="008E24AF"/>
    <w:rsid w:val="008E2505"/>
    <w:rsid w:val="008E25AF"/>
    <w:rsid w:val="008E25D5"/>
    <w:rsid w:val="008E2612"/>
    <w:rsid w:val="008E26E4"/>
    <w:rsid w:val="008E2719"/>
    <w:rsid w:val="008E276C"/>
    <w:rsid w:val="008E280B"/>
    <w:rsid w:val="008E2829"/>
    <w:rsid w:val="008E288F"/>
    <w:rsid w:val="008E28A2"/>
    <w:rsid w:val="008E28E4"/>
    <w:rsid w:val="008E2966"/>
    <w:rsid w:val="008E29CE"/>
    <w:rsid w:val="008E2A5A"/>
    <w:rsid w:val="008E2A8C"/>
    <w:rsid w:val="008E2AE0"/>
    <w:rsid w:val="008E2B49"/>
    <w:rsid w:val="008E2C90"/>
    <w:rsid w:val="008E2CEF"/>
    <w:rsid w:val="008E2DA6"/>
    <w:rsid w:val="008E2DCE"/>
    <w:rsid w:val="008E2DEB"/>
    <w:rsid w:val="008E2E3B"/>
    <w:rsid w:val="008E2E8C"/>
    <w:rsid w:val="008E2EDE"/>
    <w:rsid w:val="008E2F7E"/>
    <w:rsid w:val="008E2FB9"/>
    <w:rsid w:val="008E2FD0"/>
    <w:rsid w:val="008E3046"/>
    <w:rsid w:val="008E305A"/>
    <w:rsid w:val="008E30F5"/>
    <w:rsid w:val="008E3161"/>
    <w:rsid w:val="008E3162"/>
    <w:rsid w:val="008E3236"/>
    <w:rsid w:val="008E325E"/>
    <w:rsid w:val="008E32D4"/>
    <w:rsid w:val="008E33D1"/>
    <w:rsid w:val="008E3409"/>
    <w:rsid w:val="008E340D"/>
    <w:rsid w:val="008E3431"/>
    <w:rsid w:val="008E3570"/>
    <w:rsid w:val="008E35AD"/>
    <w:rsid w:val="008E362E"/>
    <w:rsid w:val="008E3688"/>
    <w:rsid w:val="008E36D8"/>
    <w:rsid w:val="008E36FB"/>
    <w:rsid w:val="008E3778"/>
    <w:rsid w:val="008E377B"/>
    <w:rsid w:val="008E37AB"/>
    <w:rsid w:val="008E37AC"/>
    <w:rsid w:val="008E37D8"/>
    <w:rsid w:val="008E37DF"/>
    <w:rsid w:val="008E38C6"/>
    <w:rsid w:val="008E3997"/>
    <w:rsid w:val="008E39A8"/>
    <w:rsid w:val="008E3A12"/>
    <w:rsid w:val="008E3A21"/>
    <w:rsid w:val="008E3A92"/>
    <w:rsid w:val="008E3B65"/>
    <w:rsid w:val="008E3B96"/>
    <w:rsid w:val="008E3BEA"/>
    <w:rsid w:val="008E3C1E"/>
    <w:rsid w:val="008E3C63"/>
    <w:rsid w:val="008E3C70"/>
    <w:rsid w:val="008E3C9C"/>
    <w:rsid w:val="008E3DB7"/>
    <w:rsid w:val="008E3DDE"/>
    <w:rsid w:val="008E3DEE"/>
    <w:rsid w:val="008E3E4D"/>
    <w:rsid w:val="008E3E9F"/>
    <w:rsid w:val="008E3EF6"/>
    <w:rsid w:val="008E3F17"/>
    <w:rsid w:val="008E3F3C"/>
    <w:rsid w:val="008E3F4D"/>
    <w:rsid w:val="008E3F9A"/>
    <w:rsid w:val="008E40B1"/>
    <w:rsid w:val="008E40CD"/>
    <w:rsid w:val="008E40E9"/>
    <w:rsid w:val="008E416D"/>
    <w:rsid w:val="008E41B2"/>
    <w:rsid w:val="008E41DD"/>
    <w:rsid w:val="008E42B0"/>
    <w:rsid w:val="008E42F4"/>
    <w:rsid w:val="008E4398"/>
    <w:rsid w:val="008E43B7"/>
    <w:rsid w:val="008E4542"/>
    <w:rsid w:val="008E4556"/>
    <w:rsid w:val="008E457A"/>
    <w:rsid w:val="008E4683"/>
    <w:rsid w:val="008E4751"/>
    <w:rsid w:val="008E4763"/>
    <w:rsid w:val="008E47FB"/>
    <w:rsid w:val="008E489A"/>
    <w:rsid w:val="008E48A7"/>
    <w:rsid w:val="008E48FF"/>
    <w:rsid w:val="008E491D"/>
    <w:rsid w:val="008E4988"/>
    <w:rsid w:val="008E4A03"/>
    <w:rsid w:val="008E4A11"/>
    <w:rsid w:val="008E4A1E"/>
    <w:rsid w:val="008E4A30"/>
    <w:rsid w:val="008E4A8B"/>
    <w:rsid w:val="008E4BED"/>
    <w:rsid w:val="008E4C31"/>
    <w:rsid w:val="008E4D03"/>
    <w:rsid w:val="008E4D62"/>
    <w:rsid w:val="008E4DAC"/>
    <w:rsid w:val="008E4DDB"/>
    <w:rsid w:val="008E4DE9"/>
    <w:rsid w:val="008E4E08"/>
    <w:rsid w:val="008E4E0F"/>
    <w:rsid w:val="008E4EC8"/>
    <w:rsid w:val="008E5047"/>
    <w:rsid w:val="008E5100"/>
    <w:rsid w:val="008E51A1"/>
    <w:rsid w:val="008E51EF"/>
    <w:rsid w:val="008E5210"/>
    <w:rsid w:val="008E5361"/>
    <w:rsid w:val="008E53AC"/>
    <w:rsid w:val="008E53F7"/>
    <w:rsid w:val="008E54C3"/>
    <w:rsid w:val="008E54ED"/>
    <w:rsid w:val="008E5505"/>
    <w:rsid w:val="008E572B"/>
    <w:rsid w:val="008E5799"/>
    <w:rsid w:val="008E57FE"/>
    <w:rsid w:val="008E580B"/>
    <w:rsid w:val="008E5826"/>
    <w:rsid w:val="008E58C2"/>
    <w:rsid w:val="008E594E"/>
    <w:rsid w:val="008E5B8F"/>
    <w:rsid w:val="008E5BB6"/>
    <w:rsid w:val="008E5C77"/>
    <w:rsid w:val="008E5CC3"/>
    <w:rsid w:val="008E5D74"/>
    <w:rsid w:val="008E5E21"/>
    <w:rsid w:val="008E5E77"/>
    <w:rsid w:val="008E5EB4"/>
    <w:rsid w:val="008E5EDF"/>
    <w:rsid w:val="008E5EEA"/>
    <w:rsid w:val="008E5F0E"/>
    <w:rsid w:val="008E5F94"/>
    <w:rsid w:val="008E603A"/>
    <w:rsid w:val="008E6041"/>
    <w:rsid w:val="008E60D7"/>
    <w:rsid w:val="008E61C2"/>
    <w:rsid w:val="008E61DE"/>
    <w:rsid w:val="008E634C"/>
    <w:rsid w:val="008E6355"/>
    <w:rsid w:val="008E63AF"/>
    <w:rsid w:val="008E63C1"/>
    <w:rsid w:val="008E63F6"/>
    <w:rsid w:val="008E640B"/>
    <w:rsid w:val="008E6411"/>
    <w:rsid w:val="008E64D6"/>
    <w:rsid w:val="008E6597"/>
    <w:rsid w:val="008E6599"/>
    <w:rsid w:val="008E65CE"/>
    <w:rsid w:val="008E65D5"/>
    <w:rsid w:val="008E66B8"/>
    <w:rsid w:val="008E670B"/>
    <w:rsid w:val="008E671B"/>
    <w:rsid w:val="008E6749"/>
    <w:rsid w:val="008E6758"/>
    <w:rsid w:val="008E6781"/>
    <w:rsid w:val="008E67BC"/>
    <w:rsid w:val="008E67EC"/>
    <w:rsid w:val="008E6834"/>
    <w:rsid w:val="008E687C"/>
    <w:rsid w:val="008E68E5"/>
    <w:rsid w:val="008E68F1"/>
    <w:rsid w:val="008E6904"/>
    <w:rsid w:val="008E692C"/>
    <w:rsid w:val="008E69BB"/>
    <w:rsid w:val="008E6A9B"/>
    <w:rsid w:val="008E6B46"/>
    <w:rsid w:val="008E6BDA"/>
    <w:rsid w:val="008E6C1F"/>
    <w:rsid w:val="008E6DE2"/>
    <w:rsid w:val="008E6DE7"/>
    <w:rsid w:val="008E6E34"/>
    <w:rsid w:val="008E6F29"/>
    <w:rsid w:val="008E6F5A"/>
    <w:rsid w:val="008E6F77"/>
    <w:rsid w:val="008E6FBA"/>
    <w:rsid w:val="008E7003"/>
    <w:rsid w:val="008E702C"/>
    <w:rsid w:val="008E709D"/>
    <w:rsid w:val="008E70C3"/>
    <w:rsid w:val="008E70FC"/>
    <w:rsid w:val="008E7124"/>
    <w:rsid w:val="008E71D7"/>
    <w:rsid w:val="008E7299"/>
    <w:rsid w:val="008E72C6"/>
    <w:rsid w:val="008E72E0"/>
    <w:rsid w:val="008E7320"/>
    <w:rsid w:val="008E7354"/>
    <w:rsid w:val="008E737D"/>
    <w:rsid w:val="008E7396"/>
    <w:rsid w:val="008E73AC"/>
    <w:rsid w:val="008E73B3"/>
    <w:rsid w:val="008E73C1"/>
    <w:rsid w:val="008E73EA"/>
    <w:rsid w:val="008E740C"/>
    <w:rsid w:val="008E7411"/>
    <w:rsid w:val="008E747A"/>
    <w:rsid w:val="008E748B"/>
    <w:rsid w:val="008E74B3"/>
    <w:rsid w:val="008E74BB"/>
    <w:rsid w:val="008E74BD"/>
    <w:rsid w:val="008E7569"/>
    <w:rsid w:val="008E772B"/>
    <w:rsid w:val="008E7863"/>
    <w:rsid w:val="008E794C"/>
    <w:rsid w:val="008E795C"/>
    <w:rsid w:val="008E796A"/>
    <w:rsid w:val="008E7985"/>
    <w:rsid w:val="008E7A03"/>
    <w:rsid w:val="008E7A3A"/>
    <w:rsid w:val="008E7A60"/>
    <w:rsid w:val="008E7AB2"/>
    <w:rsid w:val="008E7AEA"/>
    <w:rsid w:val="008E7B55"/>
    <w:rsid w:val="008E7BAA"/>
    <w:rsid w:val="008E7BAC"/>
    <w:rsid w:val="008E7BE8"/>
    <w:rsid w:val="008E7C4A"/>
    <w:rsid w:val="008E7C61"/>
    <w:rsid w:val="008E7D06"/>
    <w:rsid w:val="008E7D0C"/>
    <w:rsid w:val="008E7D82"/>
    <w:rsid w:val="008E7DA9"/>
    <w:rsid w:val="008E7DD5"/>
    <w:rsid w:val="008E7E3D"/>
    <w:rsid w:val="008E7E4A"/>
    <w:rsid w:val="008E7E74"/>
    <w:rsid w:val="008E7F23"/>
    <w:rsid w:val="008E7F2A"/>
    <w:rsid w:val="008E7F41"/>
    <w:rsid w:val="008E7FF8"/>
    <w:rsid w:val="008F010E"/>
    <w:rsid w:val="008F0151"/>
    <w:rsid w:val="008F0170"/>
    <w:rsid w:val="008F01FA"/>
    <w:rsid w:val="008F0256"/>
    <w:rsid w:val="008F02A8"/>
    <w:rsid w:val="008F02C5"/>
    <w:rsid w:val="008F03B4"/>
    <w:rsid w:val="008F0408"/>
    <w:rsid w:val="008F042B"/>
    <w:rsid w:val="008F044C"/>
    <w:rsid w:val="008F04E3"/>
    <w:rsid w:val="008F0532"/>
    <w:rsid w:val="008F0548"/>
    <w:rsid w:val="008F0585"/>
    <w:rsid w:val="008F058F"/>
    <w:rsid w:val="008F05AF"/>
    <w:rsid w:val="008F05C0"/>
    <w:rsid w:val="008F064F"/>
    <w:rsid w:val="008F0653"/>
    <w:rsid w:val="008F06C0"/>
    <w:rsid w:val="008F06EF"/>
    <w:rsid w:val="008F071D"/>
    <w:rsid w:val="008F0734"/>
    <w:rsid w:val="008F0741"/>
    <w:rsid w:val="008F075C"/>
    <w:rsid w:val="008F0761"/>
    <w:rsid w:val="008F0896"/>
    <w:rsid w:val="008F093E"/>
    <w:rsid w:val="008F0A8C"/>
    <w:rsid w:val="008F0AAB"/>
    <w:rsid w:val="008F0AB3"/>
    <w:rsid w:val="008F0AF2"/>
    <w:rsid w:val="008F0B13"/>
    <w:rsid w:val="008F0C1B"/>
    <w:rsid w:val="008F0CE3"/>
    <w:rsid w:val="008F0DC9"/>
    <w:rsid w:val="008F0DDE"/>
    <w:rsid w:val="008F0E68"/>
    <w:rsid w:val="008F0E79"/>
    <w:rsid w:val="008F0E81"/>
    <w:rsid w:val="008F0F0E"/>
    <w:rsid w:val="008F0F35"/>
    <w:rsid w:val="008F0F3F"/>
    <w:rsid w:val="008F0F84"/>
    <w:rsid w:val="008F0FB4"/>
    <w:rsid w:val="008F0FBF"/>
    <w:rsid w:val="008F10D0"/>
    <w:rsid w:val="008F1120"/>
    <w:rsid w:val="008F112E"/>
    <w:rsid w:val="008F1152"/>
    <w:rsid w:val="008F11CF"/>
    <w:rsid w:val="008F1266"/>
    <w:rsid w:val="008F126E"/>
    <w:rsid w:val="008F129C"/>
    <w:rsid w:val="008F12D2"/>
    <w:rsid w:val="008F13E7"/>
    <w:rsid w:val="008F13EE"/>
    <w:rsid w:val="008F142C"/>
    <w:rsid w:val="008F14B3"/>
    <w:rsid w:val="008F169F"/>
    <w:rsid w:val="008F173D"/>
    <w:rsid w:val="008F17C2"/>
    <w:rsid w:val="008F17C8"/>
    <w:rsid w:val="008F1822"/>
    <w:rsid w:val="008F1838"/>
    <w:rsid w:val="008F1839"/>
    <w:rsid w:val="008F18AA"/>
    <w:rsid w:val="008F1974"/>
    <w:rsid w:val="008F1A7A"/>
    <w:rsid w:val="008F1AF1"/>
    <w:rsid w:val="008F1BD9"/>
    <w:rsid w:val="008F1CB0"/>
    <w:rsid w:val="008F1CEE"/>
    <w:rsid w:val="008F1D36"/>
    <w:rsid w:val="008F1D94"/>
    <w:rsid w:val="008F1DE4"/>
    <w:rsid w:val="008F1EBD"/>
    <w:rsid w:val="008F1ED9"/>
    <w:rsid w:val="008F1F4D"/>
    <w:rsid w:val="008F1F5E"/>
    <w:rsid w:val="008F20F0"/>
    <w:rsid w:val="008F2161"/>
    <w:rsid w:val="008F21C9"/>
    <w:rsid w:val="008F21D0"/>
    <w:rsid w:val="008F21DB"/>
    <w:rsid w:val="008F220B"/>
    <w:rsid w:val="008F2249"/>
    <w:rsid w:val="008F2324"/>
    <w:rsid w:val="008F23DF"/>
    <w:rsid w:val="008F2437"/>
    <w:rsid w:val="008F247E"/>
    <w:rsid w:val="008F248A"/>
    <w:rsid w:val="008F24E6"/>
    <w:rsid w:val="008F24E8"/>
    <w:rsid w:val="008F2500"/>
    <w:rsid w:val="008F253F"/>
    <w:rsid w:val="008F2604"/>
    <w:rsid w:val="008F26D2"/>
    <w:rsid w:val="008F2700"/>
    <w:rsid w:val="008F279A"/>
    <w:rsid w:val="008F27A9"/>
    <w:rsid w:val="008F2817"/>
    <w:rsid w:val="008F282B"/>
    <w:rsid w:val="008F2833"/>
    <w:rsid w:val="008F28A6"/>
    <w:rsid w:val="008F293E"/>
    <w:rsid w:val="008F2976"/>
    <w:rsid w:val="008F2998"/>
    <w:rsid w:val="008F29B8"/>
    <w:rsid w:val="008F29DF"/>
    <w:rsid w:val="008F2AA6"/>
    <w:rsid w:val="008F2ACD"/>
    <w:rsid w:val="008F2C10"/>
    <w:rsid w:val="008F2C65"/>
    <w:rsid w:val="008F2C66"/>
    <w:rsid w:val="008F2D73"/>
    <w:rsid w:val="008F2D90"/>
    <w:rsid w:val="008F2DF5"/>
    <w:rsid w:val="008F2E3E"/>
    <w:rsid w:val="008F2EC3"/>
    <w:rsid w:val="008F2FAB"/>
    <w:rsid w:val="008F3060"/>
    <w:rsid w:val="008F30A2"/>
    <w:rsid w:val="008F30E2"/>
    <w:rsid w:val="008F3398"/>
    <w:rsid w:val="008F3406"/>
    <w:rsid w:val="008F343F"/>
    <w:rsid w:val="008F34BE"/>
    <w:rsid w:val="008F354C"/>
    <w:rsid w:val="008F359D"/>
    <w:rsid w:val="008F35E8"/>
    <w:rsid w:val="008F3684"/>
    <w:rsid w:val="008F368A"/>
    <w:rsid w:val="008F36BE"/>
    <w:rsid w:val="008F36F4"/>
    <w:rsid w:val="008F3863"/>
    <w:rsid w:val="008F3933"/>
    <w:rsid w:val="008F394A"/>
    <w:rsid w:val="008F39AF"/>
    <w:rsid w:val="008F3A3A"/>
    <w:rsid w:val="008F3AA1"/>
    <w:rsid w:val="008F3AA6"/>
    <w:rsid w:val="008F3BB4"/>
    <w:rsid w:val="008F3C9B"/>
    <w:rsid w:val="008F3D36"/>
    <w:rsid w:val="008F3D99"/>
    <w:rsid w:val="008F3E5B"/>
    <w:rsid w:val="008F3F2A"/>
    <w:rsid w:val="008F3FDA"/>
    <w:rsid w:val="008F3FFA"/>
    <w:rsid w:val="008F4168"/>
    <w:rsid w:val="008F4193"/>
    <w:rsid w:val="008F42BA"/>
    <w:rsid w:val="008F43FD"/>
    <w:rsid w:val="008F4468"/>
    <w:rsid w:val="008F44DD"/>
    <w:rsid w:val="008F4503"/>
    <w:rsid w:val="008F4579"/>
    <w:rsid w:val="008F4606"/>
    <w:rsid w:val="008F4632"/>
    <w:rsid w:val="008F48CD"/>
    <w:rsid w:val="008F48D5"/>
    <w:rsid w:val="008F4998"/>
    <w:rsid w:val="008F4A34"/>
    <w:rsid w:val="008F4AB7"/>
    <w:rsid w:val="008F4B05"/>
    <w:rsid w:val="008F4C03"/>
    <w:rsid w:val="008F4C27"/>
    <w:rsid w:val="008F4C40"/>
    <w:rsid w:val="008F4C50"/>
    <w:rsid w:val="008F4C63"/>
    <w:rsid w:val="008F4CF9"/>
    <w:rsid w:val="008F4D14"/>
    <w:rsid w:val="008F4DFE"/>
    <w:rsid w:val="008F4EFB"/>
    <w:rsid w:val="008F4FE5"/>
    <w:rsid w:val="008F4FFF"/>
    <w:rsid w:val="008F50CA"/>
    <w:rsid w:val="008F511B"/>
    <w:rsid w:val="008F5149"/>
    <w:rsid w:val="008F51B0"/>
    <w:rsid w:val="008F526B"/>
    <w:rsid w:val="008F52C9"/>
    <w:rsid w:val="008F534F"/>
    <w:rsid w:val="008F5389"/>
    <w:rsid w:val="008F540A"/>
    <w:rsid w:val="008F54E3"/>
    <w:rsid w:val="008F55B2"/>
    <w:rsid w:val="008F55FB"/>
    <w:rsid w:val="008F568B"/>
    <w:rsid w:val="008F579A"/>
    <w:rsid w:val="008F57CA"/>
    <w:rsid w:val="008F5885"/>
    <w:rsid w:val="008F58CE"/>
    <w:rsid w:val="008F58E4"/>
    <w:rsid w:val="008F592E"/>
    <w:rsid w:val="008F5941"/>
    <w:rsid w:val="008F594D"/>
    <w:rsid w:val="008F59BD"/>
    <w:rsid w:val="008F5A4D"/>
    <w:rsid w:val="008F5C29"/>
    <w:rsid w:val="008F5C3C"/>
    <w:rsid w:val="008F5C75"/>
    <w:rsid w:val="008F5CAD"/>
    <w:rsid w:val="008F5D13"/>
    <w:rsid w:val="008F5D2D"/>
    <w:rsid w:val="008F5D6E"/>
    <w:rsid w:val="008F5E59"/>
    <w:rsid w:val="008F5EC8"/>
    <w:rsid w:val="008F5F7F"/>
    <w:rsid w:val="008F5FA5"/>
    <w:rsid w:val="008F5FD6"/>
    <w:rsid w:val="008F5FED"/>
    <w:rsid w:val="008F60C5"/>
    <w:rsid w:val="008F6106"/>
    <w:rsid w:val="008F61C1"/>
    <w:rsid w:val="008F6212"/>
    <w:rsid w:val="008F6250"/>
    <w:rsid w:val="008F6465"/>
    <w:rsid w:val="008F64F8"/>
    <w:rsid w:val="008F6544"/>
    <w:rsid w:val="008F669C"/>
    <w:rsid w:val="008F66F6"/>
    <w:rsid w:val="008F6777"/>
    <w:rsid w:val="008F6857"/>
    <w:rsid w:val="008F6912"/>
    <w:rsid w:val="008F6930"/>
    <w:rsid w:val="008F693E"/>
    <w:rsid w:val="008F6A0B"/>
    <w:rsid w:val="008F6A17"/>
    <w:rsid w:val="008F6A54"/>
    <w:rsid w:val="008F6B1D"/>
    <w:rsid w:val="008F6B2C"/>
    <w:rsid w:val="008F6B48"/>
    <w:rsid w:val="008F6CA9"/>
    <w:rsid w:val="008F6E17"/>
    <w:rsid w:val="008F6EFD"/>
    <w:rsid w:val="008F6F6F"/>
    <w:rsid w:val="008F705C"/>
    <w:rsid w:val="008F7100"/>
    <w:rsid w:val="008F717E"/>
    <w:rsid w:val="008F721A"/>
    <w:rsid w:val="008F72B3"/>
    <w:rsid w:val="008F72B7"/>
    <w:rsid w:val="008F72FD"/>
    <w:rsid w:val="008F73D5"/>
    <w:rsid w:val="008F7412"/>
    <w:rsid w:val="008F7440"/>
    <w:rsid w:val="008F7474"/>
    <w:rsid w:val="008F749D"/>
    <w:rsid w:val="008F74A6"/>
    <w:rsid w:val="008F74FA"/>
    <w:rsid w:val="008F751E"/>
    <w:rsid w:val="008F757A"/>
    <w:rsid w:val="008F757C"/>
    <w:rsid w:val="008F7594"/>
    <w:rsid w:val="008F75F4"/>
    <w:rsid w:val="008F774E"/>
    <w:rsid w:val="008F77F2"/>
    <w:rsid w:val="008F7819"/>
    <w:rsid w:val="008F7858"/>
    <w:rsid w:val="008F785A"/>
    <w:rsid w:val="008F787B"/>
    <w:rsid w:val="008F7940"/>
    <w:rsid w:val="008F7A49"/>
    <w:rsid w:val="008F7AF6"/>
    <w:rsid w:val="008F7B07"/>
    <w:rsid w:val="008F7BC9"/>
    <w:rsid w:val="008F7BD6"/>
    <w:rsid w:val="008F7D6E"/>
    <w:rsid w:val="008F7DA5"/>
    <w:rsid w:val="008F7E07"/>
    <w:rsid w:val="008F7E17"/>
    <w:rsid w:val="008F7E55"/>
    <w:rsid w:val="008F7E9A"/>
    <w:rsid w:val="008F7EC3"/>
    <w:rsid w:val="008F7EE1"/>
    <w:rsid w:val="008F7EF7"/>
    <w:rsid w:val="008F7FBD"/>
    <w:rsid w:val="0090005C"/>
    <w:rsid w:val="009000B3"/>
    <w:rsid w:val="00900165"/>
    <w:rsid w:val="00900175"/>
    <w:rsid w:val="009001F7"/>
    <w:rsid w:val="009002F6"/>
    <w:rsid w:val="00900306"/>
    <w:rsid w:val="00900417"/>
    <w:rsid w:val="0090047C"/>
    <w:rsid w:val="0090047F"/>
    <w:rsid w:val="009004A0"/>
    <w:rsid w:val="009006C7"/>
    <w:rsid w:val="009006D8"/>
    <w:rsid w:val="009006FB"/>
    <w:rsid w:val="009007C0"/>
    <w:rsid w:val="00900879"/>
    <w:rsid w:val="0090088B"/>
    <w:rsid w:val="009008C8"/>
    <w:rsid w:val="009009B5"/>
    <w:rsid w:val="00900A1D"/>
    <w:rsid w:val="00900AE7"/>
    <w:rsid w:val="00900B5F"/>
    <w:rsid w:val="00900B66"/>
    <w:rsid w:val="00900C41"/>
    <w:rsid w:val="00900C6F"/>
    <w:rsid w:val="00900CC5"/>
    <w:rsid w:val="00900D41"/>
    <w:rsid w:val="00900DD8"/>
    <w:rsid w:val="00900E17"/>
    <w:rsid w:val="00900E18"/>
    <w:rsid w:val="00900E68"/>
    <w:rsid w:val="00900E6F"/>
    <w:rsid w:val="00900EAA"/>
    <w:rsid w:val="00900ED2"/>
    <w:rsid w:val="00900F87"/>
    <w:rsid w:val="00900FEA"/>
    <w:rsid w:val="009010D0"/>
    <w:rsid w:val="0090113A"/>
    <w:rsid w:val="00901146"/>
    <w:rsid w:val="00901192"/>
    <w:rsid w:val="0090121B"/>
    <w:rsid w:val="00901275"/>
    <w:rsid w:val="009012F8"/>
    <w:rsid w:val="009013EF"/>
    <w:rsid w:val="009014FE"/>
    <w:rsid w:val="00901527"/>
    <w:rsid w:val="009015E4"/>
    <w:rsid w:val="009016A2"/>
    <w:rsid w:val="009016EA"/>
    <w:rsid w:val="00901786"/>
    <w:rsid w:val="009017CB"/>
    <w:rsid w:val="009017F8"/>
    <w:rsid w:val="009017FC"/>
    <w:rsid w:val="009019ED"/>
    <w:rsid w:val="00901A6C"/>
    <w:rsid w:val="00901ADD"/>
    <w:rsid w:val="00901AF3"/>
    <w:rsid w:val="00901B16"/>
    <w:rsid w:val="00901B45"/>
    <w:rsid w:val="00901B8D"/>
    <w:rsid w:val="00901BA6"/>
    <w:rsid w:val="00901BDE"/>
    <w:rsid w:val="00901CFE"/>
    <w:rsid w:val="00901D1A"/>
    <w:rsid w:val="00901D5D"/>
    <w:rsid w:val="00901E16"/>
    <w:rsid w:val="00901E97"/>
    <w:rsid w:val="00901EF4"/>
    <w:rsid w:val="00901F2A"/>
    <w:rsid w:val="0090200A"/>
    <w:rsid w:val="0090211F"/>
    <w:rsid w:val="0090216D"/>
    <w:rsid w:val="0090227E"/>
    <w:rsid w:val="00902304"/>
    <w:rsid w:val="009023BA"/>
    <w:rsid w:val="009023D7"/>
    <w:rsid w:val="009023E7"/>
    <w:rsid w:val="00902413"/>
    <w:rsid w:val="00902447"/>
    <w:rsid w:val="0090246A"/>
    <w:rsid w:val="00902476"/>
    <w:rsid w:val="0090248D"/>
    <w:rsid w:val="009025A6"/>
    <w:rsid w:val="00902643"/>
    <w:rsid w:val="0090265E"/>
    <w:rsid w:val="0090274F"/>
    <w:rsid w:val="0090276A"/>
    <w:rsid w:val="00902815"/>
    <w:rsid w:val="0090287B"/>
    <w:rsid w:val="009028C7"/>
    <w:rsid w:val="0090299F"/>
    <w:rsid w:val="009029B5"/>
    <w:rsid w:val="009029BC"/>
    <w:rsid w:val="00902A1D"/>
    <w:rsid w:val="00902A81"/>
    <w:rsid w:val="00902A98"/>
    <w:rsid w:val="00902A9B"/>
    <w:rsid w:val="00902B09"/>
    <w:rsid w:val="00902C1A"/>
    <w:rsid w:val="00902C2F"/>
    <w:rsid w:val="00902C6F"/>
    <w:rsid w:val="00902CFB"/>
    <w:rsid w:val="00902EFD"/>
    <w:rsid w:val="00902F8C"/>
    <w:rsid w:val="00902F96"/>
    <w:rsid w:val="00902F9F"/>
    <w:rsid w:val="00902FC0"/>
    <w:rsid w:val="00902FC2"/>
    <w:rsid w:val="0090303D"/>
    <w:rsid w:val="00903095"/>
    <w:rsid w:val="009030B8"/>
    <w:rsid w:val="0090314C"/>
    <w:rsid w:val="00903151"/>
    <w:rsid w:val="00903193"/>
    <w:rsid w:val="00903271"/>
    <w:rsid w:val="0090328F"/>
    <w:rsid w:val="00903381"/>
    <w:rsid w:val="00903396"/>
    <w:rsid w:val="0090342C"/>
    <w:rsid w:val="0090348D"/>
    <w:rsid w:val="009034C5"/>
    <w:rsid w:val="0090359A"/>
    <w:rsid w:val="00903636"/>
    <w:rsid w:val="0090370B"/>
    <w:rsid w:val="0090371E"/>
    <w:rsid w:val="0090372C"/>
    <w:rsid w:val="0090380B"/>
    <w:rsid w:val="00903842"/>
    <w:rsid w:val="009038E6"/>
    <w:rsid w:val="00903974"/>
    <w:rsid w:val="00903999"/>
    <w:rsid w:val="00903ABE"/>
    <w:rsid w:val="00903AC7"/>
    <w:rsid w:val="00903B28"/>
    <w:rsid w:val="00903B4E"/>
    <w:rsid w:val="00903B84"/>
    <w:rsid w:val="00903C02"/>
    <w:rsid w:val="00903C8C"/>
    <w:rsid w:val="00903D90"/>
    <w:rsid w:val="00903DD4"/>
    <w:rsid w:val="00903ECE"/>
    <w:rsid w:val="00903F20"/>
    <w:rsid w:val="00903F6E"/>
    <w:rsid w:val="00903F7C"/>
    <w:rsid w:val="00903F90"/>
    <w:rsid w:val="00903FBF"/>
    <w:rsid w:val="00903FFC"/>
    <w:rsid w:val="00904029"/>
    <w:rsid w:val="00904135"/>
    <w:rsid w:val="00904141"/>
    <w:rsid w:val="00904193"/>
    <w:rsid w:val="009041D4"/>
    <w:rsid w:val="0090423B"/>
    <w:rsid w:val="0090423D"/>
    <w:rsid w:val="00904247"/>
    <w:rsid w:val="009042BF"/>
    <w:rsid w:val="00904334"/>
    <w:rsid w:val="009043B2"/>
    <w:rsid w:val="009043E8"/>
    <w:rsid w:val="00904467"/>
    <w:rsid w:val="00904523"/>
    <w:rsid w:val="009045B7"/>
    <w:rsid w:val="009045D2"/>
    <w:rsid w:val="009045EB"/>
    <w:rsid w:val="009045F4"/>
    <w:rsid w:val="00904654"/>
    <w:rsid w:val="00904664"/>
    <w:rsid w:val="0090467C"/>
    <w:rsid w:val="009046C0"/>
    <w:rsid w:val="00904784"/>
    <w:rsid w:val="009048A3"/>
    <w:rsid w:val="009048B7"/>
    <w:rsid w:val="00904941"/>
    <w:rsid w:val="009049B4"/>
    <w:rsid w:val="009049C6"/>
    <w:rsid w:val="00904A5E"/>
    <w:rsid w:val="00904ABF"/>
    <w:rsid w:val="00904B0C"/>
    <w:rsid w:val="00904B56"/>
    <w:rsid w:val="00904BD8"/>
    <w:rsid w:val="00904BF6"/>
    <w:rsid w:val="00904BF9"/>
    <w:rsid w:val="00904C0B"/>
    <w:rsid w:val="00904C1E"/>
    <w:rsid w:val="00904C75"/>
    <w:rsid w:val="00904CB6"/>
    <w:rsid w:val="00904D0F"/>
    <w:rsid w:val="00904D50"/>
    <w:rsid w:val="00904D79"/>
    <w:rsid w:val="00904EBD"/>
    <w:rsid w:val="00904F16"/>
    <w:rsid w:val="00904F61"/>
    <w:rsid w:val="0090503D"/>
    <w:rsid w:val="00905082"/>
    <w:rsid w:val="009050B7"/>
    <w:rsid w:val="009050BC"/>
    <w:rsid w:val="009050E1"/>
    <w:rsid w:val="009050FD"/>
    <w:rsid w:val="00905125"/>
    <w:rsid w:val="00905209"/>
    <w:rsid w:val="00905310"/>
    <w:rsid w:val="009053B1"/>
    <w:rsid w:val="009053C6"/>
    <w:rsid w:val="009053D3"/>
    <w:rsid w:val="00905405"/>
    <w:rsid w:val="00905529"/>
    <w:rsid w:val="00905552"/>
    <w:rsid w:val="00905689"/>
    <w:rsid w:val="00905697"/>
    <w:rsid w:val="00905724"/>
    <w:rsid w:val="00905810"/>
    <w:rsid w:val="0090581A"/>
    <w:rsid w:val="009058F1"/>
    <w:rsid w:val="00905966"/>
    <w:rsid w:val="0090599F"/>
    <w:rsid w:val="009059A4"/>
    <w:rsid w:val="009059F3"/>
    <w:rsid w:val="00905A2D"/>
    <w:rsid w:val="00905A47"/>
    <w:rsid w:val="00905AC7"/>
    <w:rsid w:val="00905B8C"/>
    <w:rsid w:val="00905C30"/>
    <w:rsid w:val="00905CB2"/>
    <w:rsid w:val="00905D17"/>
    <w:rsid w:val="00905D41"/>
    <w:rsid w:val="00905E84"/>
    <w:rsid w:val="00906069"/>
    <w:rsid w:val="009060DA"/>
    <w:rsid w:val="00906112"/>
    <w:rsid w:val="0090616B"/>
    <w:rsid w:val="009061AD"/>
    <w:rsid w:val="009061D6"/>
    <w:rsid w:val="00906203"/>
    <w:rsid w:val="00906212"/>
    <w:rsid w:val="00906225"/>
    <w:rsid w:val="0090624E"/>
    <w:rsid w:val="00906331"/>
    <w:rsid w:val="00906362"/>
    <w:rsid w:val="00906387"/>
    <w:rsid w:val="0090638B"/>
    <w:rsid w:val="0090638D"/>
    <w:rsid w:val="009063AD"/>
    <w:rsid w:val="0090644C"/>
    <w:rsid w:val="00906554"/>
    <w:rsid w:val="00906584"/>
    <w:rsid w:val="0090661B"/>
    <w:rsid w:val="0090663C"/>
    <w:rsid w:val="00906657"/>
    <w:rsid w:val="0090689F"/>
    <w:rsid w:val="009068DF"/>
    <w:rsid w:val="0090691E"/>
    <w:rsid w:val="009069DB"/>
    <w:rsid w:val="009069F4"/>
    <w:rsid w:val="00906A62"/>
    <w:rsid w:val="00906AB0"/>
    <w:rsid w:val="00906AC9"/>
    <w:rsid w:val="00906ADE"/>
    <w:rsid w:val="00906B2B"/>
    <w:rsid w:val="00906B31"/>
    <w:rsid w:val="00906C86"/>
    <w:rsid w:val="00906C93"/>
    <w:rsid w:val="00906CB3"/>
    <w:rsid w:val="00906D3C"/>
    <w:rsid w:val="00906DEF"/>
    <w:rsid w:val="00906DFF"/>
    <w:rsid w:val="00906EAA"/>
    <w:rsid w:val="00906EB0"/>
    <w:rsid w:val="00906F34"/>
    <w:rsid w:val="00906F38"/>
    <w:rsid w:val="00906F5C"/>
    <w:rsid w:val="00906FDD"/>
    <w:rsid w:val="00906FFE"/>
    <w:rsid w:val="00907062"/>
    <w:rsid w:val="0090710F"/>
    <w:rsid w:val="0090711E"/>
    <w:rsid w:val="00907172"/>
    <w:rsid w:val="009071AF"/>
    <w:rsid w:val="009071C5"/>
    <w:rsid w:val="009071F2"/>
    <w:rsid w:val="00907290"/>
    <w:rsid w:val="009072AF"/>
    <w:rsid w:val="009072C5"/>
    <w:rsid w:val="00907355"/>
    <w:rsid w:val="009073D2"/>
    <w:rsid w:val="009073D6"/>
    <w:rsid w:val="009073E3"/>
    <w:rsid w:val="00907405"/>
    <w:rsid w:val="0090742F"/>
    <w:rsid w:val="00907452"/>
    <w:rsid w:val="00907461"/>
    <w:rsid w:val="00907490"/>
    <w:rsid w:val="009074B8"/>
    <w:rsid w:val="009074DF"/>
    <w:rsid w:val="009074F4"/>
    <w:rsid w:val="00907535"/>
    <w:rsid w:val="00907555"/>
    <w:rsid w:val="0090758C"/>
    <w:rsid w:val="009075C7"/>
    <w:rsid w:val="00907608"/>
    <w:rsid w:val="00907692"/>
    <w:rsid w:val="00907694"/>
    <w:rsid w:val="00907826"/>
    <w:rsid w:val="00907868"/>
    <w:rsid w:val="00907872"/>
    <w:rsid w:val="00907873"/>
    <w:rsid w:val="00907896"/>
    <w:rsid w:val="009078BA"/>
    <w:rsid w:val="00907903"/>
    <w:rsid w:val="009079A1"/>
    <w:rsid w:val="00907BB1"/>
    <w:rsid w:val="00907C85"/>
    <w:rsid w:val="00907CCE"/>
    <w:rsid w:val="00907DDE"/>
    <w:rsid w:val="00907E63"/>
    <w:rsid w:val="00907E78"/>
    <w:rsid w:val="00907EAC"/>
    <w:rsid w:val="00907EDA"/>
    <w:rsid w:val="00907EE9"/>
    <w:rsid w:val="00907F33"/>
    <w:rsid w:val="00907F60"/>
    <w:rsid w:val="00907F6A"/>
    <w:rsid w:val="00907FC1"/>
    <w:rsid w:val="00910079"/>
    <w:rsid w:val="0091017F"/>
    <w:rsid w:val="0091022B"/>
    <w:rsid w:val="0091025B"/>
    <w:rsid w:val="009102FC"/>
    <w:rsid w:val="0091041D"/>
    <w:rsid w:val="0091048E"/>
    <w:rsid w:val="009105A7"/>
    <w:rsid w:val="00910646"/>
    <w:rsid w:val="0091069E"/>
    <w:rsid w:val="009106D4"/>
    <w:rsid w:val="00910779"/>
    <w:rsid w:val="00910922"/>
    <w:rsid w:val="009109E8"/>
    <w:rsid w:val="00910B23"/>
    <w:rsid w:val="00910B80"/>
    <w:rsid w:val="00910C3B"/>
    <w:rsid w:val="00910C59"/>
    <w:rsid w:val="00910D36"/>
    <w:rsid w:val="00910E0C"/>
    <w:rsid w:val="00910E54"/>
    <w:rsid w:val="00910EBF"/>
    <w:rsid w:val="00910EE2"/>
    <w:rsid w:val="00910FB7"/>
    <w:rsid w:val="00910FC1"/>
    <w:rsid w:val="00910FDC"/>
    <w:rsid w:val="00910FE0"/>
    <w:rsid w:val="00910FED"/>
    <w:rsid w:val="00911083"/>
    <w:rsid w:val="00911090"/>
    <w:rsid w:val="009110A1"/>
    <w:rsid w:val="00911111"/>
    <w:rsid w:val="0091113A"/>
    <w:rsid w:val="009111AC"/>
    <w:rsid w:val="009112E1"/>
    <w:rsid w:val="009113A5"/>
    <w:rsid w:val="0091145D"/>
    <w:rsid w:val="009114DE"/>
    <w:rsid w:val="0091152E"/>
    <w:rsid w:val="009115D6"/>
    <w:rsid w:val="009115F0"/>
    <w:rsid w:val="00911619"/>
    <w:rsid w:val="00911630"/>
    <w:rsid w:val="00911666"/>
    <w:rsid w:val="0091168D"/>
    <w:rsid w:val="00911790"/>
    <w:rsid w:val="009117AB"/>
    <w:rsid w:val="00911867"/>
    <w:rsid w:val="009119BD"/>
    <w:rsid w:val="00911A06"/>
    <w:rsid w:val="00911A27"/>
    <w:rsid w:val="00911A4B"/>
    <w:rsid w:val="00911ABF"/>
    <w:rsid w:val="00911AC5"/>
    <w:rsid w:val="00911ACD"/>
    <w:rsid w:val="00911B31"/>
    <w:rsid w:val="00911B7A"/>
    <w:rsid w:val="00911BA2"/>
    <w:rsid w:val="00911BD5"/>
    <w:rsid w:val="00911C80"/>
    <w:rsid w:val="00911CAB"/>
    <w:rsid w:val="00911D36"/>
    <w:rsid w:val="00911D52"/>
    <w:rsid w:val="00911D5F"/>
    <w:rsid w:val="00911D9A"/>
    <w:rsid w:val="00911DC7"/>
    <w:rsid w:val="00911E30"/>
    <w:rsid w:val="00911E45"/>
    <w:rsid w:val="00911E4C"/>
    <w:rsid w:val="00911EA8"/>
    <w:rsid w:val="00911EE1"/>
    <w:rsid w:val="00911F01"/>
    <w:rsid w:val="00911F95"/>
    <w:rsid w:val="00911FC7"/>
    <w:rsid w:val="0091202C"/>
    <w:rsid w:val="0091205A"/>
    <w:rsid w:val="00912161"/>
    <w:rsid w:val="00912231"/>
    <w:rsid w:val="009122FF"/>
    <w:rsid w:val="00912385"/>
    <w:rsid w:val="0091247B"/>
    <w:rsid w:val="0091247D"/>
    <w:rsid w:val="0091266A"/>
    <w:rsid w:val="00912671"/>
    <w:rsid w:val="00912695"/>
    <w:rsid w:val="0091269F"/>
    <w:rsid w:val="009126A4"/>
    <w:rsid w:val="009126F1"/>
    <w:rsid w:val="00912776"/>
    <w:rsid w:val="00912796"/>
    <w:rsid w:val="00912822"/>
    <w:rsid w:val="00912846"/>
    <w:rsid w:val="009128C4"/>
    <w:rsid w:val="00912AB3"/>
    <w:rsid w:val="00912AC6"/>
    <w:rsid w:val="00912B30"/>
    <w:rsid w:val="00912B83"/>
    <w:rsid w:val="00912C5E"/>
    <w:rsid w:val="00912C66"/>
    <w:rsid w:val="00912C9C"/>
    <w:rsid w:val="00912CD9"/>
    <w:rsid w:val="00912DC1"/>
    <w:rsid w:val="00912E87"/>
    <w:rsid w:val="00912E9B"/>
    <w:rsid w:val="00912F71"/>
    <w:rsid w:val="00912F8D"/>
    <w:rsid w:val="0091308B"/>
    <w:rsid w:val="00913098"/>
    <w:rsid w:val="00913127"/>
    <w:rsid w:val="0091316F"/>
    <w:rsid w:val="00913170"/>
    <w:rsid w:val="009131A5"/>
    <w:rsid w:val="009131B8"/>
    <w:rsid w:val="0091329F"/>
    <w:rsid w:val="0091330D"/>
    <w:rsid w:val="00913354"/>
    <w:rsid w:val="0091345A"/>
    <w:rsid w:val="009134B5"/>
    <w:rsid w:val="009134BF"/>
    <w:rsid w:val="009134FE"/>
    <w:rsid w:val="0091351B"/>
    <w:rsid w:val="009135B2"/>
    <w:rsid w:val="009135FF"/>
    <w:rsid w:val="00913619"/>
    <w:rsid w:val="0091362B"/>
    <w:rsid w:val="00913669"/>
    <w:rsid w:val="009136E3"/>
    <w:rsid w:val="009136EA"/>
    <w:rsid w:val="00913824"/>
    <w:rsid w:val="00913867"/>
    <w:rsid w:val="00913873"/>
    <w:rsid w:val="00913876"/>
    <w:rsid w:val="009138A1"/>
    <w:rsid w:val="009138D0"/>
    <w:rsid w:val="00913A30"/>
    <w:rsid w:val="00913A97"/>
    <w:rsid w:val="00913B67"/>
    <w:rsid w:val="00913BB3"/>
    <w:rsid w:val="00913C1D"/>
    <w:rsid w:val="00913C4E"/>
    <w:rsid w:val="00913CA7"/>
    <w:rsid w:val="00913CB4"/>
    <w:rsid w:val="00913EEE"/>
    <w:rsid w:val="00913FA1"/>
    <w:rsid w:val="00913FBF"/>
    <w:rsid w:val="00913FD6"/>
    <w:rsid w:val="00913FE7"/>
    <w:rsid w:val="009140E8"/>
    <w:rsid w:val="0091417C"/>
    <w:rsid w:val="0091418C"/>
    <w:rsid w:val="009142DC"/>
    <w:rsid w:val="00914439"/>
    <w:rsid w:val="00914452"/>
    <w:rsid w:val="0091450C"/>
    <w:rsid w:val="00914521"/>
    <w:rsid w:val="0091456F"/>
    <w:rsid w:val="00914588"/>
    <w:rsid w:val="009146C7"/>
    <w:rsid w:val="0091472B"/>
    <w:rsid w:val="009147AE"/>
    <w:rsid w:val="009147C3"/>
    <w:rsid w:val="00914861"/>
    <w:rsid w:val="009148A7"/>
    <w:rsid w:val="00914982"/>
    <w:rsid w:val="009149F8"/>
    <w:rsid w:val="00914A16"/>
    <w:rsid w:val="00914AA0"/>
    <w:rsid w:val="00914ADC"/>
    <w:rsid w:val="00914D21"/>
    <w:rsid w:val="00914D9A"/>
    <w:rsid w:val="00914E6E"/>
    <w:rsid w:val="00914EBE"/>
    <w:rsid w:val="00914EF7"/>
    <w:rsid w:val="00914F21"/>
    <w:rsid w:val="00914F4C"/>
    <w:rsid w:val="0091501E"/>
    <w:rsid w:val="0091518C"/>
    <w:rsid w:val="009152BD"/>
    <w:rsid w:val="009152F7"/>
    <w:rsid w:val="009152F9"/>
    <w:rsid w:val="00915302"/>
    <w:rsid w:val="0091536B"/>
    <w:rsid w:val="00915462"/>
    <w:rsid w:val="009154C5"/>
    <w:rsid w:val="009154EC"/>
    <w:rsid w:val="00915549"/>
    <w:rsid w:val="00915596"/>
    <w:rsid w:val="00915627"/>
    <w:rsid w:val="00915640"/>
    <w:rsid w:val="00915655"/>
    <w:rsid w:val="0091577E"/>
    <w:rsid w:val="009157B8"/>
    <w:rsid w:val="0091580C"/>
    <w:rsid w:val="009158AC"/>
    <w:rsid w:val="009158C3"/>
    <w:rsid w:val="00915903"/>
    <w:rsid w:val="00915919"/>
    <w:rsid w:val="009159C4"/>
    <w:rsid w:val="00915AC4"/>
    <w:rsid w:val="00915B1B"/>
    <w:rsid w:val="00915BD6"/>
    <w:rsid w:val="00915C67"/>
    <w:rsid w:val="00915C91"/>
    <w:rsid w:val="00915CC6"/>
    <w:rsid w:val="00915D24"/>
    <w:rsid w:val="00915DB7"/>
    <w:rsid w:val="00915E12"/>
    <w:rsid w:val="00915E57"/>
    <w:rsid w:val="00915E68"/>
    <w:rsid w:val="00915E91"/>
    <w:rsid w:val="00915EC1"/>
    <w:rsid w:val="00915FD0"/>
    <w:rsid w:val="0091602D"/>
    <w:rsid w:val="009160BE"/>
    <w:rsid w:val="009160F7"/>
    <w:rsid w:val="009160FC"/>
    <w:rsid w:val="00916237"/>
    <w:rsid w:val="0091629D"/>
    <w:rsid w:val="0091634B"/>
    <w:rsid w:val="009163EF"/>
    <w:rsid w:val="0091642F"/>
    <w:rsid w:val="00916539"/>
    <w:rsid w:val="009165EB"/>
    <w:rsid w:val="00916693"/>
    <w:rsid w:val="009166B9"/>
    <w:rsid w:val="00916737"/>
    <w:rsid w:val="00916748"/>
    <w:rsid w:val="00916782"/>
    <w:rsid w:val="009168BA"/>
    <w:rsid w:val="0091693B"/>
    <w:rsid w:val="00916990"/>
    <w:rsid w:val="009169CF"/>
    <w:rsid w:val="00916ADA"/>
    <w:rsid w:val="00916AED"/>
    <w:rsid w:val="00916BD3"/>
    <w:rsid w:val="00916CA9"/>
    <w:rsid w:val="00916E77"/>
    <w:rsid w:val="00917022"/>
    <w:rsid w:val="00917085"/>
    <w:rsid w:val="0091709A"/>
    <w:rsid w:val="009170D5"/>
    <w:rsid w:val="009170E9"/>
    <w:rsid w:val="009170FA"/>
    <w:rsid w:val="00917109"/>
    <w:rsid w:val="009171A3"/>
    <w:rsid w:val="009171D2"/>
    <w:rsid w:val="009171D5"/>
    <w:rsid w:val="00917231"/>
    <w:rsid w:val="0091727D"/>
    <w:rsid w:val="00917332"/>
    <w:rsid w:val="00917343"/>
    <w:rsid w:val="00917349"/>
    <w:rsid w:val="009173BA"/>
    <w:rsid w:val="00917429"/>
    <w:rsid w:val="0091743B"/>
    <w:rsid w:val="0091747A"/>
    <w:rsid w:val="00917583"/>
    <w:rsid w:val="009175E3"/>
    <w:rsid w:val="00917618"/>
    <w:rsid w:val="009176A9"/>
    <w:rsid w:val="00917790"/>
    <w:rsid w:val="0091781E"/>
    <w:rsid w:val="00917833"/>
    <w:rsid w:val="00917842"/>
    <w:rsid w:val="009178ED"/>
    <w:rsid w:val="00917A25"/>
    <w:rsid w:val="00917A35"/>
    <w:rsid w:val="00917ADA"/>
    <w:rsid w:val="00917BB4"/>
    <w:rsid w:val="00917BC5"/>
    <w:rsid w:val="00917C6F"/>
    <w:rsid w:val="00917C80"/>
    <w:rsid w:val="00917CE4"/>
    <w:rsid w:val="00917DFD"/>
    <w:rsid w:val="00917E13"/>
    <w:rsid w:val="00917F11"/>
    <w:rsid w:val="00917F2A"/>
    <w:rsid w:val="00917FA3"/>
    <w:rsid w:val="00917FBF"/>
    <w:rsid w:val="00917FC7"/>
    <w:rsid w:val="00920002"/>
    <w:rsid w:val="0092000A"/>
    <w:rsid w:val="009200E6"/>
    <w:rsid w:val="00920112"/>
    <w:rsid w:val="0092014D"/>
    <w:rsid w:val="00920160"/>
    <w:rsid w:val="0092016B"/>
    <w:rsid w:val="009201CA"/>
    <w:rsid w:val="00920240"/>
    <w:rsid w:val="0092029C"/>
    <w:rsid w:val="009202DC"/>
    <w:rsid w:val="009203E1"/>
    <w:rsid w:val="0092046D"/>
    <w:rsid w:val="009204AE"/>
    <w:rsid w:val="009204F0"/>
    <w:rsid w:val="00920500"/>
    <w:rsid w:val="009205CF"/>
    <w:rsid w:val="0092061D"/>
    <w:rsid w:val="00920656"/>
    <w:rsid w:val="00920724"/>
    <w:rsid w:val="0092075D"/>
    <w:rsid w:val="00920922"/>
    <w:rsid w:val="0092094E"/>
    <w:rsid w:val="00920997"/>
    <w:rsid w:val="00920B6C"/>
    <w:rsid w:val="00920B9D"/>
    <w:rsid w:val="00920BC7"/>
    <w:rsid w:val="00920BDB"/>
    <w:rsid w:val="00920C1E"/>
    <w:rsid w:val="00920D04"/>
    <w:rsid w:val="00920D13"/>
    <w:rsid w:val="00920D6C"/>
    <w:rsid w:val="00920DA3"/>
    <w:rsid w:val="00920DAC"/>
    <w:rsid w:val="00920DCC"/>
    <w:rsid w:val="00920DF9"/>
    <w:rsid w:val="00920E2F"/>
    <w:rsid w:val="00920F66"/>
    <w:rsid w:val="00920FFC"/>
    <w:rsid w:val="009211AF"/>
    <w:rsid w:val="009211B9"/>
    <w:rsid w:val="009212A0"/>
    <w:rsid w:val="009212D4"/>
    <w:rsid w:val="0092132E"/>
    <w:rsid w:val="0092136A"/>
    <w:rsid w:val="009213CA"/>
    <w:rsid w:val="009213F1"/>
    <w:rsid w:val="009214D5"/>
    <w:rsid w:val="00921546"/>
    <w:rsid w:val="0092158B"/>
    <w:rsid w:val="009215B5"/>
    <w:rsid w:val="009215B8"/>
    <w:rsid w:val="009215D0"/>
    <w:rsid w:val="0092164B"/>
    <w:rsid w:val="009216CE"/>
    <w:rsid w:val="009216EF"/>
    <w:rsid w:val="0092170A"/>
    <w:rsid w:val="0092177F"/>
    <w:rsid w:val="009217DB"/>
    <w:rsid w:val="0092187D"/>
    <w:rsid w:val="009218D7"/>
    <w:rsid w:val="00921974"/>
    <w:rsid w:val="00921977"/>
    <w:rsid w:val="0092197F"/>
    <w:rsid w:val="00921A39"/>
    <w:rsid w:val="00921AA3"/>
    <w:rsid w:val="00921B48"/>
    <w:rsid w:val="00921B85"/>
    <w:rsid w:val="00921C07"/>
    <w:rsid w:val="00921CA5"/>
    <w:rsid w:val="00921CE6"/>
    <w:rsid w:val="00921D2E"/>
    <w:rsid w:val="00921E3E"/>
    <w:rsid w:val="00921EC4"/>
    <w:rsid w:val="00921EC5"/>
    <w:rsid w:val="00921EF1"/>
    <w:rsid w:val="00921F41"/>
    <w:rsid w:val="00921F72"/>
    <w:rsid w:val="00921F7F"/>
    <w:rsid w:val="00921F81"/>
    <w:rsid w:val="00921FA4"/>
    <w:rsid w:val="00922010"/>
    <w:rsid w:val="00922030"/>
    <w:rsid w:val="00922048"/>
    <w:rsid w:val="00922057"/>
    <w:rsid w:val="0092209B"/>
    <w:rsid w:val="009220F1"/>
    <w:rsid w:val="009220FA"/>
    <w:rsid w:val="00922114"/>
    <w:rsid w:val="009221A7"/>
    <w:rsid w:val="009221B8"/>
    <w:rsid w:val="009221E1"/>
    <w:rsid w:val="00922258"/>
    <w:rsid w:val="0092227E"/>
    <w:rsid w:val="00922288"/>
    <w:rsid w:val="0092229A"/>
    <w:rsid w:val="009222A8"/>
    <w:rsid w:val="009222D7"/>
    <w:rsid w:val="009222E6"/>
    <w:rsid w:val="0092240A"/>
    <w:rsid w:val="0092244A"/>
    <w:rsid w:val="009224DC"/>
    <w:rsid w:val="009225B6"/>
    <w:rsid w:val="009225C2"/>
    <w:rsid w:val="00922601"/>
    <w:rsid w:val="0092267B"/>
    <w:rsid w:val="0092269C"/>
    <w:rsid w:val="009226E7"/>
    <w:rsid w:val="00922804"/>
    <w:rsid w:val="009228F9"/>
    <w:rsid w:val="00922904"/>
    <w:rsid w:val="0092291F"/>
    <w:rsid w:val="00922968"/>
    <w:rsid w:val="00922A5A"/>
    <w:rsid w:val="00922B1C"/>
    <w:rsid w:val="00922B83"/>
    <w:rsid w:val="00922B8B"/>
    <w:rsid w:val="00922BD8"/>
    <w:rsid w:val="00922BFF"/>
    <w:rsid w:val="00922C71"/>
    <w:rsid w:val="00922CBA"/>
    <w:rsid w:val="00922CD2"/>
    <w:rsid w:val="00922D4E"/>
    <w:rsid w:val="00922D64"/>
    <w:rsid w:val="00922D77"/>
    <w:rsid w:val="00922DB4"/>
    <w:rsid w:val="00922E0C"/>
    <w:rsid w:val="00922EBF"/>
    <w:rsid w:val="00922F47"/>
    <w:rsid w:val="00922F48"/>
    <w:rsid w:val="00922F70"/>
    <w:rsid w:val="00922F80"/>
    <w:rsid w:val="00922F82"/>
    <w:rsid w:val="00922F87"/>
    <w:rsid w:val="00922F99"/>
    <w:rsid w:val="00922FDB"/>
    <w:rsid w:val="009230ED"/>
    <w:rsid w:val="009230F3"/>
    <w:rsid w:val="0092317B"/>
    <w:rsid w:val="00923188"/>
    <w:rsid w:val="009231BE"/>
    <w:rsid w:val="0092320E"/>
    <w:rsid w:val="009232A1"/>
    <w:rsid w:val="009232D0"/>
    <w:rsid w:val="00923320"/>
    <w:rsid w:val="00923338"/>
    <w:rsid w:val="00923352"/>
    <w:rsid w:val="00923362"/>
    <w:rsid w:val="009233DA"/>
    <w:rsid w:val="009233FF"/>
    <w:rsid w:val="00923403"/>
    <w:rsid w:val="0092348E"/>
    <w:rsid w:val="009234EC"/>
    <w:rsid w:val="00923522"/>
    <w:rsid w:val="0092352D"/>
    <w:rsid w:val="00923612"/>
    <w:rsid w:val="00923659"/>
    <w:rsid w:val="00923703"/>
    <w:rsid w:val="00923708"/>
    <w:rsid w:val="0092372E"/>
    <w:rsid w:val="0092375C"/>
    <w:rsid w:val="009237A4"/>
    <w:rsid w:val="009237BD"/>
    <w:rsid w:val="009237CA"/>
    <w:rsid w:val="00923960"/>
    <w:rsid w:val="009239A6"/>
    <w:rsid w:val="009239D5"/>
    <w:rsid w:val="00923A29"/>
    <w:rsid w:val="00923C05"/>
    <w:rsid w:val="00923DAD"/>
    <w:rsid w:val="00923DF3"/>
    <w:rsid w:val="00923E7C"/>
    <w:rsid w:val="00923ED9"/>
    <w:rsid w:val="00923F1F"/>
    <w:rsid w:val="00923F7D"/>
    <w:rsid w:val="00923FF0"/>
    <w:rsid w:val="0092404F"/>
    <w:rsid w:val="00924110"/>
    <w:rsid w:val="00924124"/>
    <w:rsid w:val="00924196"/>
    <w:rsid w:val="00924312"/>
    <w:rsid w:val="0092436C"/>
    <w:rsid w:val="0092439E"/>
    <w:rsid w:val="009243F3"/>
    <w:rsid w:val="0092441A"/>
    <w:rsid w:val="0092444A"/>
    <w:rsid w:val="009244D3"/>
    <w:rsid w:val="00924523"/>
    <w:rsid w:val="00924684"/>
    <w:rsid w:val="009246BD"/>
    <w:rsid w:val="00924828"/>
    <w:rsid w:val="009249C4"/>
    <w:rsid w:val="00924A96"/>
    <w:rsid w:val="00924B17"/>
    <w:rsid w:val="00924BC8"/>
    <w:rsid w:val="00924CC8"/>
    <w:rsid w:val="00924CD3"/>
    <w:rsid w:val="00924CE1"/>
    <w:rsid w:val="00924CE6"/>
    <w:rsid w:val="00924D41"/>
    <w:rsid w:val="00924DA0"/>
    <w:rsid w:val="00924DF6"/>
    <w:rsid w:val="00924E02"/>
    <w:rsid w:val="00924E60"/>
    <w:rsid w:val="00924E66"/>
    <w:rsid w:val="00924E84"/>
    <w:rsid w:val="00924EB6"/>
    <w:rsid w:val="00924EF5"/>
    <w:rsid w:val="00924EF6"/>
    <w:rsid w:val="00924F27"/>
    <w:rsid w:val="00924F52"/>
    <w:rsid w:val="00924F79"/>
    <w:rsid w:val="00924FF5"/>
    <w:rsid w:val="0092511A"/>
    <w:rsid w:val="00925228"/>
    <w:rsid w:val="0092525E"/>
    <w:rsid w:val="0092529F"/>
    <w:rsid w:val="0092540F"/>
    <w:rsid w:val="0092549F"/>
    <w:rsid w:val="00925549"/>
    <w:rsid w:val="00925636"/>
    <w:rsid w:val="0092564D"/>
    <w:rsid w:val="00925693"/>
    <w:rsid w:val="00925710"/>
    <w:rsid w:val="009258A7"/>
    <w:rsid w:val="00925965"/>
    <w:rsid w:val="00925969"/>
    <w:rsid w:val="009259A0"/>
    <w:rsid w:val="009259C6"/>
    <w:rsid w:val="00925A5F"/>
    <w:rsid w:val="00925AC3"/>
    <w:rsid w:val="00925AD1"/>
    <w:rsid w:val="00925B0B"/>
    <w:rsid w:val="00925B46"/>
    <w:rsid w:val="00925B5E"/>
    <w:rsid w:val="00925BDC"/>
    <w:rsid w:val="00925C97"/>
    <w:rsid w:val="00925CE5"/>
    <w:rsid w:val="00925D0A"/>
    <w:rsid w:val="00925DBC"/>
    <w:rsid w:val="00925DC2"/>
    <w:rsid w:val="00925DCD"/>
    <w:rsid w:val="00925DD6"/>
    <w:rsid w:val="00925E0E"/>
    <w:rsid w:val="00925E9D"/>
    <w:rsid w:val="00925F0F"/>
    <w:rsid w:val="00926122"/>
    <w:rsid w:val="0092612E"/>
    <w:rsid w:val="00926192"/>
    <w:rsid w:val="0092619D"/>
    <w:rsid w:val="00926217"/>
    <w:rsid w:val="0092652E"/>
    <w:rsid w:val="00926552"/>
    <w:rsid w:val="00926579"/>
    <w:rsid w:val="00926589"/>
    <w:rsid w:val="009265C0"/>
    <w:rsid w:val="009265C2"/>
    <w:rsid w:val="009265CD"/>
    <w:rsid w:val="00926739"/>
    <w:rsid w:val="009267A8"/>
    <w:rsid w:val="009267D8"/>
    <w:rsid w:val="0092689E"/>
    <w:rsid w:val="00926A18"/>
    <w:rsid w:val="00926A40"/>
    <w:rsid w:val="00926A6A"/>
    <w:rsid w:val="00926AE1"/>
    <w:rsid w:val="00926AE8"/>
    <w:rsid w:val="00926B24"/>
    <w:rsid w:val="00926B46"/>
    <w:rsid w:val="00926D13"/>
    <w:rsid w:val="00926D28"/>
    <w:rsid w:val="00926EF2"/>
    <w:rsid w:val="00926F0A"/>
    <w:rsid w:val="00926F24"/>
    <w:rsid w:val="00926FED"/>
    <w:rsid w:val="00926FFC"/>
    <w:rsid w:val="009270A2"/>
    <w:rsid w:val="009270C2"/>
    <w:rsid w:val="00927259"/>
    <w:rsid w:val="009272AE"/>
    <w:rsid w:val="00927352"/>
    <w:rsid w:val="0092736F"/>
    <w:rsid w:val="0092739D"/>
    <w:rsid w:val="00927433"/>
    <w:rsid w:val="00927455"/>
    <w:rsid w:val="009274B6"/>
    <w:rsid w:val="009276AC"/>
    <w:rsid w:val="009276D8"/>
    <w:rsid w:val="00927700"/>
    <w:rsid w:val="00927724"/>
    <w:rsid w:val="009277B7"/>
    <w:rsid w:val="0092784A"/>
    <w:rsid w:val="00927875"/>
    <w:rsid w:val="0092787A"/>
    <w:rsid w:val="0092793D"/>
    <w:rsid w:val="0092799C"/>
    <w:rsid w:val="009279D4"/>
    <w:rsid w:val="00927A9B"/>
    <w:rsid w:val="00927ACF"/>
    <w:rsid w:val="00927B9C"/>
    <w:rsid w:val="00927BD3"/>
    <w:rsid w:val="00927BE3"/>
    <w:rsid w:val="00927BFB"/>
    <w:rsid w:val="00927C40"/>
    <w:rsid w:val="00927CAB"/>
    <w:rsid w:val="00927CDD"/>
    <w:rsid w:val="00927D52"/>
    <w:rsid w:val="00927DC6"/>
    <w:rsid w:val="00927E16"/>
    <w:rsid w:val="00927E6C"/>
    <w:rsid w:val="00927F36"/>
    <w:rsid w:val="00927F62"/>
    <w:rsid w:val="00927FF7"/>
    <w:rsid w:val="0093002C"/>
    <w:rsid w:val="009300DD"/>
    <w:rsid w:val="009300FB"/>
    <w:rsid w:val="00930115"/>
    <w:rsid w:val="0093011A"/>
    <w:rsid w:val="009301F3"/>
    <w:rsid w:val="00930275"/>
    <w:rsid w:val="00930305"/>
    <w:rsid w:val="00930321"/>
    <w:rsid w:val="0093034F"/>
    <w:rsid w:val="009304A5"/>
    <w:rsid w:val="009304A7"/>
    <w:rsid w:val="009304D7"/>
    <w:rsid w:val="009304DE"/>
    <w:rsid w:val="00930551"/>
    <w:rsid w:val="009305C4"/>
    <w:rsid w:val="009305F8"/>
    <w:rsid w:val="00930663"/>
    <w:rsid w:val="0093066F"/>
    <w:rsid w:val="009306BB"/>
    <w:rsid w:val="009306E9"/>
    <w:rsid w:val="00930744"/>
    <w:rsid w:val="00930748"/>
    <w:rsid w:val="009307A0"/>
    <w:rsid w:val="009307B6"/>
    <w:rsid w:val="009307E4"/>
    <w:rsid w:val="00930808"/>
    <w:rsid w:val="00930842"/>
    <w:rsid w:val="00930868"/>
    <w:rsid w:val="009308B6"/>
    <w:rsid w:val="009309B8"/>
    <w:rsid w:val="009309FF"/>
    <w:rsid w:val="00930A98"/>
    <w:rsid w:val="00930AE0"/>
    <w:rsid w:val="00930AF5"/>
    <w:rsid w:val="00930B6D"/>
    <w:rsid w:val="00930BDE"/>
    <w:rsid w:val="00930BE4"/>
    <w:rsid w:val="00930BF9"/>
    <w:rsid w:val="00930C62"/>
    <w:rsid w:val="00930C84"/>
    <w:rsid w:val="00930CCF"/>
    <w:rsid w:val="00930D46"/>
    <w:rsid w:val="00930D7A"/>
    <w:rsid w:val="00930DA3"/>
    <w:rsid w:val="00930DD8"/>
    <w:rsid w:val="00930E65"/>
    <w:rsid w:val="00930F53"/>
    <w:rsid w:val="00930FED"/>
    <w:rsid w:val="00930FFD"/>
    <w:rsid w:val="00931099"/>
    <w:rsid w:val="00931395"/>
    <w:rsid w:val="0093145C"/>
    <w:rsid w:val="009314C4"/>
    <w:rsid w:val="009314C7"/>
    <w:rsid w:val="009314EA"/>
    <w:rsid w:val="009314EF"/>
    <w:rsid w:val="009314FE"/>
    <w:rsid w:val="009315DF"/>
    <w:rsid w:val="00931602"/>
    <w:rsid w:val="00931635"/>
    <w:rsid w:val="009316E4"/>
    <w:rsid w:val="0093172F"/>
    <w:rsid w:val="00931754"/>
    <w:rsid w:val="00931776"/>
    <w:rsid w:val="009317AD"/>
    <w:rsid w:val="009317FE"/>
    <w:rsid w:val="00931858"/>
    <w:rsid w:val="0093185F"/>
    <w:rsid w:val="00931A1E"/>
    <w:rsid w:val="00931A95"/>
    <w:rsid w:val="00931C06"/>
    <w:rsid w:val="00931D4C"/>
    <w:rsid w:val="00931DCE"/>
    <w:rsid w:val="00931DDB"/>
    <w:rsid w:val="00931DDD"/>
    <w:rsid w:val="00931E19"/>
    <w:rsid w:val="00931E5C"/>
    <w:rsid w:val="00931EBC"/>
    <w:rsid w:val="00931FED"/>
    <w:rsid w:val="00931FF1"/>
    <w:rsid w:val="00932032"/>
    <w:rsid w:val="0093205B"/>
    <w:rsid w:val="009320C7"/>
    <w:rsid w:val="009320F4"/>
    <w:rsid w:val="009321C3"/>
    <w:rsid w:val="0093220E"/>
    <w:rsid w:val="0093228D"/>
    <w:rsid w:val="009322B0"/>
    <w:rsid w:val="00932367"/>
    <w:rsid w:val="009323BF"/>
    <w:rsid w:val="009323D0"/>
    <w:rsid w:val="009323F6"/>
    <w:rsid w:val="00932412"/>
    <w:rsid w:val="00932450"/>
    <w:rsid w:val="0093246A"/>
    <w:rsid w:val="009324E4"/>
    <w:rsid w:val="00932506"/>
    <w:rsid w:val="00932550"/>
    <w:rsid w:val="00932560"/>
    <w:rsid w:val="009325DA"/>
    <w:rsid w:val="009325DE"/>
    <w:rsid w:val="0093263A"/>
    <w:rsid w:val="0093267B"/>
    <w:rsid w:val="0093270F"/>
    <w:rsid w:val="00932714"/>
    <w:rsid w:val="00932886"/>
    <w:rsid w:val="00932896"/>
    <w:rsid w:val="009328B0"/>
    <w:rsid w:val="00932932"/>
    <w:rsid w:val="00932939"/>
    <w:rsid w:val="0093295F"/>
    <w:rsid w:val="00932AE4"/>
    <w:rsid w:val="00932BF5"/>
    <w:rsid w:val="00932C1E"/>
    <w:rsid w:val="00932CB5"/>
    <w:rsid w:val="00932CCD"/>
    <w:rsid w:val="00932DC3"/>
    <w:rsid w:val="00932DE3"/>
    <w:rsid w:val="00932E09"/>
    <w:rsid w:val="00932E29"/>
    <w:rsid w:val="00932E4F"/>
    <w:rsid w:val="00932E9B"/>
    <w:rsid w:val="00932EA9"/>
    <w:rsid w:val="00932EC4"/>
    <w:rsid w:val="00932EFE"/>
    <w:rsid w:val="00932FD2"/>
    <w:rsid w:val="00932FE4"/>
    <w:rsid w:val="00933036"/>
    <w:rsid w:val="00933046"/>
    <w:rsid w:val="0093311B"/>
    <w:rsid w:val="0093325C"/>
    <w:rsid w:val="009332D7"/>
    <w:rsid w:val="009332D9"/>
    <w:rsid w:val="00933339"/>
    <w:rsid w:val="009333BC"/>
    <w:rsid w:val="009333F4"/>
    <w:rsid w:val="0093343A"/>
    <w:rsid w:val="009334FD"/>
    <w:rsid w:val="0093353B"/>
    <w:rsid w:val="0093354B"/>
    <w:rsid w:val="0093359D"/>
    <w:rsid w:val="0093365A"/>
    <w:rsid w:val="0093374A"/>
    <w:rsid w:val="00933797"/>
    <w:rsid w:val="0093384B"/>
    <w:rsid w:val="00933865"/>
    <w:rsid w:val="0093392C"/>
    <w:rsid w:val="009339C2"/>
    <w:rsid w:val="009339C8"/>
    <w:rsid w:val="00933A1A"/>
    <w:rsid w:val="00933AB4"/>
    <w:rsid w:val="00933B50"/>
    <w:rsid w:val="00933B63"/>
    <w:rsid w:val="00933C52"/>
    <w:rsid w:val="00933C81"/>
    <w:rsid w:val="00933CE5"/>
    <w:rsid w:val="00933D1A"/>
    <w:rsid w:val="00933D92"/>
    <w:rsid w:val="00933E0B"/>
    <w:rsid w:val="00933F02"/>
    <w:rsid w:val="00933F0C"/>
    <w:rsid w:val="00933F3A"/>
    <w:rsid w:val="00933F9A"/>
    <w:rsid w:val="00933FCA"/>
    <w:rsid w:val="0093401F"/>
    <w:rsid w:val="00934025"/>
    <w:rsid w:val="009340A4"/>
    <w:rsid w:val="009341AD"/>
    <w:rsid w:val="00934313"/>
    <w:rsid w:val="0093432F"/>
    <w:rsid w:val="00934421"/>
    <w:rsid w:val="00934607"/>
    <w:rsid w:val="00934673"/>
    <w:rsid w:val="00934690"/>
    <w:rsid w:val="009346B3"/>
    <w:rsid w:val="00934766"/>
    <w:rsid w:val="0093478E"/>
    <w:rsid w:val="0093487E"/>
    <w:rsid w:val="00934886"/>
    <w:rsid w:val="0093491E"/>
    <w:rsid w:val="0093495A"/>
    <w:rsid w:val="0093496F"/>
    <w:rsid w:val="00934992"/>
    <w:rsid w:val="009349B0"/>
    <w:rsid w:val="00934A40"/>
    <w:rsid w:val="00934AC0"/>
    <w:rsid w:val="00934B6A"/>
    <w:rsid w:val="00934B6C"/>
    <w:rsid w:val="00934B72"/>
    <w:rsid w:val="00934CE4"/>
    <w:rsid w:val="00934D9E"/>
    <w:rsid w:val="00934ECB"/>
    <w:rsid w:val="00934F31"/>
    <w:rsid w:val="00934F3A"/>
    <w:rsid w:val="00934FC0"/>
    <w:rsid w:val="00935042"/>
    <w:rsid w:val="0093504B"/>
    <w:rsid w:val="009351D3"/>
    <w:rsid w:val="009351EB"/>
    <w:rsid w:val="00935377"/>
    <w:rsid w:val="00935411"/>
    <w:rsid w:val="009354EE"/>
    <w:rsid w:val="009355C9"/>
    <w:rsid w:val="009355D8"/>
    <w:rsid w:val="00935616"/>
    <w:rsid w:val="00935666"/>
    <w:rsid w:val="00935692"/>
    <w:rsid w:val="009357D8"/>
    <w:rsid w:val="00935807"/>
    <w:rsid w:val="009358AF"/>
    <w:rsid w:val="0093598D"/>
    <w:rsid w:val="009359A9"/>
    <w:rsid w:val="00935A2B"/>
    <w:rsid w:val="00935A49"/>
    <w:rsid w:val="00935AD1"/>
    <w:rsid w:val="00935B53"/>
    <w:rsid w:val="00935CE1"/>
    <w:rsid w:val="00935CF7"/>
    <w:rsid w:val="00935D10"/>
    <w:rsid w:val="00935D1A"/>
    <w:rsid w:val="00935D4E"/>
    <w:rsid w:val="00935DEB"/>
    <w:rsid w:val="00935E7B"/>
    <w:rsid w:val="00935E8C"/>
    <w:rsid w:val="00935F04"/>
    <w:rsid w:val="00935F28"/>
    <w:rsid w:val="00935F32"/>
    <w:rsid w:val="00935F4D"/>
    <w:rsid w:val="00935F4F"/>
    <w:rsid w:val="00935F88"/>
    <w:rsid w:val="00935FE8"/>
    <w:rsid w:val="00936005"/>
    <w:rsid w:val="009360A7"/>
    <w:rsid w:val="009360E4"/>
    <w:rsid w:val="009360E5"/>
    <w:rsid w:val="0093617F"/>
    <w:rsid w:val="00936194"/>
    <w:rsid w:val="00936264"/>
    <w:rsid w:val="009362BC"/>
    <w:rsid w:val="00936342"/>
    <w:rsid w:val="00936350"/>
    <w:rsid w:val="0093637E"/>
    <w:rsid w:val="009363A4"/>
    <w:rsid w:val="009363BD"/>
    <w:rsid w:val="00936438"/>
    <w:rsid w:val="00936505"/>
    <w:rsid w:val="009365F1"/>
    <w:rsid w:val="0093660A"/>
    <w:rsid w:val="00936674"/>
    <w:rsid w:val="009366D7"/>
    <w:rsid w:val="00936828"/>
    <w:rsid w:val="0093686F"/>
    <w:rsid w:val="009368A3"/>
    <w:rsid w:val="00936917"/>
    <w:rsid w:val="0093699A"/>
    <w:rsid w:val="00936AFC"/>
    <w:rsid w:val="00936B1F"/>
    <w:rsid w:val="00936B29"/>
    <w:rsid w:val="00936B53"/>
    <w:rsid w:val="00936B69"/>
    <w:rsid w:val="00936BA5"/>
    <w:rsid w:val="00936BFA"/>
    <w:rsid w:val="00936C65"/>
    <w:rsid w:val="00936C71"/>
    <w:rsid w:val="00936CA4"/>
    <w:rsid w:val="00936CF2"/>
    <w:rsid w:val="00936D0F"/>
    <w:rsid w:val="00936DC4"/>
    <w:rsid w:val="00936DDD"/>
    <w:rsid w:val="00936E37"/>
    <w:rsid w:val="00936EC3"/>
    <w:rsid w:val="00936ED1"/>
    <w:rsid w:val="00936FEC"/>
    <w:rsid w:val="00937054"/>
    <w:rsid w:val="009370D4"/>
    <w:rsid w:val="0093714E"/>
    <w:rsid w:val="0093727C"/>
    <w:rsid w:val="0093736C"/>
    <w:rsid w:val="009373FD"/>
    <w:rsid w:val="00937470"/>
    <w:rsid w:val="009374E3"/>
    <w:rsid w:val="009376FD"/>
    <w:rsid w:val="00937814"/>
    <w:rsid w:val="0093784C"/>
    <w:rsid w:val="009378BF"/>
    <w:rsid w:val="009378CF"/>
    <w:rsid w:val="009378D3"/>
    <w:rsid w:val="00937921"/>
    <w:rsid w:val="00937950"/>
    <w:rsid w:val="00937967"/>
    <w:rsid w:val="00937979"/>
    <w:rsid w:val="00937981"/>
    <w:rsid w:val="00937A1C"/>
    <w:rsid w:val="00937A54"/>
    <w:rsid w:val="00937AA0"/>
    <w:rsid w:val="00937AA5"/>
    <w:rsid w:val="00937C0E"/>
    <w:rsid w:val="00937C96"/>
    <w:rsid w:val="00937CBE"/>
    <w:rsid w:val="00937D1B"/>
    <w:rsid w:val="00937E06"/>
    <w:rsid w:val="00937FC8"/>
    <w:rsid w:val="00937FE2"/>
    <w:rsid w:val="00940025"/>
    <w:rsid w:val="00940065"/>
    <w:rsid w:val="00940171"/>
    <w:rsid w:val="009401F9"/>
    <w:rsid w:val="0094024B"/>
    <w:rsid w:val="00940290"/>
    <w:rsid w:val="00940371"/>
    <w:rsid w:val="009403A0"/>
    <w:rsid w:val="009403F7"/>
    <w:rsid w:val="00940513"/>
    <w:rsid w:val="0094051A"/>
    <w:rsid w:val="00940583"/>
    <w:rsid w:val="0094069F"/>
    <w:rsid w:val="0094074A"/>
    <w:rsid w:val="00940759"/>
    <w:rsid w:val="00940768"/>
    <w:rsid w:val="0094080F"/>
    <w:rsid w:val="00940983"/>
    <w:rsid w:val="00940AFB"/>
    <w:rsid w:val="00940BB9"/>
    <w:rsid w:val="00940C3F"/>
    <w:rsid w:val="00940C9D"/>
    <w:rsid w:val="00940D6A"/>
    <w:rsid w:val="00940E18"/>
    <w:rsid w:val="00940E63"/>
    <w:rsid w:val="00940EF1"/>
    <w:rsid w:val="00940F10"/>
    <w:rsid w:val="0094115D"/>
    <w:rsid w:val="00941170"/>
    <w:rsid w:val="0094118F"/>
    <w:rsid w:val="009411E0"/>
    <w:rsid w:val="009412B5"/>
    <w:rsid w:val="009412D0"/>
    <w:rsid w:val="00941366"/>
    <w:rsid w:val="009413AC"/>
    <w:rsid w:val="009413ED"/>
    <w:rsid w:val="00941484"/>
    <w:rsid w:val="009414D2"/>
    <w:rsid w:val="0094151D"/>
    <w:rsid w:val="0094152E"/>
    <w:rsid w:val="00941566"/>
    <w:rsid w:val="00941654"/>
    <w:rsid w:val="00941688"/>
    <w:rsid w:val="00941691"/>
    <w:rsid w:val="0094175C"/>
    <w:rsid w:val="0094176E"/>
    <w:rsid w:val="009417EE"/>
    <w:rsid w:val="0094187E"/>
    <w:rsid w:val="009418B8"/>
    <w:rsid w:val="00941934"/>
    <w:rsid w:val="00941945"/>
    <w:rsid w:val="00941968"/>
    <w:rsid w:val="00941980"/>
    <w:rsid w:val="009419C5"/>
    <w:rsid w:val="00941A16"/>
    <w:rsid w:val="00941A4E"/>
    <w:rsid w:val="00941AAF"/>
    <w:rsid w:val="00941BF8"/>
    <w:rsid w:val="00941CA7"/>
    <w:rsid w:val="00941CCE"/>
    <w:rsid w:val="00941D6F"/>
    <w:rsid w:val="00941D7A"/>
    <w:rsid w:val="00941D9A"/>
    <w:rsid w:val="00941DE5"/>
    <w:rsid w:val="00941E2A"/>
    <w:rsid w:val="00941F27"/>
    <w:rsid w:val="00941F67"/>
    <w:rsid w:val="009420AF"/>
    <w:rsid w:val="009420B6"/>
    <w:rsid w:val="00942105"/>
    <w:rsid w:val="0094215E"/>
    <w:rsid w:val="0094215F"/>
    <w:rsid w:val="0094216B"/>
    <w:rsid w:val="009421B5"/>
    <w:rsid w:val="009421C4"/>
    <w:rsid w:val="009421E2"/>
    <w:rsid w:val="009421FB"/>
    <w:rsid w:val="0094224F"/>
    <w:rsid w:val="009422B4"/>
    <w:rsid w:val="009422F2"/>
    <w:rsid w:val="00942318"/>
    <w:rsid w:val="009423A9"/>
    <w:rsid w:val="009423E8"/>
    <w:rsid w:val="00942619"/>
    <w:rsid w:val="0094262C"/>
    <w:rsid w:val="009426F0"/>
    <w:rsid w:val="009427F7"/>
    <w:rsid w:val="00942829"/>
    <w:rsid w:val="00942835"/>
    <w:rsid w:val="00942904"/>
    <w:rsid w:val="009429AB"/>
    <w:rsid w:val="00942A06"/>
    <w:rsid w:val="00942A0B"/>
    <w:rsid w:val="00942AC3"/>
    <w:rsid w:val="00942B30"/>
    <w:rsid w:val="00942BAE"/>
    <w:rsid w:val="00942C3B"/>
    <w:rsid w:val="00942CB5"/>
    <w:rsid w:val="00942CD3"/>
    <w:rsid w:val="00942D10"/>
    <w:rsid w:val="00942D30"/>
    <w:rsid w:val="00942E3A"/>
    <w:rsid w:val="00942E3B"/>
    <w:rsid w:val="00942EA2"/>
    <w:rsid w:val="00942ED6"/>
    <w:rsid w:val="00942EF7"/>
    <w:rsid w:val="00942FB0"/>
    <w:rsid w:val="00943036"/>
    <w:rsid w:val="00943075"/>
    <w:rsid w:val="009431E5"/>
    <w:rsid w:val="00943281"/>
    <w:rsid w:val="009432B2"/>
    <w:rsid w:val="0094330B"/>
    <w:rsid w:val="009433A2"/>
    <w:rsid w:val="009433A5"/>
    <w:rsid w:val="009433D5"/>
    <w:rsid w:val="00943438"/>
    <w:rsid w:val="009434C3"/>
    <w:rsid w:val="009436D2"/>
    <w:rsid w:val="009436EB"/>
    <w:rsid w:val="00943713"/>
    <w:rsid w:val="0094383F"/>
    <w:rsid w:val="00943843"/>
    <w:rsid w:val="00943863"/>
    <w:rsid w:val="0094389C"/>
    <w:rsid w:val="00943926"/>
    <w:rsid w:val="00943957"/>
    <w:rsid w:val="00943AF4"/>
    <w:rsid w:val="00943C5E"/>
    <w:rsid w:val="00943C7D"/>
    <w:rsid w:val="00943D37"/>
    <w:rsid w:val="00943D58"/>
    <w:rsid w:val="00943D6F"/>
    <w:rsid w:val="00943DC5"/>
    <w:rsid w:val="00943DF1"/>
    <w:rsid w:val="00943DF2"/>
    <w:rsid w:val="00943E3C"/>
    <w:rsid w:val="00943ED6"/>
    <w:rsid w:val="00943FD7"/>
    <w:rsid w:val="00944082"/>
    <w:rsid w:val="00944087"/>
    <w:rsid w:val="009440B4"/>
    <w:rsid w:val="009440DA"/>
    <w:rsid w:val="009441C9"/>
    <w:rsid w:val="0094424A"/>
    <w:rsid w:val="0094425F"/>
    <w:rsid w:val="0094426E"/>
    <w:rsid w:val="0094434A"/>
    <w:rsid w:val="00944374"/>
    <w:rsid w:val="009443B3"/>
    <w:rsid w:val="009443BA"/>
    <w:rsid w:val="0094441D"/>
    <w:rsid w:val="0094446C"/>
    <w:rsid w:val="00944474"/>
    <w:rsid w:val="009444CC"/>
    <w:rsid w:val="009444F3"/>
    <w:rsid w:val="00944516"/>
    <w:rsid w:val="0094458C"/>
    <w:rsid w:val="00944678"/>
    <w:rsid w:val="00944767"/>
    <w:rsid w:val="0094479E"/>
    <w:rsid w:val="00944843"/>
    <w:rsid w:val="00944845"/>
    <w:rsid w:val="00944855"/>
    <w:rsid w:val="009448B2"/>
    <w:rsid w:val="009448BB"/>
    <w:rsid w:val="009448E2"/>
    <w:rsid w:val="00944924"/>
    <w:rsid w:val="0094492B"/>
    <w:rsid w:val="009449DB"/>
    <w:rsid w:val="00944A9F"/>
    <w:rsid w:val="00944B5E"/>
    <w:rsid w:val="00944BCB"/>
    <w:rsid w:val="00944BCE"/>
    <w:rsid w:val="00944BED"/>
    <w:rsid w:val="00944C1E"/>
    <w:rsid w:val="00944C28"/>
    <w:rsid w:val="00944C9E"/>
    <w:rsid w:val="00944CF6"/>
    <w:rsid w:val="00944D2D"/>
    <w:rsid w:val="00944DDA"/>
    <w:rsid w:val="00944E19"/>
    <w:rsid w:val="00944F8A"/>
    <w:rsid w:val="00944FD2"/>
    <w:rsid w:val="009450C3"/>
    <w:rsid w:val="009450EC"/>
    <w:rsid w:val="009451A3"/>
    <w:rsid w:val="009451B0"/>
    <w:rsid w:val="009451D5"/>
    <w:rsid w:val="009451F4"/>
    <w:rsid w:val="0094523B"/>
    <w:rsid w:val="0094535C"/>
    <w:rsid w:val="00945369"/>
    <w:rsid w:val="00945436"/>
    <w:rsid w:val="0094544C"/>
    <w:rsid w:val="009454A2"/>
    <w:rsid w:val="009454E5"/>
    <w:rsid w:val="00945502"/>
    <w:rsid w:val="009455D1"/>
    <w:rsid w:val="009455E3"/>
    <w:rsid w:val="009455F1"/>
    <w:rsid w:val="009455FC"/>
    <w:rsid w:val="0094562E"/>
    <w:rsid w:val="0094567B"/>
    <w:rsid w:val="00945754"/>
    <w:rsid w:val="0094576C"/>
    <w:rsid w:val="00945846"/>
    <w:rsid w:val="00945851"/>
    <w:rsid w:val="009458B9"/>
    <w:rsid w:val="009458C5"/>
    <w:rsid w:val="00945921"/>
    <w:rsid w:val="00945995"/>
    <w:rsid w:val="009459DA"/>
    <w:rsid w:val="00945AAF"/>
    <w:rsid w:val="00945B0D"/>
    <w:rsid w:val="00945B39"/>
    <w:rsid w:val="00945BB3"/>
    <w:rsid w:val="00945C39"/>
    <w:rsid w:val="00945DCE"/>
    <w:rsid w:val="00945E5D"/>
    <w:rsid w:val="00945E7E"/>
    <w:rsid w:val="00945FA7"/>
    <w:rsid w:val="00945FD9"/>
    <w:rsid w:val="00946040"/>
    <w:rsid w:val="0094604E"/>
    <w:rsid w:val="0094617D"/>
    <w:rsid w:val="00946298"/>
    <w:rsid w:val="009462A1"/>
    <w:rsid w:val="009462D7"/>
    <w:rsid w:val="00946349"/>
    <w:rsid w:val="0094640E"/>
    <w:rsid w:val="0094644A"/>
    <w:rsid w:val="0094647E"/>
    <w:rsid w:val="009464C2"/>
    <w:rsid w:val="00946564"/>
    <w:rsid w:val="009465A5"/>
    <w:rsid w:val="00946664"/>
    <w:rsid w:val="0094669A"/>
    <w:rsid w:val="009466C9"/>
    <w:rsid w:val="0094677A"/>
    <w:rsid w:val="00946787"/>
    <w:rsid w:val="0094680D"/>
    <w:rsid w:val="0094689E"/>
    <w:rsid w:val="009468D6"/>
    <w:rsid w:val="009468F6"/>
    <w:rsid w:val="0094691C"/>
    <w:rsid w:val="009469BB"/>
    <w:rsid w:val="00946A4B"/>
    <w:rsid w:val="00946A62"/>
    <w:rsid w:val="00946AF7"/>
    <w:rsid w:val="00946AFE"/>
    <w:rsid w:val="00946BB3"/>
    <w:rsid w:val="00946C19"/>
    <w:rsid w:val="00946CB5"/>
    <w:rsid w:val="00946D68"/>
    <w:rsid w:val="00946E3D"/>
    <w:rsid w:val="00946EAA"/>
    <w:rsid w:val="00946EBF"/>
    <w:rsid w:val="00946F52"/>
    <w:rsid w:val="00946F7F"/>
    <w:rsid w:val="00946FCF"/>
    <w:rsid w:val="00946FE7"/>
    <w:rsid w:val="00946FF9"/>
    <w:rsid w:val="00947023"/>
    <w:rsid w:val="00947033"/>
    <w:rsid w:val="0094703B"/>
    <w:rsid w:val="00947203"/>
    <w:rsid w:val="00947227"/>
    <w:rsid w:val="0094731A"/>
    <w:rsid w:val="009473E8"/>
    <w:rsid w:val="009474B8"/>
    <w:rsid w:val="0094753E"/>
    <w:rsid w:val="009475A4"/>
    <w:rsid w:val="009475D9"/>
    <w:rsid w:val="009475EC"/>
    <w:rsid w:val="009477CA"/>
    <w:rsid w:val="009477F2"/>
    <w:rsid w:val="00947815"/>
    <w:rsid w:val="0094784D"/>
    <w:rsid w:val="009478D9"/>
    <w:rsid w:val="00947A3D"/>
    <w:rsid w:val="00947A65"/>
    <w:rsid w:val="00947C26"/>
    <w:rsid w:val="00947C4E"/>
    <w:rsid w:val="00947C83"/>
    <w:rsid w:val="00947D1B"/>
    <w:rsid w:val="00947D31"/>
    <w:rsid w:val="00947FB5"/>
    <w:rsid w:val="00950074"/>
    <w:rsid w:val="00950086"/>
    <w:rsid w:val="00950088"/>
    <w:rsid w:val="00950118"/>
    <w:rsid w:val="0095013F"/>
    <w:rsid w:val="00950210"/>
    <w:rsid w:val="00950223"/>
    <w:rsid w:val="00950227"/>
    <w:rsid w:val="009502FA"/>
    <w:rsid w:val="0095038B"/>
    <w:rsid w:val="00950394"/>
    <w:rsid w:val="0095043F"/>
    <w:rsid w:val="00950482"/>
    <w:rsid w:val="0095049E"/>
    <w:rsid w:val="009504D1"/>
    <w:rsid w:val="009504F7"/>
    <w:rsid w:val="00950521"/>
    <w:rsid w:val="0095055B"/>
    <w:rsid w:val="00950562"/>
    <w:rsid w:val="009505B6"/>
    <w:rsid w:val="009505BA"/>
    <w:rsid w:val="009506B6"/>
    <w:rsid w:val="009506E2"/>
    <w:rsid w:val="009506FF"/>
    <w:rsid w:val="0095075D"/>
    <w:rsid w:val="00950858"/>
    <w:rsid w:val="00950895"/>
    <w:rsid w:val="009508D7"/>
    <w:rsid w:val="009509A5"/>
    <w:rsid w:val="009509CB"/>
    <w:rsid w:val="009509F1"/>
    <w:rsid w:val="00950BD4"/>
    <w:rsid w:val="00950BF2"/>
    <w:rsid w:val="00950D0F"/>
    <w:rsid w:val="00950D5F"/>
    <w:rsid w:val="00950DEF"/>
    <w:rsid w:val="00950E0B"/>
    <w:rsid w:val="00950E18"/>
    <w:rsid w:val="00950F08"/>
    <w:rsid w:val="00950F38"/>
    <w:rsid w:val="00950FED"/>
    <w:rsid w:val="009510DF"/>
    <w:rsid w:val="00951163"/>
    <w:rsid w:val="009511EC"/>
    <w:rsid w:val="00951221"/>
    <w:rsid w:val="00951238"/>
    <w:rsid w:val="009514F5"/>
    <w:rsid w:val="00951515"/>
    <w:rsid w:val="0095160A"/>
    <w:rsid w:val="0095175E"/>
    <w:rsid w:val="00951780"/>
    <w:rsid w:val="009518FE"/>
    <w:rsid w:val="00951915"/>
    <w:rsid w:val="0095197C"/>
    <w:rsid w:val="0095198C"/>
    <w:rsid w:val="00951A01"/>
    <w:rsid w:val="00951C21"/>
    <w:rsid w:val="00951D7A"/>
    <w:rsid w:val="00951D81"/>
    <w:rsid w:val="00951EEC"/>
    <w:rsid w:val="00951FDC"/>
    <w:rsid w:val="0095204D"/>
    <w:rsid w:val="00952052"/>
    <w:rsid w:val="009520C9"/>
    <w:rsid w:val="009520DE"/>
    <w:rsid w:val="009521A0"/>
    <w:rsid w:val="009521A4"/>
    <w:rsid w:val="00952222"/>
    <w:rsid w:val="00952231"/>
    <w:rsid w:val="009522C9"/>
    <w:rsid w:val="009522D9"/>
    <w:rsid w:val="009523AA"/>
    <w:rsid w:val="00952423"/>
    <w:rsid w:val="00952449"/>
    <w:rsid w:val="009524F6"/>
    <w:rsid w:val="00952547"/>
    <w:rsid w:val="00952564"/>
    <w:rsid w:val="00952595"/>
    <w:rsid w:val="009525CD"/>
    <w:rsid w:val="00952607"/>
    <w:rsid w:val="0095262A"/>
    <w:rsid w:val="0095262B"/>
    <w:rsid w:val="009527EE"/>
    <w:rsid w:val="00952844"/>
    <w:rsid w:val="00952875"/>
    <w:rsid w:val="009528FA"/>
    <w:rsid w:val="0095292A"/>
    <w:rsid w:val="00952BC1"/>
    <w:rsid w:val="00952BE6"/>
    <w:rsid w:val="00952DA6"/>
    <w:rsid w:val="00952DBD"/>
    <w:rsid w:val="00952E04"/>
    <w:rsid w:val="00952E64"/>
    <w:rsid w:val="00952EF0"/>
    <w:rsid w:val="00952F27"/>
    <w:rsid w:val="00952FB3"/>
    <w:rsid w:val="00952FC5"/>
    <w:rsid w:val="009530AE"/>
    <w:rsid w:val="009530DE"/>
    <w:rsid w:val="009530F4"/>
    <w:rsid w:val="00953125"/>
    <w:rsid w:val="00953172"/>
    <w:rsid w:val="00953175"/>
    <w:rsid w:val="009531B6"/>
    <w:rsid w:val="009531FD"/>
    <w:rsid w:val="00953202"/>
    <w:rsid w:val="009532B2"/>
    <w:rsid w:val="009532DA"/>
    <w:rsid w:val="0095330D"/>
    <w:rsid w:val="00953311"/>
    <w:rsid w:val="00953419"/>
    <w:rsid w:val="009534EC"/>
    <w:rsid w:val="00953511"/>
    <w:rsid w:val="00953559"/>
    <w:rsid w:val="00953580"/>
    <w:rsid w:val="00953626"/>
    <w:rsid w:val="0095362A"/>
    <w:rsid w:val="0095363C"/>
    <w:rsid w:val="0095367E"/>
    <w:rsid w:val="0095369D"/>
    <w:rsid w:val="00953855"/>
    <w:rsid w:val="009538F1"/>
    <w:rsid w:val="009539BE"/>
    <w:rsid w:val="00953A0C"/>
    <w:rsid w:val="00953A15"/>
    <w:rsid w:val="00953AE3"/>
    <w:rsid w:val="00953AF6"/>
    <w:rsid w:val="00953B2E"/>
    <w:rsid w:val="00953BAC"/>
    <w:rsid w:val="00953BBF"/>
    <w:rsid w:val="00953C0B"/>
    <w:rsid w:val="00953C3E"/>
    <w:rsid w:val="00953C4B"/>
    <w:rsid w:val="00953CCE"/>
    <w:rsid w:val="00953D69"/>
    <w:rsid w:val="00953DBF"/>
    <w:rsid w:val="00953DF5"/>
    <w:rsid w:val="00953E63"/>
    <w:rsid w:val="00953E78"/>
    <w:rsid w:val="00953EA3"/>
    <w:rsid w:val="00953EF7"/>
    <w:rsid w:val="00953F13"/>
    <w:rsid w:val="00953F7C"/>
    <w:rsid w:val="009540BF"/>
    <w:rsid w:val="00954132"/>
    <w:rsid w:val="0095427D"/>
    <w:rsid w:val="009542FA"/>
    <w:rsid w:val="00954300"/>
    <w:rsid w:val="00954377"/>
    <w:rsid w:val="0095438A"/>
    <w:rsid w:val="009543C8"/>
    <w:rsid w:val="009543DD"/>
    <w:rsid w:val="009543DF"/>
    <w:rsid w:val="0095442D"/>
    <w:rsid w:val="00954539"/>
    <w:rsid w:val="00954698"/>
    <w:rsid w:val="009546E4"/>
    <w:rsid w:val="00954757"/>
    <w:rsid w:val="00954768"/>
    <w:rsid w:val="00954780"/>
    <w:rsid w:val="009547DD"/>
    <w:rsid w:val="009549B5"/>
    <w:rsid w:val="00954A1A"/>
    <w:rsid w:val="00954A84"/>
    <w:rsid w:val="00954AA6"/>
    <w:rsid w:val="00954B7E"/>
    <w:rsid w:val="00954BC8"/>
    <w:rsid w:val="00954BFC"/>
    <w:rsid w:val="00954C1A"/>
    <w:rsid w:val="00954C5F"/>
    <w:rsid w:val="00954C62"/>
    <w:rsid w:val="00954C67"/>
    <w:rsid w:val="00954D0C"/>
    <w:rsid w:val="00954D36"/>
    <w:rsid w:val="00954D78"/>
    <w:rsid w:val="00954DFA"/>
    <w:rsid w:val="00954DFB"/>
    <w:rsid w:val="00954F06"/>
    <w:rsid w:val="00954F5C"/>
    <w:rsid w:val="00954F60"/>
    <w:rsid w:val="00954FA8"/>
    <w:rsid w:val="0095505C"/>
    <w:rsid w:val="00955199"/>
    <w:rsid w:val="009551E9"/>
    <w:rsid w:val="00955215"/>
    <w:rsid w:val="00955234"/>
    <w:rsid w:val="009552B4"/>
    <w:rsid w:val="009552EB"/>
    <w:rsid w:val="00955349"/>
    <w:rsid w:val="00955378"/>
    <w:rsid w:val="009553F7"/>
    <w:rsid w:val="0095541E"/>
    <w:rsid w:val="00955497"/>
    <w:rsid w:val="009554D9"/>
    <w:rsid w:val="0095552F"/>
    <w:rsid w:val="009555F0"/>
    <w:rsid w:val="00955607"/>
    <w:rsid w:val="00955615"/>
    <w:rsid w:val="00955653"/>
    <w:rsid w:val="009556A7"/>
    <w:rsid w:val="009556C4"/>
    <w:rsid w:val="00955729"/>
    <w:rsid w:val="009557D1"/>
    <w:rsid w:val="0095581C"/>
    <w:rsid w:val="009558F8"/>
    <w:rsid w:val="00955971"/>
    <w:rsid w:val="00955983"/>
    <w:rsid w:val="00955B29"/>
    <w:rsid w:val="00955B53"/>
    <w:rsid w:val="00955BEC"/>
    <w:rsid w:val="00955BF3"/>
    <w:rsid w:val="00955C83"/>
    <w:rsid w:val="00955D24"/>
    <w:rsid w:val="00955D44"/>
    <w:rsid w:val="00955D61"/>
    <w:rsid w:val="00955D6A"/>
    <w:rsid w:val="00955E5C"/>
    <w:rsid w:val="00955EB1"/>
    <w:rsid w:val="00955FFD"/>
    <w:rsid w:val="00956298"/>
    <w:rsid w:val="009562C0"/>
    <w:rsid w:val="009562C7"/>
    <w:rsid w:val="009562F8"/>
    <w:rsid w:val="00956361"/>
    <w:rsid w:val="009563BE"/>
    <w:rsid w:val="00956428"/>
    <w:rsid w:val="009564A3"/>
    <w:rsid w:val="00956506"/>
    <w:rsid w:val="0095656C"/>
    <w:rsid w:val="00956705"/>
    <w:rsid w:val="0095675E"/>
    <w:rsid w:val="0095676A"/>
    <w:rsid w:val="009567D1"/>
    <w:rsid w:val="00956827"/>
    <w:rsid w:val="00956893"/>
    <w:rsid w:val="0095697B"/>
    <w:rsid w:val="009569EA"/>
    <w:rsid w:val="00956ACE"/>
    <w:rsid w:val="00956AE3"/>
    <w:rsid w:val="00956AE7"/>
    <w:rsid w:val="00956AFF"/>
    <w:rsid w:val="00956B0A"/>
    <w:rsid w:val="00956C3A"/>
    <w:rsid w:val="00956C3F"/>
    <w:rsid w:val="00956D3B"/>
    <w:rsid w:val="00956EB0"/>
    <w:rsid w:val="00956ED4"/>
    <w:rsid w:val="00956FA0"/>
    <w:rsid w:val="009570BE"/>
    <w:rsid w:val="0095714C"/>
    <w:rsid w:val="0095718F"/>
    <w:rsid w:val="009571AC"/>
    <w:rsid w:val="009571DC"/>
    <w:rsid w:val="009571E1"/>
    <w:rsid w:val="0095725D"/>
    <w:rsid w:val="0095729D"/>
    <w:rsid w:val="009572F3"/>
    <w:rsid w:val="009573CA"/>
    <w:rsid w:val="009573F4"/>
    <w:rsid w:val="00957497"/>
    <w:rsid w:val="009574E7"/>
    <w:rsid w:val="00957536"/>
    <w:rsid w:val="00957551"/>
    <w:rsid w:val="0095778C"/>
    <w:rsid w:val="009577FD"/>
    <w:rsid w:val="00957828"/>
    <w:rsid w:val="009578F5"/>
    <w:rsid w:val="00957916"/>
    <w:rsid w:val="00957969"/>
    <w:rsid w:val="009579BB"/>
    <w:rsid w:val="009579DD"/>
    <w:rsid w:val="00957AA4"/>
    <w:rsid w:val="00957B0A"/>
    <w:rsid w:val="00957B3F"/>
    <w:rsid w:val="00957B80"/>
    <w:rsid w:val="00957B86"/>
    <w:rsid w:val="00957CAD"/>
    <w:rsid w:val="00957CD6"/>
    <w:rsid w:val="00957CF1"/>
    <w:rsid w:val="00957DB9"/>
    <w:rsid w:val="00957DEF"/>
    <w:rsid w:val="00957E3E"/>
    <w:rsid w:val="00957E8B"/>
    <w:rsid w:val="00957F67"/>
    <w:rsid w:val="0096000E"/>
    <w:rsid w:val="0096000F"/>
    <w:rsid w:val="00960010"/>
    <w:rsid w:val="00960028"/>
    <w:rsid w:val="00960043"/>
    <w:rsid w:val="00960049"/>
    <w:rsid w:val="0096004C"/>
    <w:rsid w:val="0096014E"/>
    <w:rsid w:val="00960203"/>
    <w:rsid w:val="0096020D"/>
    <w:rsid w:val="009602CA"/>
    <w:rsid w:val="009602D2"/>
    <w:rsid w:val="009602E2"/>
    <w:rsid w:val="0096038F"/>
    <w:rsid w:val="009603AA"/>
    <w:rsid w:val="009603AF"/>
    <w:rsid w:val="0096040A"/>
    <w:rsid w:val="009604A8"/>
    <w:rsid w:val="009604B2"/>
    <w:rsid w:val="0096050A"/>
    <w:rsid w:val="0096051A"/>
    <w:rsid w:val="00960558"/>
    <w:rsid w:val="009605CE"/>
    <w:rsid w:val="00960745"/>
    <w:rsid w:val="00960869"/>
    <w:rsid w:val="00960957"/>
    <w:rsid w:val="00960971"/>
    <w:rsid w:val="00960AAB"/>
    <w:rsid w:val="00960C3A"/>
    <w:rsid w:val="00960CE7"/>
    <w:rsid w:val="00960D34"/>
    <w:rsid w:val="00960D49"/>
    <w:rsid w:val="00960D8D"/>
    <w:rsid w:val="00960D9B"/>
    <w:rsid w:val="00960DC3"/>
    <w:rsid w:val="00960DEC"/>
    <w:rsid w:val="00960F10"/>
    <w:rsid w:val="00960F33"/>
    <w:rsid w:val="00960F6B"/>
    <w:rsid w:val="00960F8B"/>
    <w:rsid w:val="00960FB0"/>
    <w:rsid w:val="00961102"/>
    <w:rsid w:val="00961130"/>
    <w:rsid w:val="00961164"/>
    <w:rsid w:val="009611E5"/>
    <w:rsid w:val="009613FB"/>
    <w:rsid w:val="0096146F"/>
    <w:rsid w:val="009614D2"/>
    <w:rsid w:val="009614EB"/>
    <w:rsid w:val="0096157D"/>
    <w:rsid w:val="0096160E"/>
    <w:rsid w:val="009616EE"/>
    <w:rsid w:val="00961708"/>
    <w:rsid w:val="00961795"/>
    <w:rsid w:val="00961806"/>
    <w:rsid w:val="00961825"/>
    <w:rsid w:val="0096185E"/>
    <w:rsid w:val="009618AE"/>
    <w:rsid w:val="00961922"/>
    <w:rsid w:val="00961966"/>
    <w:rsid w:val="00961988"/>
    <w:rsid w:val="009619CB"/>
    <w:rsid w:val="009619DD"/>
    <w:rsid w:val="00961A91"/>
    <w:rsid w:val="00961AF7"/>
    <w:rsid w:val="00961B2D"/>
    <w:rsid w:val="00961BC2"/>
    <w:rsid w:val="00961BD2"/>
    <w:rsid w:val="00961BE2"/>
    <w:rsid w:val="00961BE3"/>
    <w:rsid w:val="00961C2A"/>
    <w:rsid w:val="00961C2C"/>
    <w:rsid w:val="00961D33"/>
    <w:rsid w:val="00961DA8"/>
    <w:rsid w:val="00961E1F"/>
    <w:rsid w:val="00961E22"/>
    <w:rsid w:val="00961E81"/>
    <w:rsid w:val="00961ED1"/>
    <w:rsid w:val="00961F77"/>
    <w:rsid w:val="00962085"/>
    <w:rsid w:val="009620F8"/>
    <w:rsid w:val="00962117"/>
    <w:rsid w:val="0096211B"/>
    <w:rsid w:val="00962179"/>
    <w:rsid w:val="009621E9"/>
    <w:rsid w:val="009621F8"/>
    <w:rsid w:val="00962228"/>
    <w:rsid w:val="009622C1"/>
    <w:rsid w:val="00962306"/>
    <w:rsid w:val="00962309"/>
    <w:rsid w:val="0096231B"/>
    <w:rsid w:val="009623FC"/>
    <w:rsid w:val="00962413"/>
    <w:rsid w:val="00962485"/>
    <w:rsid w:val="009624E2"/>
    <w:rsid w:val="0096254A"/>
    <w:rsid w:val="00962563"/>
    <w:rsid w:val="009625FA"/>
    <w:rsid w:val="009627A7"/>
    <w:rsid w:val="00962844"/>
    <w:rsid w:val="0096297A"/>
    <w:rsid w:val="009629E8"/>
    <w:rsid w:val="00962B23"/>
    <w:rsid w:val="00962B73"/>
    <w:rsid w:val="00962BB1"/>
    <w:rsid w:val="00962BD7"/>
    <w:rsid w:val="00962BDD"/>
    <w:rsid w:val="00962BE0"/>
    <w:rsid w:val="00962C46"/>
    <w:rsid w:val="00962C7F"/>
    <w:rsid w:val="00962CE5"/>
    <w:rsid w:val="00962D41"/>
    <w:rsid w:val="00962E3F"/>
    <w:rsid w:val="00962E45"/>
    <w:rsid w:val="00962E4D"/>
    <w:rsid w:val="00962F28"/>
    <w:rsid w:val="00963066"/>
    <w:rsid w:val="00963084"/>
    <w:rsid w:val="009630F6"/>
    <w:rsid w:val="009630F7"/>
    <w:rsid w:val="00963147"/>
    <w:rsid w:val="00963211"/>
    <w:rsid w:val="0096332A"/>
    <w:rsid w:val="0096338D"/>
    <w:rsid w:val="009633BC"/>
    <w:rsid w:val="009633F7"/>
    <w:rsid w:val="0096341F"/>
    <w:rsid w:val="0096342C"/>
    <w:rsid w:val="0096342D"/>
    <w:rsid w:val="00963431"/>
    <w:rsid w:val="00963481"/>
    <w:rsid w:val="00963523"/>
    <w:rsid w:val="00963582"/>
    <w:rsid w:val="009636D4"/>
    <w:rsid w:val="009637CE"/>
    <w:rsid w:val="00963823"/>
    <w:rsid w:val="0096383E"/>
    <w:rsid w:val="00963876"/>
    <w:rsid w:val="00963904"/>
    <w:rsid w:val="0096396B"/>
    <w:rsid w:val="009639B2"/>
    <w:rsid w:val="009639C5"/>
    <w:rsid w:val="00963AE8"/>
    <w:rsid w:val="00963B01"/>
    <w:rsid w:val="00963BB9"/>
    <w:rsid w:val="00963C6E"/>
    <w:rsid w:val="00963E08"/>
    <w:rsid w:val="00963EFB"/>
    <w:rsid w:val="00963F0E"/>
    <w:rsid w:val="00963F60"/>
    <w:rsid w:val="00963FC8"/>
    <w:rsid w:val="0096426C"/>
    <w:rsid w:val="00964289"/>
    <w:rsid w:val="00964313"/>
    <w:rsid w:val="00964327"/>
    <w:rsid w:val="00964347"/>
    <w:rsid w:val="00964408"/>
    <w:rsid w:val="009644B6"/>
    <w:rsid w:val="0096458C"/>
    <w:rsid w:val="00964597"/>
    <w:rsid w:val="009645C1"/>
    <w:rsid w:val="00964609"/>
    <w:rsid w:val="0096469E"/>
    <w:rsid w:val="009646A3"/>
    <w:rsid w:val="009646ED"/>
    <w:rsid w:val="009647E3"/>
    <w:rsid w:val="009647E7"/>
    <w:rsid w:val="009647F7"/>
    <w:rsid w:val="00964808"/>
    <w:rsid w:val="009648A0"/>
    <w:rsid w:val="00964919"/>
    <w:rsid w:val="0096494B"/>
    <w:rsid w:val="00964A54"/>
    <w:rsid w:val="00964ACC"/>
    <w:rsid w:val="00964AEB"/>
    <w:rsid w:val="00964BAD"/>
    <w:rsid w:val="00964C2F"/>
    <w:rsid w:val="00964C3D"/>
    <w:rsid w:val="00964C49"/>
    <w:rsid w:val="00964CA8"/>
    <w:rsid w:val="00964CCB"/>
    <w:rsid w:val="00964D30"/>
    <w:rsid w:val="00964D83"/>
    <w:rsid w:val="00964D97"/>
    <w:rsid w:val="00964E29"/>
    <w:rsid w:val="00964E34"/>
    <w:rsid w:val="00964ECC"/>
    <w:rsid w:val="00964F20"/>
    <w:rsid w:val="00965015"/>
    <w:rsid w:val="00965046"/>
    <w:rsid w:val="00965082"/>
    <w:rsid w:val="009651C9"/>
    <w:rsid w:val="00965202"/>
    <w:rsid w:val="009652C6"/>
    <w:rsid w:val="00965375"/>
    <w:rsid w:val="009653BE"/>
    <w:rsid w:val="009654D7"/>
    <w:rsid w:val="009654FF"/>
    <w:rsid w:val="0096550A"/>
    <w:rsid w:val="00965657"/>
    <w:rsid w:val="009656C2"/>
    <w:rsid w:val="0096578D"/>
    <w:rsid w:val="0096579F"/>
    <w:rsid w:val="00965864"/>
    <w:rsid w:val="009658E6"/>
    <w:rsid w:val="009659A6"/>
    <w:rsid w:val="00965A38"/>
    <w:rsid w:val="00965AB6"/>
    <w:rsid w:val="00965B07"/>
    <w:rsid w:val="00965CB8"/>
    <w:rsid w:val="00965CD1"/>
    <w:rsid w:val="00965CEF"/>
    <w:rsid w:val="00965D3F"/>
    <w:rsid w:val="00965D5C"/>
    <w:rsid w:val="00965D93"/>
    <w:rsid w:val="00965DCE"/>
    <w:rsid w:val="00965F9D"/>
    <w:rsid w:val="00965FD5"/>
    <w:rsid w:val="009660D1"/>
    <w:rsid w:val="009661D2"/>
    <w:rsid w:val="00966277"/>
    <w:rsid w:val="009662FF"/>
    <w:rsid w:val="00966333"/>
    <w:rsid w:val="009663C7"/>
    <w:rsid w:val="00966408"/>
    <w:rsid w:val="009664D4"/>
    <w:rsid w:val="009664F7"/>
    <w:rsid w:val="009664F9"/>
    <w:rsid w:val="009665E8"/>
    <w:rsid w:val="00966792"/>
    <w:rsid w:val="009667D5"/>
    <w:rsid w:val="009667DD"/>
    <w:rsid w:val="009667ED"/>
    <w:rsid w:val="009668CF"/>
    <w:rsid w:val="0096695E"/>
    <w:rsid w:val="009669E1"/>
    <w:rsid w:val="00966A05"/>
    <w:rsid w:val="00966A0A"/>
    <w:rsid w:val="00966A39"/>
    <w:rsid w:val="00966B51"/>
    <w:rsid w:val="00966BC0"/>
    <w:rsid w:val="00966BF8"/>
    <w:rsid w:val="00966C64"/>
    <w:rsid w:val="00966DAD"/>
    <w:rsid w:val="00966DB2"/>
    <w:rsid w:val="00966E56"/>
    <w:rsid w:val="00966E99"/>
    <w:rsid w:val="00966FBD"/>
    <w:rsid w:val="00967059"/>
    <w:rsid w:val="00967068"/>
    <w:rsid w:val="009670A4"/>
    <w:rsid w:val="009670DB"/>
    <w:rsid w:val="009670EB"/>
    <w:rsid w:val="00967141"/>
    <w:rsid w:val="00967147"/>
    <w:rsid w:val="00967158"/>
    <w:rsid w:val="0096718E"/>
    <w:rsid w:val="009671C9"/>
    <w:rsid w:val="009671D0"/>
    <w:rsid w:val="009671F5"/>
    <w:rsid w:val="00967200"/>
    <w:rsid w:val="00967349"/>
    <w:rsid w:val="009673BF"/>
    <w:rsid w:val="009673DF"/>
    <w:rsid w:val="00967470"/>
    <w:rsid w:val="00967486"/>
    <w:rsid w:val="009674B8"/>
    <w:rsid w:val="00967508"/>
    <w:rsid w:val="00967564"/>
    <w:rsid w:val="0096756C"/>
    <w:rsid w:val="0096757A"/>
    <w:rsid w:val="00967597"/>
    <w:rsid w:val="009675D1"/>
    <w:rsid w:val="009677BF"/>
    <w:rsid w:val="0096780F"/>
    <w:rsid w:val="00967822"/>
    <w:rsid w:val="00967830"/>
    <w:rsid w:val="00967838"/>
    <w:rsid w:val="009678EA"/>
    <w:rsid w:val="009678F7"/>
    <w:rsid w:val="00967936"/>
    <w:rsid w:val="00967994"/>
    <w:rsid w:val="009679A8"/>
    <w:rsid w:val="009679F7"/>
    <w:rsid w:val="00967A03"/>
    <w:rsid w:val="00967A08"/>
    <w:rsid w:val="00967C19"/>
    <w:rsid w:val="00967C3B"/>
    <w:rsid w:val="00967C75"/>
    <w:rsid w:val="00967D0A"/>
    <w:rsid w:val="00967D2A"/>
    <w:rsid w:val="00967F6A"/>
    <w:rsid w:val="00967FE6"/>
    <w:rsid w:val="0097008F"/>
    <w:rsid w:val="00970102"/>
    <w:rsid w:val="00970164"/>
    <w:rsid w:val="0097016C"/>
    <w:rsid w:val="009701E8"/>
    <w:rsid w:val="009702C5"/>
    <w:rsid w:val="00970358"/>
    <w:rsid w:val="009703FE"/>
    <w:rsid w:val="00970423"/>
    <w:rsid w:val="00970482"/>
    <w:rsid w:val="009704DE"/>
    <w:rsid w:val="009704F8"/>
    <w:rsid w:val="0097052B"/>
    <w:rsid w:val="00970553"/>
    <w:rsid w:val="009706FD"/>
    <w:rsid w:val="00970872"/>
    <w:rsid w:val="0097087A"/>
    <w:rsid w:val="009708AB"/>
    <w:rsid w:val="00970924"/>
    <w:rsid w:val="00970963"/>
    <w:rsid w:val="009709E2"/>
    <w:rsid w:val="00970A91"/>
    <w:rsid w:val="00970BF5"/>
    <w:rsid w:val="00970C02"/>
    <w:rsid w:val="00970C34"/>
    <w:rsid w:val="00970C5F"/>
    <w:rsid w:val="00970C77"/>
    <w:rsid w:val="00970C7E"/>
    <w:rsid w:val="00970CB8"/>
    <w:rsid w:val="00970CD9"/>
    <w:rsid w:val="00970CFB"/>
    <w:rsid w:val="00970D6A"/>
    <w:rsid w:val="00970DE3"/>
    <w:rsid w:val="00970DEE"/>
    <w:rsid w:val="00970E1D"/>
    <w:rsid w:val="00970E3C"/>
    <w:rsid w:val="00970E44"/>
    <w:rsid w:val="00970E5D"/>
    <w:rsid w:val="00970E96"/>
    <w:rsid w:val="00970EF7"/>
    <w:rsid w:val="00970F60"/>
    <w:rsid w:val="00971022"/>
    <w:rsid w:val="009710D9"/>
    <w:rsid w:val="009710E3"/>
    <w:rsid w:val="00971113"/>
    <w:rsid w:val="00971140"/>
    <w:rsid w:val="00971215"/>
    <w:rsid w:val="009712CD"/>
    <w:rsid w:val="00971395"/>
    <w:rsid w:val="009713FD"/>
    <w:rsid w:val="00971423"/>
    <w:rsid w:val="00971453"/>
    <w:rsid w:val="00971494"/>
    <w:rsid w:val="009714C5"/>
    <w:rsid w:val="00971525"/>
    <w:rsid w:val="0097152A"/>
    <w:rsid w:val="0097152B"/>
    <w:rsid w:val="00971552"/>
    <w:rsid w:val="0097166F"/>
    <w:rsid w:val="00971670"/>
    <w:rsid w:val="00971779"/>
    <w:rsid w:val="00971807"/>
    <w:rsid w:val="00971866"/>
    <w:rsid w:val="0097187B"/>
    <w:rsid w:val="009718B8"/>
    <w:rsid w:val="00971927"/>
    <w:rsid w:val="00971947"/>
    <w:rsid w:val="009719DC"/>
    <w:rsid w:val="00971B2F"/>
    <w:rsid w:val="00971B3D"/>
    <w:rsid w:val="00971BD8"/>
    <w:rsid w:val="00971C99"/>
    <w:rsid w:val="00971CC5"/>
    <w:rsid w:val="00971CD5"/>
    <w:rsid w:val="00971D68"/>
    <w:rsid w:val="00971D6F"/>
    <w:rsid w:val="00971DD8"/>
    <w:rsid w:val="00971EAF"/>
    <w:rsid w:val="00972077"/>
    <w:rsid w:val="009720D1"/>
    <w:rsid w:val="0097210A"/>
    <w:rsid w:val="00972180"/>
    <w:rsid w:val="009721EF"/>
    <w:rsid w:val="009721F4"/>
    <w:rsid w:val="0097223D"/>
    <w:rsid w:val="00972284"/>
    <w:rsid w:val="009722AA"/>
    <w:rsid w:val="009723C4"/>
    <w:rsid w:val="009723FB"/>
    <w:rsid w:val="00972435"/>
    <w:rsid w:val="00972494"/>
    <w:rsid w:val="00972555"/>
    <w:rsid w:val="00972580"/>
    <w:rsid w:val="009725D9"/>
    <w:rsid w:val="00972827"/>
    <w:rsid w:val="009728A0"/>
    <w:rsid w:val="00972995"/>
    <w:rsid w:val="00972A97"/>
    <w:rsid w:val="00972A9E"/>
    <w:rsid w:val="00972B78"/>
    <w:rsid w:val="00972B81"/>
    <w:rsid w:val="00972C00"/>
    <w:rsid w:val="00972C2A"/>
    <w:rsid w:val="00972C64"/>
    <w:rsid w:val="00972D67"/>
    <w:rsid w:val="00972DCD"/>
    <w:rsid w:val="00972DE3"/>
    <w:rsid w:val="00972E3B"/>
    <w:rsid w:val="00972E71"/>
    <w:rsid w:val="00972F57"/>
    <w:rsid w:val="00972FB8"/>
    <w:rsid w:val="0097300D"/>
    <w:rsid w:val="0097305F"/>
    <w:rsid w:val="0097307D"/>
    <w:rsid w:val="00973109"/>
    <w:rsid w:val="00973205"/>
    <w:rsid w:val="00973352"/>
    <w:rsid w:val="00973398"/>
    <w:rsid w:val="009733A6"/>
    <w:rsid w:val="0097345E"/>
    <w:rsid w:val="0097347C"/>
    <w:rsid w:val="0097352F"/>
    <w:rsid w:val="00973630"/>
    <w:rsid w:val="0097364B"/>
    <w:rsid w:val="00973891"/>
    <w:rsid w:val="0097396A"/>
    <w:rsid w:val="009739BB"/>
    <w:rsid w:val="009739C0"/>
    <w:rsid w:val="00973B46"/>
    <w:rsid w:val="00973BAF"/>
    <w:rsid w:val="00973C24"/>
    <w:rsid w:val="00973CE9"/>
    <w:rsid w:val="00973D05"/>
    <w:rsid w:val="00973F37"/>
    <w:rsid w:val="00973F54"/>
    <w:rsid w:val="00973F8F"/>
    <w:rsid w:val="00973F94"/>
    <w:rsid w:val="00973FB5"/>
    <w:rsid w:val="00973FEA"/>
    <w:rsid w:val="00974034"/>
    <w:rsid w:val="0097405E"/>
    <w:rsid w:val="009740E6"/>
    <w:rsid w:val="0097415F"/>
    <w:rsid w:val="0097417A"/>
    <w:rsid w:val="009741A6"/>
    <w:rsid w:val="00974226"/>
    <w:rsid w:val="0097422A"/>
    <w:rsid w:val="0097425F"/>
    <w:rsid w:val="0097426F"/>
    <w:rsid w:val="009742B1"/>
    <w:rsid w:val="009742C1"/>
    <w:rsid w:val="009742ED"/>
    <w:rsid w:val="0097435C"/>
    <w:rsid w:val="00974385"/>
    <w:rsid w:val="009743C6"/>
    <w:rsid w:val="009743EE"/>
    <w:rsid w:val="00974443"/>
    <w:rsid w:val="00974465"/>
    <w:rsid w:val="00974482"/>
    <w:rsid w:val="00974490"/>
    <w:rsid w:val="009744C8"/>
    <w:rsid w:val="00974502"/>
    <w:rsid w:val="00974522"/>
    <w:rsid w:val="00974596"/>
    <w:rsid w:val="00974716"/>
    <w:rsid w:val="0097473C"/>
    <w:rsid w:val="00974747"/>
    <w:rsid w:val="0097478E"/>
    <w:rsid w:val="0097488A"/>
    <w:rsid w:val="00974929"/>
    <w:rsid w:val="0097492B"/>
    <w:rsid w:val="00974995"/>
    <w:rsid w:val="009749A9"/>
    <w:rsid w:val="009749B7"/>
    <w:rsid w:val="00974A03"/>
    <w:rsid w:val="00974AA8"/>
    <w:rsid w:val="00974B00"/>
    <w:rsid w:val="00974B0D"/>
    <w:rsid w:val="00974B34"/>
    <w:rsid w:val="00974B65"/>
    <w:rsid w:val="00974BBB"/>
    <w:rsid w:val="00974CB9"/>
    <w:rsid w:val="00974CFD"/>
    <w:rsid w:val="00974D15"/>
    <w:rsid w:val="00974D42"/>
    <w:rsid w:val="00974DDC"/>
    <w:rsid w:val="00974E3A"/>
    <w:rsid w:val="00974E6C"/>
    <w:rsid w:val="00974F43"/>
    <w:rsid w:val="00974FE7"/>
    <w:rsid w:val="0097510E"/>
    <w:rsid w:val="0097518A"/>
    <w:rsid w:val="009751EC"/>
    <w:rsid w:val="0097523D"/>
    <w:rsid w:val="0097525B"/>
    <w:rsid w:val="009752ED"/>
    <w:rsid w:val="0097530D"/>
    <w:rsid w:val="009753CC"/>
    <w:rsid w:val="009753D4"/>
    <w:rsid w:val="00975433"/>
    <w:rsid w:val="009754B7"/>
    <w:rsid w:val="00975530"/>
    <w:rsid w:val="00975561"/>
    <w:rsid w:val="00975576"/>
    <w:rsid w:val="0097575B"/>
    <w:rsid w:val="0097596F"/>
    <w:rsid w:val="00975A16"/>
    <w:rsid w:val="00975A23"/>
    <w:rsid w:val="00975AA1"/>
    <w:rsid w:val="00975AC6"/>
    <w:rsid w:val="00975ADD"/>
    <w:rsid w:val="00975AFC"/>
    <w:rsid w:val="00975C00"/>
    <w:rsid w:val="00975C4C"/>
    <w:rsid w:val="00975E30"/>
    <w:rsid w:val="00975EB4"/>
    <w:rsid w:val="00975EDC"/>
    <w:rsid w:val="00975F05"/>
    <w:rsid w:val="00975F58"/>
    <w:rsid w:val="0097602B"/>
    <w:rsid w:val="00976030"/>
    <w:rsid w:val="00976042"/>
    <w:rsid w:val="00976054"/>
    <w:rsid w:val="00976097"/>
    <w:rsid w:val="00976111"/>
    <w:rsid w:val="00976175"/>
    <w:rsid w:val="0097619A"/>
    <w:rsid w:val="00976460"/>
    <w:rsid w:val="00976472"/>
    <w:rsid w:val="009764CA"/>
    <w:rsid w:val="00976534"/>
    <w:rsid w:val="0097653F"/>
    <w:rsid w:val="009765D6"/>
    <w:rsid w:val="009765E2"/>
    <w:rsid w:val="00976689"/>
    <w:rsid w:val="0097673B"/>
    <w:rsid w:val="009767BC"/>
    <w:rsid w:val="009767DA"/>
    <w:rsid w:val="0097695F"/>
    <w:rsid w:val="0097698C"/>
    <w:rsid w:val="009769AC"/>
    <w:rsid w:val="00976A57"/>
    <w:rsid w:val="00976A5C"/>
    <w:rsid w:val="00976B2D"/>
    <w:rsid w:val="00976B83"/>
    <w:rsid w:val="00976C0F"/>
    <w:rsid w:val="00976C3D"/>
    <w:rsid w:val="00976C65"/>
    <w:rsid w:val="00976C9D"/>
    <w:rsid w:val="00976CB1"/>
    <w:rsid w:val="00976D3A"/>
    <w:rsid w:val="00976E21"/>
    <w:rsid w:val="00976F83"/>
    <w:rsid w:val="00976FDF"/>
    <w:rsid w:val="00977003"/>
    <w:rsid w:val="00977043"/>
    <w:rsid w:val="009770DF"/>
    <w:rsid w:val="009770EB"/>
    <w:rsid w:val="0097710F"/>
    <w:rsid w:val="00977153"/>
    <w:rsid w:val="0097715C"/>
    <w:rsid w:val="00977197"/>
    <w:rsid w:val="0097719D"/>
    <w:rsid w:val="009771E3"/>
    <w:rsid w:val="00977360"/>
    <w:rsid w:val="0097738A"/>
    <w:rsid w:val="00977391"/>
    <w:rsid w:val="009774F5"/>
    <w:rsid w:val="009776B9"/>
    <w:rsid w:val="009776CC"/>
    <w:rsid w:val="0097770E"/>
    <w:rsid w:val="00977717"/>
    <w:rsid w:val="00977755"/>
    <w:rsid w:val="0097777E"/>
    <w:rsid w:val="009777CD"/>
    <w:rsid w:val="00977809"/>
    <w:rsid w:val="00977919"/>
    <w:rsid w:val="0097791A"/>
    <w:rsid w:val="0097791B"/>
    <w:rsid w:val="009779BD"/>
    <w:rsid w:val="00977A26"/>
    <w:rsid w:val="00977A4D"/>
    <w:rsid w:val="00977A74"/>
    <w:rsid w:val="00977AC9"/>
    <w:rsid w:val="00977C91"/>
    <w:rsid w:val="00977D5F"/>
    <w:rsid w:val="00977DB6"/>
    <w:rsid w:val="00977E0E"/>
    <w:rsid w:val="00977E48"/>
    <w:rsid w:val="00977E5B"/>
    <w:rsid w:val="00977EE3"/>
    <w:rsid w:val="00977F3D"/>
    <w:rsid w:val="00977F71"/>
    <w:rsid w:val="00980071"/>
    <w:rsid w:val="00980074"/>
    <w:rsid w:val="009800FD"/>
    <w:rsid w:val="009800FF"/>
    <w:rsid w:val="009801A8"/>
    <w:rsid w:val="009801AE"/>
    <w:rsid w:val="009803CC"/>
    <w:rsid w:val="00980435"/>
    <w:rsid w:val="00980451"/>
    <w:rsid w:val="00980476"/>
    <w:rsid w:val="00980498"/>
    <w:rsid w:val="00980571"/>
    <w:rsid w:val="00980598"/>
    <w:rsid w:val="009806AA"/>
    <w:rsid w:val="00980854"/>
    <w:rsid w:val="0098088E"/>
    <w:rsid w:val="0098094F"/>
    <w:rsid w:val="0098097A"/>
    <w:rsid w:val="009809D3"/>
    <w:rsid w:val="009809F0"/>
    <w:rsid w:val="00980A19"/>
    <w:rsid w:val="00980B4F"/>
    <w:rsid w:val="00980BC7"/>
    <w:rsid w:val="00980C8D"/>
    <w:rsid w:val="00980CA5"/>
    <w:rsid w:val="00980CC7"/>
    <w:rsid w:val="00980CC9"/>
    <w:rsid w:val="00980D32"/>
    <w:rsid w:val="00980D71"/>
    <w:rsid w:val="00980E22"/>
    <w:rsid w:val="00980EF6"/>
    <w:rsid w:val="0098101B"/>
    <w:rsid w:val="0098103D"/>
    <w:rsid w:val="00981046"/>
    <w:rsid w:val="00981077"/>
    <w:rsid w:val="009810A6"/>
    <w:rsid w:val="009810AF"/>
    <w:rsid w:val="009810F5"/>
    <w:rsid w:val="009810F6"/>
    <w:rsid w:val="00981120"/>
    <w:rsid w:val="00981154"/>
    <w:rsid w:val="0098128E"/>
    <w:rsid w:val="009812DF"/>
    <w:rsid w:val="00981359"/>
    <w:rsid w:val="00981369"/>
    <w:rsid w:val="009813BC"/>
    <w:rsid w:val="00981472"/>
    <w:rsid w:val="0098148B"/>
    <w:rsid w:val="009814A6"/>
    <w:rsid w:val="009814FE"/>
    <w:rsid w:val="0098151E"/>
    <w:rsid w:val="0098155E"/>
    <w:rsid w:val="00981618"/>
    <w:rsid w:val="009816FA"/>
    <w:rsid w:val="0098171F"/>
    <w:rsid w:val="0098174F"/>
    <w:rsid w:val="00981762"/>
    <w:rsid w:val="009817ED"/>
    <w:rsid w:val="00981917"/>
    <w:rsid w:val="0098196C"/>
    <w:rsid w:val="009819A6"/>
    <w:rsid w:val="009819C7"/>
    <w:rsid w:val="00981A71"/>
    <w:rsid w:val="00981C01"/>
    <w:rsid w:val="00981C37"/>
    <w:rsid w:val="00981CDE"/>
    <w:rsid w:val="00981D32"/>
    <w:rsid w:val="00981D62"/>
    <w:rsid w:val="00981DC6"/>
    <w:rsid w:val="00981E9A"/>
    <w:rsid w:val="00981EB7"/>
    <w:rsid w:val="00981F97"/>
    <w:rsid w:val="00981FDF"/>
    <w:rsid w:val="00982097"/>
    <w:rsid w:val="009820B5"/>
    <w:rsid w:val="00982177"/>
    <w:rsid w:val="00982186"/>
    <w:rsid w:val="009821FC"/>
    <w:rsid w:val="0098229B"/>
    <w:rsid w:val="009822C4"/>
    <w:rsid w:val="009823BF"/>
    <w:rsid w:val="009824E4"/>
    <w:rsid w:val="0098252A"/>
    <w:rsid w:val="00982597"/>
    <w:rsid w:val="009825DE"/>
    <w:rsid w:val="009825DF"/>
    <w:rsid w:val="009826A2"/>
    <w:rsid w:val="0098287E"/>
    <w:rsid w:val="0098291C"/>
    <w:rsid w:val="009829AC"/>
    <w:rsid w:val="00982AA0"/>
    <w:rsid w:val="00982AAD"/>
    <w:rsid w:val="00982B40"/>
    <w:rsid w:val="00982B54"/>
    <w:rsid w:val="00982BA5"/>
    <w:rsid w:val="00982D21"/>
    <w:rsid w:val="00982D33"/>
    <w:rsid w:val="00982DEE"/>
    <w:rsid w:val="00982EA9"/>
    <w:rsid w:val="00982EAE"/>
    <w:rsid w:val="00982ED9"/>
    <w:rsid w:val="00982F21"/>
    <w:rsid w:val="00982FDD"/>
    <w:rsid w:val="00983055"/>
    <w:rsid w:val="00983096"/>
    <w:rsid w:val="009830B3"/>
    <w:rsid w:val="009830F4"/>
    <w:rsid w:val="00983141"/>
    <w:rsid w:val="009831E2"/>
    <w:rsid w:val="0098337E"/>
    <w:rsid w:val="009833AB"/>
    <w:rsid w:val="009834B8"/>
    <w:rsid w:val="00983523"/>
    <w:rsid w:val="00983620"/>
    <w:rsid w:val="009836C2"/>
    <w:rsid w:val="0098370C"/>
    <w:rsid w:val="00983740"/>
    <w:rsid w:val="00983757"/>
    <w:rsid w:val="0098382C"/>
    <w:rsid w:val="009838A6"/>
    <w:rsid w:val="00983909"/>
    <w:rsid w:val="00983952"/>
    <w:rsid w:val="00983A2B"/>
    <w:rsid w:val="00983B27"/>
    <w:rsid w:val="00983B93"/>
    <w:rsid w:val="00983C3E"/>
    <w:rsid w:val="00983CE4"/>
    <w:rsid w:val="00983D93"/>
    <w:rsid w:val="00983DA0"/>
    <w:rsid w:val="00983DFF"/>
    <w:rsid w:val="00983E3C"/>
    <w:rsid w:val="00983F06"/>
    <w:rsid w:val="00983F18"/>
    <w:rsid w:val="00983F9A"/>
    <w:rsid w:val="0098400C"/>
    <w:rsid w:val="0098404C"/>
    <w:rsid w:val="009841DE"/>
    <w:rsid w:val="009841FB"/>
    <w:rsid w:val="0098426C"/>
    <w:rsid w:val="00984278"/>
    <w:rsid w:val="009844C4"/>
    <w:rsid w:val="009844C5"/>
    <w:rsid w:val="00984573"/>
    <w:rsid w:val="00984606"/>
    <w:rsid w:val="0098460B"/>
    <w:rsid w:val="0098461A"/>
    <w:rsid w:val="0098463E"/>
    <w:rsid w:val="00984673"/>
    <w:rsid w:val="009848A2"/>
    <w:rsid w:val="009848A6"/>
    <w:rsid w:val="009848FA"/>
    <w:rsid w:val="00984975"/>
    <w:rsid w:val="0098499B"/>
    <w:rsid w:val="00984A3E"/>
    <w:rsid w:val="00984A5E"/>
    <w:rsid w:val="00984B3D"/>
    <w:rsid w:val="00984C25"/>
    <w:rsid w:val="00984C31"/>
    <w:rsid w:val="00984CE7"/>
    <w:rsid w:val="00984D19"/>
    <w:rsid w:val="00984D1D"/>
    <w:rsid w:val="00984D6B"/>
    <w:rsid w:val="00984F0F"/>
    <w:rsid w:val="00984F2E"/>
    <w:rsid w:val="00984F51"/>
    <w:rsid w:val="00984F57"/>
    <w:rsid w:val="00985006"/>
    <w:rsid w:val="00985012"/>
    <w:rsid w:val="009850B0"/>
    <w:rsid w:val="0098528A"/>
    <w:rsid w:val="009852AE"/>
    <w:rsid w:val="00985373"/>
    <w:rsid w:val="00985389"/>
    <w:rsid w:val="009853CA"/>
    <w:rsid w:val="00985510"/>
    <w:rsid w:val="00985555"/>
    <w:rsid w:val="00985599"/>
    <w:rsid w:val="009855F6"/>
    <w:rsid w:val="0098568B"/>
    <w:rsid w:val="0098569B"/>
    <w:rsid w:val="00985726"/>
    <w:rsid w:val="00985734"/>
    <w:rsid w:val="0098585E"/>
    <w:rsid w:val="00985923"/>
    <w:rsid w:val="00985992"/>
    <w:rsid w:val="009859F8"/>
    <w:rsid w:val="00985C55"/>
    <w:rsid w:val="00985C74"/>
    <w:rsid w:val="00985D07"/>
    <w:rsid w:val="00985D2B"/>
    <w:rsid w:val="00985F07"/>
    <w:rsid w:val="00986139"/>
    <w:rsid w:val="0098619E"/>
    <w:rsid w:val="00986289"/>
    <w:rsid w:val="009862E6"/>
    <w:rsid w:val="009862E8"/>
    <w:rsid w:val="00986421"/>
    <w:rsid w:val="009865ED"/>
    <w:rsid w:val="00986672"/>
    <w:rsid w:val="00986692"/>
    <w:rsid w:val="0098670C"/>
    <w:rsid w:val="0098675C"/>
    <w:rsid w:val="00986836"/>
    <w:rsid w:val="00986951"/>
    <w:rsid w:val="009869CC"/>
    <w:rsid w:val="00986A37"/>
    <w:rsid w:val="00986A7C"/>
    <w:rsid w:val="00986BBA"/>
    <w:rsid w:val="00986C23"/>
    <w:rsid w:val="00986C41"/>
    <w:rsid w:val="00986C42"/>
    <w:rsid w:val="00986CB4"/>
    <w:rsid w:val="00986D10"/>
    <w:rsid w:val="00986D3F"/>
    <w:rsid w:val="00986DE4"/>
    <w:rsid w:val="00986E21"/>
    <w:rsid w:val="00986E70"/>
    <w:rsid w:val="00986F04"/>
    <w:rsid w:val="00986FC5"/>
    <w:rsid w:val="00987140"/>
    <w:rsid w:val="00987189"/>
    <w:rsid w:val="009871E5"/>
    <w:rsid w:val="0098726A"/>
    <w:rsid w:val="00987279"/>
    <w:rsid w:val="00987302"/>
    <w:rsid w:val="00987341"/>
    <w:rsid w:val="0098747A"/>
    <w:rsid w:val="009874AA"/>
    <w:rsid w:val="00987629"/>
    <w:rsid w:val="00987639"/>
    <w:rsid w:val="0098764C"/>
    <w:rsid w:val="0098764F"/>
    <w:rsid w:val="00987678"/>
    <w:rsid w:val="009876DB"/>
    <w:rsid w:val="0098783C"/>
    <w:rsid w:val="0098787B"/>
    <w:rsid w:val="009878BB"/>
    <w:rsid w:val="009878FD"/>
    <w:rsid w:val="00987933"/>
    <w:rsid w:val="009879A9"/>
    <w:rsid w:val="009879E6"/>
    <w:rsid w:val="00987AD4"/>
    <w:rsid w:val="00987AD5"/>
    <w:rsid w:val="00987B65"/>
    <w:rsid w:val="00987C05"/>
    <w:rsid w:val="00987C59"/>
    <w:rsid w:val="00987C6D"/>
    <w:rsid w:val="00987CE1"/>
    <w:rsid w:val="00987D01"/>
    <w:rsid w:val="00987D09"/>
    <w:rsid w:val="00987D30"/>
    <w:rsid w:val="00987E23"/>
    <w:rsid w:val="00987E2E"/>
    <w:rsid w:val="00987E91"/>
    <w:rsid w:val="00987F5B"/>
    <w:rsid w:val="0099001A"/>
    <w:rsid w:val="009900C6"/>
    <w:rsid w:val="009901F7"/>
    <w:rsid w:val="00990234"/>
    <w:rsid w:val="0099028C"/>
    <w:rsid w:val="009902BF"/>
    <w:rsid w:val="009903EE"/>
    <w:rsid w:val="009903F6"/>
    <w:rsid w:val="00990438"/>
    <w:rsid w:val="009904A6"/>
    <w:rsid w:val="009904DE"/>
    <w:rsid w:val="009904E3"/>
    <w:rsid w:val="00990562"/>
    <w:rsid w:val="00990593"/>
    <w:rsid w:val="009905B6"/>
    <w:rsid w:val="009905E1"/>
    <w:rsid w:val="00990616"/>
    <w:rsid w:val="009906F3"/>
    <w:rsid w:val="00990743"/>
    <w:rsid w:val="0099074A"/>
    <w:rsid w:val="00990763"/>
    <w:rsid w:val="009907A7"/>
    <w:rsid w:val="0099087C"/>
    <w:rsid w:val="009908B9"/>
    <w:rsid w:val="00990A6D"/>
    <w:rsid w:val="00990A6E"/>
    <w:rsid w:val="00990AC0"/>
    <w:rsid w:val="00990B4A"/>
    <w:rsid w:val="00990B74"/>
    <w:rsid w:val="00990CA5"/>
    <w:rsid w:val="00990CE2"/>
    <w:rsid w:val="00990D57"/>
    <w:rsid w:val="00990E45"/>
    <w:rsid w:val="00990E76"/>
    <w:rsid w:val="00990E92"/>
    <w:rsid w:val="00990E96"/>
    <w:rsid w:val="00990EA9"/>
    <w:rsid w:val="009911E7"/>
    <w:rsid w:val="0099124C"/>
    <w:rsid w:val="0099126A"/>
    <w:rsid w:val="00991300"/>
    <w:rsid w:val="00991459"/>
    <w:rsid w:val="00991524"/>
    <w:rsid w:val="0099157C"/>
    <w:rsid w:val="009915AD"/>
    <w:rsid w:val="009915F9"/>
    <w:rsid w:val="0099160F"/>
    <w:rsid w:val="0099177D"/>
    <w:rsid w:val="00991793"/>
    <w:rsid w:val="00991892"/>
    <w:rsid w:val="009918A1"/>
    <w:rsid w:val="009918B3"/>
    <w:rsid w:val="009918C8"/>
    <w:rsid w:val="009918FB"/>
    <w:rsid w:val="0099198A"/>
    <w:rsid w:val="00991994"/>
    <w:rsid w:val="009919E2"/>
    <w:rsid w:val="009919F1"/>
    <w:rsid w:val="00991B05"/>
    <w:rsid w:val="00991B18"/>
    <w:rsid w:val="00991B43"/>
    <w:rsid w:val="00991BFA"/>
    <w:rsid w:val="00991C6E"/>
    <w:rsid w:val="00991CD7"/>
    <w:rsid w:val="00991D5E"/>
    <w:rsid w:val="00991D69"/>
    <w:rsid w:val="00991D6A"/>
    <w:rsid w:val="00991DE6"/>
    <w:rsid w:val="00991DFF"/>
    <w:rsid w:val="00991E46"/>
    <w:rsid w:val="00991E5F"/>
    <w:rsid w:val="00991EA9"/>
    <w:rsid w:val="00991F91"/>
    <w:rsid w:val="00991FE0"/>
    <w:rsid w:val="00991FFF"/>
    <w:rsid w:val="0099205E"/>
    <w:rsid w:val="00992078"/>
    <w:rsid w:val="009920A9"/>
    <w:rsid w:val="009920F6"/>
    <w:rsid w:val="009920FC"/>
    <w:rsid w:val="0099216C"/>
    <w:rsid w:val="0099221B"/>
    <w:rsid w:val="00992252"/>
    <w:rsid w:val="00992256"/>
    <w:rsid w:val="00992294"/>
    <w:rsid w:val="009922AB"/>
    <w:rsid w:val="009922F8"/>
    <w:rsid w:val="00992339"/>
    <w:rsid w:val="00992480"/>
    <w:rsid w:val="009924BA"/>
    <w:rsid w:val="00992551"/>
    <w:rsid w:val="00992669"/>
    <w:rsid w:val="009926EC"/>
    <w:rsid w:val="0099271C"/>
    <w:rsid w:val="00992780"/>
    <w:rsid w:val="009927A2"/>
    <w:rsid w:val="0099286F"/>
    <w:rsid w:val="00992990"/>
    <w:rsid w:val="00992B15"/>
    <w:rsid w:val="00992BB8"/>
    <w:rsid w:val="00992CA5"/>
    <w:rsid w:val="00992CB4"/>
    <w:rsid w:val="00992D88"/>
    <w:rsid w:val="00992D9F"/>
    <w:rsid w:val="00992DCE"/>
    <w:rsid w:val="00992DEA"/>
    <w:rsid w:val="00992DF4"/>
    <w:rsid w:val="00992E4F"/>
    <w:rsid w:val="00992F2B"/>
    <w:rsid w:val="00992F89"/>
    <w:rsid w:val="00992F96"/>
    <w:rsid w:val="0099303B"/>
    <w:rsid w:val="009930BC"/>
    <w:rsid w:val="009930EC"/>
    <w:rsid w:val="009930F3"/>
    <w:rsid w:val="0099318B"/>
    <w:rsid w:val="009931C4"/>
    <w:rsid w:val="009931D0"/>
    <w:rsid w:val="009932AC"/>
    <w:rsid w:val="009932C1"/>
    <w:rsid w:val="00993337"/>
    <w:rsid w:val="00993387"/>
    <w:rsid w:val="0099338F"/>
    <w:rsid w:val="009933A7"/>
    <w:rsid w:val="0099342B"/>
    <w:rsid w:val="009934C0"/>
    <w:rsid w:val="00993597"/>
    <w:rsid w:val="009935A8"/>
    <w:rsid w:val="00993679"/>
    <w:rsid w:val="009936FE"/>
    <w:rsid w:val="0099376A"/>
    <w:rsid w:val="00993775"/>
    <w:rsid w:val="009937AC"/>
    <w:rsid w:val="009937B5"/>
    <w:rsid w:val="009937BF"/>
    <w:rsid w:val="00993A06"/>
    <w:rsid w:val="00993A48"/>
    <w:rsid w:val="00993BC1"/>
    <w:rsid w:val="00993BE5"/>
    <w:rsid w:val="00993C0A"/>
    <w:rsid w:val="00993C55"/>
    <w:rsid w:val="00993CBF"/>
    <w:rsid w:val="00993D0A"/>
    <w:rsid w:val="00993D1B"/>
    <w:rsid w:val="00993D79"/>
    <w:rsid w:val="00993DFA"/>
    <w:rsid w:val="00993F24"/>
    <w:rsid w:val="00994024"/>
    <w:rsid w:val="0099402D"/>
    <w:rsid w:val="00994051"/>
    <w:rsid w:val="00994083"/>
    <w:rsid w:val="009940FB"/>
    <w:rsid w:val="00994153"/>
    <w:rsid w:val="009941AD"/>
    <w:rsid w:val="0099429C"/>
    <w:rsid w:val="009942B2"/>
    <w:rsid w:val="009942E2"/>
    <w:rsid w:val="00994349"/>
    <w:rsid w:val="00994429"/>
    <w:rsid w:val="00994499"/>
    <w:rsid w:val="009944D3"/>
    <w:rsid w:val="00994597"/>
    <w:rsid w:val="00994617"/>
    <w:rsid w:val="00994780"/>
    <w:rsid w:val="00994797"/>
    <w:rsid w:val="00994809"/>
    <w:rsid w:val="009948AC"/>
    <w:rsid w:val="00994932"/>
    <w:rsid w:val="00994974"/>
    <w:rsid w:val="00994A1C"/>
    <w:rsid w:val="00994AAD"/>
    <w:rsid w:val="00994ABA"/>
    <w:rsid w:val="00994D46"/>
    <w:rsid w:val="00994D5B"/>
    <w:rsid w:val="00994D9A"/>
    <w:rsid w:val="00994E19"/>
    <w:rsid w:val="00994EEA"/>
    <w:rsid w:val="00994F09"/>
    <w:rsid w:val="00994F77"/>
    <w:rsid w:val="00994FE1"/>
    <w:rsid w:val="00995001"/>
    <w:rsid w:val="0099503F"/>
    <w:rsid w:val="00995043"/>
    <w:rsid w:val="0099504E"/>
    <w:rsid w:val="00995077"/>
    <w:rsid w:val="00995115"/>
    <w:rsid w:val="009951AB"/>
    <w:rsid w:val="009951E2"/>
    <w:rsid w:val="00995243"/>
    <w:rsid w:val="00995273"/>
    <w:rsid w:val="009952F1"/>
    <w:rsid w:val="00995366"/>
    <w:rsid w:val="00995376"/>
    <w:rsid w:val="009953B7"/>
    <w:rsid w:val="009953F3"/>
    <w:rsid w:val="00995416"/>
    <w:rsid w:val="00995450"/>
    <w:rsid w:val="0099551B"/>
    <w:rsid w:val="00995702"/>
    <w:rsid w:val="009957EC"/>
    <w:rsid w:val="0099586B"/>
    <w:rsid w:val="009958AC"/>
    <w:rsid w:val="009958D8"/>
    <w:rsid w:val="009958DB"/>
    <w:rsid w:val="00995938"/>
    <w:rsid w:val="009959B0"/>
    <w:rsid w:val="009959F2"/>
    <w:rsid w:val="00995A7D"/>
    <w:rsid w:val="00995B2B"/>
    <w:rsid w:val="00995BBF"/>
    <w:rsid w:val="00995C03"/>
    <w:rsid w:val="00995C4D"/>
    <w:rsid w:val="00995CB6"/>
    <w:rsid w:val="00995D1B"/>
    <w:rsid w:val="00995D20"/>
    <w:rsid w:val="00995DC3"/>
    <w:rsid w:val="00995E4A"/>
    <w:rsid w:val="00995F98"/>
    <w:rsid w:val="00995FF6"/>
    <w:rsid w:val="0099605A"/>
    <w:rsid w:val="0099608E"/>
    <w:rsid w:val="0099612A"/>
    <w:rsid w:val="0099612E"/>
    <w:rsid w:val="00996197"/>
    <w:rsid w:val="0099619D"/>
    <w:rsid w:val="009961C6"/>
    <w:rsid w:val="009962DC"/>
    <w:rsid w:val="0099633C"/>
    <w:rsid w:val="009964A1"/>
    <w:rsid w:val="009964E9"/>
    <w:rsid w:val="00996517"/>
    <w:rsid w:val="009965D6"/>
    <w:rsid w:val="00996654"/>
    <w:rsid w:val="00996703"/>
    <w:rsid w:val="00996741"/>
    <w:rsid w:val="00996820"/>
    <w:rsid w:val="00996862"/>
    <w:rsid w:val="009968F4"/>
    <w:rsid w:val="00996964"/>
    <w:rsid w:val="0099696C"/>
    <w:rsid w:val="00996988"/>
    <w:rsid w:val="009969B1"/>
    <w:rsid w:val="009969B4"/>
    <w:rsid w:val="009969DE"/>
    <w:rsid w:val="00996A45"/>
    <w:rsid w:val="00996A70"/>
    <w:rsid w:val="00996AE1"/>
    <w:rsid w:val="00996AF0"/>
    <w:rsid w:val="00996B29"/>
    <w:rsid w:val="00996B61"/>
    <w:rsid w:val="00996C0B"/>
    <w:rsid w:val="00996C77"/>
    <w:rsid w:val="00996CEB"/>
    <w:rsid w:val="00996CF9"/>
    <w:rsid w:val="00996D32"/>
    <w:rsid w:val="00996EA7"/>
    <w:rsid w:val="00996EAA"/>
    <w:rsid w:val="00996EE8"/>
    <w:rsid w:val="00996FBB"/>
    <w:rsid w:val="009970EB"/>
    <w:rsid w:val="00997113"/>
    <w:rsid w:val="0099714C"/>
    <w:rsid w:val="00997158"/>
    <w:rsid w:val="0099724D"/>
    <w:rsid w:val="00997259"/>
    <w:rsid w:val="0099726A"/>
    <w:rsid w:val="00997292"/>
    <w:rsid w:val="009972DB"/>
    <w:rsid w:val="00997328"/>
    <w:rsid w:val="00997340"/>
    <w:rsid w:val="009973B8"/>
    <w:rsid w:val="00997441"/>
    <w:rsid w:val="00997461"/>
    <w:rsid w:val="00997479"/>
    <w:rsid w:val="0099751D"/>
    <w:rsid w:val="00997552"/>
    <w:rsid w:val="009975D7"/>
    <w:rsid w:val="00997632"/>
    <w:rsid w:val="00997709"/>
    <w:rsid w:val="0099773A"/>
    <w:rsid w:val="00997749"/>
    <w:rsid w:val="00997762"/>
    <w:rsid w:val="009977A4"/>
    <w:rsid w:val="0099799B"/>
    <w:rsid w:val="009979AA"/>
    <w:rsid w:val="009979EA"/>
    <w:rsid w:val="00997A08"/>
    <w:rsid w:val="00997BAB"/>
    <w:rsid w:val="00997C60"/>
    <w:rsid w:val="00997CE0"/>
    <w:rsid w:val="00997D37"/>
    <w:rsid w:val="00997DA0"/>
    <w:rsid w:val="00997DA3"/>
    <w:rsid w:val="00997DA6"/>
    <w:rsid w:val="00997F6E"/>
    <w:rsid w:val="00997F7E"/>
    <w:rsid w:val="009A0066"/>
    <w:rsid w:val="009A0074"/>
    <w:rsid w:val="009A00BB"/>
    <w:rsid w:val="009A013D"/>
    <w:rsid w:val="009A01C2"/>
    <w:rsid w:val="009A01D9"/>
    <w:rsid w:val="009A0240"/>
    <w:rsid w:val="009A03C7"/>
    <w:rsid w:val="009A03E3"/>
    <w:rsid w:val="009A03F2"/>
    <w:rsid w:val="009A048F"/>
    <w:rsid w:val="009A0517"/>
    <w:rsid w:val="009A05B1"/>
    <w:rsid w:val="009A05EB"/>
    <w:rsid w:val="009A075F"/>
    <w:rsid w:val="009A07B6"/>
    <w:rsid w:val="009A0806"/>
    <w:rsid w:val="009A080F"/>
    <w:rsid w:val="009A08DC"/>
    <w:rsid w:val="009A08F1"/>
    <w:rsid w:val="009A0A0D"/>
    <w:rsid w:val="009A0A2F"/>
    <w:rsid w:val="009A0A68"/>
    <w:rsid w:val="009A0BDE"/>
    <w:rsid w:val="009A0CB7"/>
    <w:rsid w:val="009A0DA6"/>
    <w:rsid w:val="009A0DA9"/>
    <w:rsid w:val="009A0DED"/>
    <w:rsid w:val="009A0E10"/>
    <w:rsid w:val="009A0E55"/>
    <w:rsid w:val="009A0E95"/>
    <w:rsid w:val="009A0EDF"/>
    <w:rsid w:val="009A0F23"/>
    <w:rsid w:val="009A0FB2"/>
    <w:rsid w:val="009A0FEC"/>
    <w:rsid w:val="009A1019"/>
    <w:rsid w:val="009A104A"/>
    <w:rsid w:val="009A105E"/>
    <w:rsid w:val="009A107C"/>
    <w:rsid w:val="009A10D6"/>
    <w:rsid w:val="009A1105"/>
    <w:rsid w:val="009A113F"/>
    <w:rsid w:val="009A117C"/>
    <w:rsid w:val="009A11A7"/>
    <w:rsid w:val="009A12B0"/>
    <w:rsid w:val="009A12C2"/>
    <w:rsid w:val="009A12E9"/>
    <w:rsid w:val="009A1316"/>
    <w:rsid w:val="009A135F"/>
    <w:rsid w:val="009A13A0"/>
    <w:rsid w:val="009A13A6"/>
    <w:rsid w:val="009A13FF"/>
    <w:rsid w:val="009A1456"/>
    <w:rsid w:val="009A14AE"/>
    <w:rsid w:val="009A1511"/>
    <w:rsid w:val="009A151C"/>
    <w:rsid w:val="009A15F1"/>
    <w:rsid w:val="009A1631"/>
    <w:rsid w:val="009A16BC"/>
    <w:rsid w:val="009A16E6"/>
    <w:rsid w:val="009A16F0"/>
    <w:rsid w:val="009A1726"/>
    <w:rsid w:val="009A1781"/>
    <w:rsid w:val="009A17AE"/>
    <w:rsid w:val="009A17F5"/>
    <w:rsid w:val="009A18AF"/>
    <w:rsid w:val="009A19E6"/>
    <w:rsid w:val="009A19F0"/>
    <w:rsid w:val="009A1A57"/>
    <w:rsid w:val="009A1A92"/>
    <w:rsid w:val="009A1B31"/>
    <w:rsid w:val="009A1B93"/>
    <w:rsid w:val="009A1C46"/>
    <w:rsid w:val="009A1C4E"/>
    <w:rsid w:val="009A1CA6"/>
    <w:rsid w:val="009A1CBE"/>
    <w:rsid w:val="009A1D52"/>
    <w:rsid w:val="009A1D55"/>
    <w:rsid w:val="009A1D79"/>
    <w:rsid w:val="009A1DC3"/>
    <w:rsid w:val="009A1DFE"/>
    <w:rsid w:val="009A1E7A"/>
    <w:rsid w:val="009A1EB0"/>
    <w:rsid w:val="009A1EEE"/>
    <w:rsid w:val="009A1F14"/>
    <w:rsid w:val="009A1F1D"/>
    <w:rsid w:val="009A1F3B"/>
    <w:rsid w:val="009A1FE6"/>
    <w:rsid w:val="009A20B6"/>
    <w:rsid w:val="009A2186"/>
    <w:rsid w:val="009A21C9"/>
    <w:rsid w:val="009A22C1"/>
    <w:rsid w:val="009A2316"/>
    <w:rsid w:val="009A23AA"/>
    <w:rsid w:val="009A2406"/>
    <w:rsid w:val="009A243B"/>
    <w:rsid w:val="009A2461"/>
    <w:rsid w:val="009A2470"/>
    <w:rsid w:val="009A24B2"/>
    <w:rsid w:val="009A24F0"/>
    <w:rsid w:val="009A2511"/>
    <w:rsid w:val="009A25D6"/>
    <w:rsid w:val="009A2786"/>
    <w:rsid w:val="009A2798"/>
    <w:rsid w:val="009A27A0"/>
    <w:rsid w:val="009A27D6"/>
    <w:rsid w:val="009A2819"/>
    <w:rsid w:val="009A2892"/>
    <w:rsid w:val="009A2B4E"/>
    <w:rsid w:val="009A2B79"/>
    <w:rsid w:val="009A2BFE"/>
    <w:rsid w:val="009A2C03"/>
    <w:rsid w:val="009A2D68"/>
    <w:rsid w:val="009A2D7B"/>
    <w:rsid w:val="009A2DD1"/>
    <w:rsid w:val="009A2FC3"/>
    <w:rsid w:val="009A3050"/>
    <w:rsid w:val="009A30FC"/>
    <w:rsid w:val="009A32E8"/>
    <w:rsid w:val="009A3311"/>
    <w:rsid w:val="009A337D"/>
    <w:rsid w:val="009A33AD"/>
    <w:rsid w:val="009A33AF"/>
    <w:rsid w:val="009A33D7"/>
    <w:rsid w:val="009A33E6"/>
    <w:rsid w:val="009A3407"/>
    <w:rsid w:val="009A3493"/>
    <w:rsid w:val="009A34A9"/>
    <w:rsid w:val="009A3513"/>
    <w:rsid w:val="009A3526"/>
    <w:rsid w:val="009A3589"/>
    <w:rsid w:val="009A3610"/>
    <w:rsid w:val="009A3612"/>
    <w:rsid w:val="009A36AD"/>
    <w:rsid w:val="009A370C"/>
    <w:rsid w:val="009A371C"/>
    <w:rsid w:val="009A3725"/>
    <w:rsid w:val="009A3824"/>
    <w:rsid w:val="009A394E"/>
    <w:rsid w:val="009A398F"/>
    <w:rsid w:val="009A39B1"/>
    <w:rsid w:val="009A39B2"/>
    <w:rsid w:val="009A39D2"/>
    <w:rsid w:val="009A3A8E"/>
    <w:rsid w:val="009A3BA0"/>
    <w:rsid w:val="009A3BDB"/>
    <w:rsid w:val="009A3CBB"/>
    <w:rsid w:val="009A3CCF"/>
    <w:rsid w:val="009A3D5F"/>
    <w:rsid w:val="009A3D78"/>
    <w:rsid w:val="009A3D7C"/>
    <w:rsid w:val="009A3E81"/>
    <w:rsid w:val="009A3ECE"/>
    <w:rsid w:val="009A3EE0"/>
    <w:rsid w:val="009A3F07"/>
    <w:rsid w:val="009A3F4B"/>
    <w:rsid w:val="009A401D"/>
    <w:rsid w:val="009A403F"/>
    <w:rsid w:val="009A4049"/>
    <w:rsid w:val="009A4090"/>
    <w:rsid w:val="009A4096"/>
    <w:rsid w:val="009A40AE"/>
    <w:rsid w:val="009A414F"/>
    <w:rsid w:val="009A4158"/>
    <w:rsid w:val="009A4177"/>
    <w:rsid w:val="009A42B5"/>
    <w:rsid w:val="009A4397"/>
    <w:rsid w:val="009A4398"/>
    <w:rsid w:val="009A43CA"/>
    <w:rsid w:val="009A44DB"/>
    <w:rsid w:val="009A45EB"/>
    <w:rsid w:val="009A45FE"/>
    <w:rsid w:val="009A4640"/>
    <w:rsid w:val="009A4675"/>
    <w:rsid w:val="009A4685"/>
    <w:rsid w:val="009A4698"/>
    <w:rsid w:val="009A46C2"/>
    <w:rsid w:val="009A470E"/>
    <w:rsid w:val="009A477B"/>
    <w:rsid w:val="009A47BE"/>
    <w:rsid w:val="009A48A7"/>
    <w:rsid w:val="009A4A60"/>
    <w:rsid w:val="009A4A7C"/>
    <w:rsid w:val="009A4A9E"/>
    <w:rsid w:val="009A4AB1"/>
    <w:rsid w:val="009A4B4C"/>
    <w:rsid w:val="009A4BAB"/>
    <w:rsid w:val="009A4CD4"/>
    <w:rsid w:val="009A4E27"/>
    <w:rsid w:val="009A4E53"/>
    <w:rsid w:val="009A4E80"/>
    <w:rsid w:val="009A4F54"/>
    <w:rsid w:val="009A4FDD"/>
    <w:rsid w:val="009A4FDE"/>
    <w:rsid w:val="009A503E"/>
    <w:rsid w:val="009A50A5"/>
    <w:rsid w:val="009A5210"/>
    <w:rsid w:val="009A52B6"/>
    <w:rsid w:val="009A52F1"/>
    <w:rsid w:val="009A53AF"/>
    <w:rsid w:val="009A53F0"/>
    <w:rsid w:val="009A5556"/>
    <w:rsid w:val="009A5569"/>
    <w:rsid w:val="009A5592"/>
    <w:rsid w:val="009A55BD"/>
    <w:rsid w:val="009A56DF"/>
    <w:rsid w:val="009A56EE"/>
    <w:rsid w:val="009A5700"/>
    <w:rsid w:val="009A572A"/>
    <w:rsid w:val="009A57C0"/>
    <w:rsid w:val="009A58EF"/>
    <w:rsid w:val="009A59CF"/>
    <w:rsid w:val="009A59D3"/>
    <w:rsid w:val="009A5A11"/>
    <w:rsid w:val="009A5A3C"/>
    <w:rsid w:val="009A5ACB"/>
    <w:rsid w:val="009A5B2A"/>
    <w:rsid w:val="009A5B8C"/>
    <w:rsid w:val="009A5BA3"/>
    <w:rsid w:val="009A5C50"/>
    <w:rsid w:val="009A5D0A"/>
    <w:rsid w:val="009A5DD6"/>
    <w:rsid w:val="009A5DF7"/>
    <w:rsid w:val="009A5F32"/>
    <w:rsid w:val="009A5F85"/>
    <w:rsid w:val="009A5FB7"/>
    <w:rsid w:val="009A606F"/>
    <w:rsid w:val="009A61BD"/>
    <w:rsid w:val="009A61F5"/>
    <w:rsid w:val="009A61FD"/>
    <w:rsid w:val="009A6259"/>
    <w:rsid w:val="009A6355"/>
    <w:rsid w:val="009A6435"/>
    <w:rsid w:val="009A6491"/>
    <w:rsid w:val="009A64F6"/>
    <w:rsid w:val="009A6586"/>
    <w:rsid w:val="009A65F4"/>
    <w:rsid w:val="009A6617"/>
    <w:rsid w:val="009A6679"/>
    <w:rsid w:val="009A66AC"/>
    <w:rsid w:val="009A6728"/>
    <w:rsid w:val="009A6794"/>
    <w:rsid w:val="009A6867"/>
    <w:rsid w:val="009A6891"/>
    <w:rsid w:val="009A6A06"/>
    <w:rsid w:val="009A6A98"/>
    <w:rsid w:val="009A6AA5"/>
    <w:rsid w:val="009A6B58"/>
    <w:rsid w:val="009A6CD9"/>
    <w:rsid w:val="009A6D20"/>
    <w:rsid w:val="009A6D9A"/>
    <w:rsid w:val="009A6DA1"/>
    <w:rsid w:val="009A6E2C"/>
    <w:rsid w:val="009A6EB0"/>
    <w:rsid w:val="009A6F46"/>
    <w:rsid w:val="009A6F6E"/>
    <w:rsid w:val="009A7008"/>
    <w:rsid w:val="009A7049"/>
    <w:rsid w:val="009A7051"/>
    <w:rsid w:val="009A7084"/>
    <w:rsid w:val="009A7171"/>
    <w:rsid w:val="009A7224"/>
    <w:rsid w:val="009A72DB"/>
    <w:rsid w:val="009A74A1"/>
    <w:rsid w:val="009A74FC"/>
    <w:rsid w:val="009A7548"/>
    <w:rsid w:val="009A75F0"/>
    <w:rsid w:val="009A7656"/>
    <w:rsid w:val="009A76CD"/>
    <w:rsid w:val="009A77E3"/>
    <w:rsid w:val="009A78E3"/>
    <w:rsid w:val="009A7936"/>
    <w:rsid w:val="009A7994"/>
    <w:rsid w:val="009A7AD0"/>
    <w:rsid w:val="009A7BCC"/>
    <w:rsid w:val="009A7BDB"/>
    <w:rsid w:val="009A7C01"/>
    <w:rsid w:val="009A7CF9"/>
    <w:rsid w:val="009A7D16"/>
    <w:rsid w:val="009A7DD1"/>
    <w:rsid w:val="009A7E2A"/>
    <w:rsid w:val="009A7EDB"/>
    <w:rsid w:val="009A7F46"/>
    <w:rsid w:val="009A7FA4"/>
    <w:rsid w:val="009B00FA"/>
    <w:rsid w:val="009B01CD"/>
    <w:rsid w:val="009B0217"/>
    <w:rsid w:val="009B024B"/>
    <w:rsid w:val="009B02CB"/>
    <w:rsid w:val="009B02FF"/>
    <w:rsid w:val="009B043A"/>
    <w:rsid w:val="009B044C"/>
    <w:rsid w:val="009B045F"/>
    <w:rsid w:val="009B0529"/>
    <w:rsid w:val="009B054B"/>
    <w:rsid w:val="009B05F4"/>
    <w:rsid w:val="009B065D"/>
    <w:rsid w:val="009B0719"/>
    <w:rsid w:val="009B072B"/>
    <w:rsid w:val="009B0736"/>
    <w:rsid w:val="009B0752"/>
    <w:rsid w:val="009B07A7"/>
    <w:rsid w:val="009B0868"/>
    <w:rsid w:val="009B0882"/>
    <w:rsid w:val="009B089D"/>
    <w:rsid w:val="009B0954"/>
    <w:rsid w:val="009B0AB5"/>
    <w:rsid w:val="009B0AD7"/>
    <w:rsid w:val="009B0B25"/>
    <w:rsid w:val="009B0BF1"/>
    <w:rsid w:val="009B0C67"/>
    <w:rsid w:val="009B0CCF"/>
    <w:rsid w:val="009B0CE4"/>
    <w:rsid w:val="009B0CFD"/>
    <w:rsid w:val="009B0DE3"/>
    <w:rsid w:val="009B0E89"/>
    <w:rsid w:val="009B0F21"/>
    <w:rsid w:val="009B0F50"/>
    <w:rsid w:val="009B10C3"/>
    <w:rsid w:val="009B10DF"/>
    <w:rsid w:val="009B10EF"/>
    <w:rsid w:val="009B115A"/>
    <w:rsid w:val="009B143A"/>
    <w:rsid w:val="009B153C"/>
    <w:rsid w:val="009B155D"/>
    <w:rsid w:val="009B1648"/>
    <w:rsid w:val="009B169E"/>
    <w:rsid w:val="009B1713"/>
    <w:rsid w:val="009B173F"/>
    <w:rsid w:val="009B1770"/>
    <w:rsid w:val="009B178E"/>
    <w:rsid w:val="009B1863"/>
    <w:rsid w:val="009B18B8"/>
    <w:rsid w:val="009B18DD"/>
    <w:rsid w:val="009B194B"/>
    <w:rsid w:val="009B1981"/>
    <w:rsid w:val="009B1A21"/>
    <w:rsid w:val="009B1A26"/>
    <w:rsid w:val="009B1A6F"/>
    <w:rsid w:val="009B1B15"/>
    <w:rsid w:val="009B1B3E"/>
    <w:rsid w:val="009B1BF4"/>
    <w:rsid w:val="009B1C36"/>
    <w:rsid w:val="009B1CCA"/>
    <w:rsid w:val="009B1CCC"/>
    <w:rsid w:val="009B1DCB"/>
    <w:rsid w:val="009B1E7C"/>
    <w:rsid w:val="009B1E8E"/>
    <w:rsid w:val="009B1EA4"/>
    <w:rsid w:val="009B1F15"/>
    <w:rsid w:val="009B1F38"/>
    <w:rsid w:val="009B1F74"/>
    <w:rsid w:val="009B1FE7"/>
    <w:rsid w:val="009B2080"/>
    <w:rsid w:val="009B22C3"/>
    <w:rsid w:val="009B232C"/>
    <w:rsid w:val="009B2404"/>
    <w:rsid w:val="009B24D7"/>
    <w:rsid w:val="009B2648"/>
    <w:rsid w:val="009B2689"/>
    <w:rsid w:val="009B269E"/>
    <w:rsid w:val="009B2733"/>
    <w:rsid w:val="009B27B7"/>
    <w:rsid w:val="009B27DB"/>
    <w:rsid w:val="009B2882"/>
    <w:rsid w:val="009B2908"/>
    <w:rsid w:val="009B291A"/>
    <w:rsid w:val="009B2961"/>
    <w:rsid w:val="009B2970"/>
    <w:rsid w:val="009B29A0"/>
    <w:rsid w:val="009B2A99"/>
    <w:rsid w:val="009B2C5A"/>
    <w:rsid w:val="009B2C5E"/>
    <w:rsid w:val="009B2C6D"/>
    <w:rsid w:val="009B2CBA"/>
    <w:rsid w:val="009B2D80"/>
    <w:rsid w:val="009B2DE1"/>
    <w:rsid w:val="009B2DFD"/>
    <w:rsid w:val="009B2F0F"/>
    <w:rsid w:val="009B2F31"/>
    <w:rsid w:val="009B2F33"/>
    <w:rsid w:val="009B2FAC"/>
    <w:rsid w:val="009B2FE1"/>
    <w:rsid w:val="009B302C"/>
    <w:rsid w:val="009B30F4"/>
    <w:rsid w:val="009B30FC"/>
    <w:rsid w:val="009B3153"/>
    <w:rsid w:val="009B319D"/>
    <w:rsid w:val="009B31E8"/>
    <w:rsid w:val="009B31FE"/>
    <w:rsid w:val="009B330D"/>
    <w:rsid w:val="009B334C"/>
    <w:rsid w:val="009B33DD"/>
    <w:rsid w:val="009B33ED"/>
    <w:rsid w:val="009B33F8"/>
    <w:rsid w:val="009B3444"/>
    <w:rsid w:val="009B349A"/>
    <w:rsid w:val="009B34C6"/>
    <w:rsid w:val="009B3500"/>
    <w:rsid w:val="009B3535"/>
    <w:rsid w:val="009B3602"/>
    <w:rsid w:val="009B365F"/>
    <w:rsid w:val="009B36D0"/>
    <w:rsid w:val="009B38BB"/>
    <w:rsid w:val="009B38F6"/>
    <w:rsid w:val="009B38F7"/>
    <w:rsid w:val="009B3935"/>
    <w:rsid w:val="009B394D"/>
    <w:rsid w:val="009B39BF"/>
    <w:rsid w:val="009B3A15"/>
    <w:rsid w:val="009B3A89"/>
    <w:rsid w:val="009B3AD0"/>
    <w:rsid w:val="009B3AD3"/>
    <w:rsid w:val="009B3B09"/>
    <w:rsid w:val="009B3B13"/>
    <w:rsid w:val="009B3B25"/>
    <w:rsid w:val="009B3B40"/>
    <w:rsid w:val="009B3BFB"/>
    <w:rsid w:val="009B3CDB"/>
    <w:rsid w:val="009B3E21"/>
    <w:rsid w:val="009B3ED9"/>
    <w:rsid w:val="009B3F26"/>
    <w:rsid w:val="009B3F92"/>
    <w:rsid w:val="009B40ED"/>
    <w:rsid w:val="009B4106"/>
    <w:rsid w:val="009B411D"/>
    <w:rsid w:val="009B4218"/>
    <w:rsid w:val="009B426A"/>
    <w:rsid w:val="009B4314"/>
    <w:rsid w:val="009B4331"/>
    <w:rsid w:val="009B43B6"/>
    <w:rsid w:val="009B4499"/>
    <w:rsid w:val="009B454B"/>
    <w:rsid w:val="009B4597"/>
    <w:rsid w:val="009B4655"/>
    <w:rsid w:val="009B4656"/>
    <w:rsid w:val="009B4657"/>
    <w:rsid w:val="009B4666"/>
    <w:rsid w:val="009B476B"/>
    <w:rsid w:val="009B4889"/>
    <w:rsid w:val="009B48DD"/>
    <w:rsid w:val="009B4936"/>
    <w:rsid w:val="009B49BA"/>
    <w:rsid w:val="009B49E5"/>
    <w:rsid w:val="009B4A20"/>
    <w:rsid w:val="009B4A5E"/>
    <w:rsid w:val="009B4ABA"/>
    <w:rsid w:val="009B4AFB"/>
    <w:rsid w:val="009B4BA8"/>
    <w:rsid w:val="009B4BCC"/>
    <w:rsid w:val="009B4C41"/>
    <w:rsid w:val="009B4C46"/>
    <w:rsid w:val="009B4C9F"/>
    <w:rsid w:val="009B4CBB"/>
    <w:rsid w:val="009B4CD4"/>
    <w:rsid w:val="009B4CD7"/>
    <w:rsid w:val="009B4D5F"/>
    <w:rsid w:val="009B4D77"/>
    <w:rsid w:val="009B4EF9"/>
    <w:rsid w:val="009B4FC1"/>
    <w:rsid w:val="009B5029"/>
    <w:rsid w:val="009B50DC"/>
    <w:rsid w:val="009B50E0"/>
    <w:rsid w:val="009B512E"/>
    <w:rsid w:val="009B523A"/>
    <w:rsid w:val="009B5259"/>
    <w:rsid w:val="009B5274"/>
    <w:rsid w:val="009B527B"/>
    <w:rsid w:val="009B52A8"/>
    <w:rsid w:val="009B5360"/>
    <w:rsid w:val="009B53E4"/>
    <w:rsid w:val="009B5416"/>
    <w:rsid w:val="009B5446"/>
    <w:rsid w:val="009B549C"/>
    <w:rsid w:val="009B552B"/>
    <w:rsid w:val="009B55BB"/>
    <w:rsid w:val="009B55E7"/>
    <w:rsid w:val="009B567E"/>
    <w:rsid w:val="009B567F"/>
    <w:rsid w:val="009B5739"/>
    <w:rsid w:val="009B578F"/>
    <w:rsid w:val="009B57AB"/>
    <w:rsid w:val="009B58D3"/>
    <w:rsid w:val="009B58E9"/>
    <w:rsid w:val="009B59CF"/>
    <w:rsid w:val="009B5A03"/>
    <w:rsid w:val="009B5A2E"/>
    <w:rsid w:val="009B5A61"/>
    <w:rsid w:val="009B5A66"/>
    <w:rsid w:val="009B5ABD"/>
    <w:rsid w:val="009B5AFA"/>
    <w:rsid w:val="009B5B25"/>
    <w:rsid w:val="009B5B36"/>
    <w:rsid w:val="009B5E2C"/>
    <w:rsid w:val="009B5E30"/>
    <w:rsid w:val="009B5E35"/>
    <w:rsid w:val="009B5E3E"/>
    <w:rsid w:val="009B5EC8"/>
    <w:rsid w:val="009B5EDC"/>
    <w:rsid w:val="009B5F03"/>
    <w:rsid w:val="009B5F66"/>
    <w:rsid w:val="009B607C"/>
    <w:rsid w:val="009B614A"/>
    <w:rsid w:val="009B62B9"/>
    <w:rsid w:val="009B639D"/>
    <w:rsid w:val="009B6439"/>
    <w:rsid w:val="009B6445"/>
    <w:rsid w:val="009B645E"/>
    <w:rsid w:val="009B648F"/>
    <w:rsid w:val="009B657D"/>
    <w:rsid w:val="009B6602"/>
    <w:rsid w:val="009B663D"/>
    <w:rsid w:val="009B665D"/>
    <w:rsid w:val="009B66AD"/>
    <w:rsid w:val="009B6709"/>
    <w:rsid w:val="009B67A3"/>
    <w:rsid w:val="009B6830"/>
    <w:rsid w:val="009B6899"/>
    <w:rsid w:val="009B689D"/>
    <w:rsid w:val="009B6931"/>
    <w:rsid w:val="009B69C9"/>
    <w:rsid w:val="009B6B50"/>
    <w:rsid w:val="009B6BC5"/>
    <w:rsid w:val="009B6D62"/>
    <w:rsid w:val="009B6E14"/>
    <w:rsid w:val="009B6EE0"/>
    <w:rsid w:val="009B7093"/>
    <w:rsid w:val="009B70B3"/>
    <w:rsid w:val="009B70C6"/>
    <w:rsid w:val="009B7113"/>
    <w:rsid w:val="009B7170"/>
    <w:rsid w:val="009B7185"/>
    <w:rsid w:val="009B7214"/>
    <w:rsid w:val="009B72CA"/>
    <w:rsid w:val="009B7340"/>
    <w:rsid w:val="009B7413"/>
    <w:rsid w:val="009B747C"/>
    <w:rsid w:val="009B7530"/>
    <w:rsid w:val="009B7534"/>
    <w:rsid w:val="009B7784"/>
    <w:rsid w:val="009B77DB"/>
    <w:rsid w:val="009B78F3"/>
    <w:rsid w:val="009B7910"/>
    <w:rsid w:val="009B796B"/>
    <w:rsid w:val="009B797F"/>
    <w:rsid w:val="009B79E2"/>
    <w:rsid w:val="009B7ACA"/>
    <w:rsid w:val="009B7B2E"/>
    <w:rsid w:val="009B7B7E"/>
    <w:rsid w:val="009B7BFB"/>
    <w:rsid w:val="009B7C2B"/>
    <w:rsid w:val="009B7C76"/>
    <w:rsid w:val="009B7F33"/>
    <w:rsid w:val="009B7F54"/>
    <w:rsid w:val="009B7F8D"/>
    <w:rsid w:val="009B7F96"/>
    <w:rsid w:val="009C004B"/>
    <w:rsid w:val="009C008D"/>
    <w:rsid w:val="009C0195"/>
    <w:rsid w:val="009C01BA"/>
    <w:rsid w:val="009C01EE"/>
    <w:rsid w:val="009C0219"/>
    <w:rsid w:val="009C0260"/>
    <w:rsid w:val="009C0272"/>
    <w:rsid w:val="009C02E5"/>
    <w:rsid w:val="009C02E9"/>
    <w:rsid w:val="009C0319"/>
    <w:rsid w:val="009C0392"/>
    <w:rsid w:val="009C0400"/>
    <w:rsid w:val="009C051B"/>
    <w:rsid w:val="009C0574"/>
    <w:rsid w:val="009C05EE"/>
    <w:rsid w:val="009C0632"/>
    <w:rsid w:val="009C06A7"/>
    <w:rsid w:val="009C06BF"/>
    <w:rsid w:val="009C0731"/>
    <w:rsid w:val="009C0799"/>
    <w:rsid w:val="009C079F"/>
    <w:rsid w:val="009C07FE"/>
    <w:rsid w:val="009C0871"/>
    <w:rsid w:val="009C087D"/>
    <w:rsid w:val="009C092D"/>
    <w:rsid w:val="009C09C7"/>
    <w:rsid w:val="009C0A1F"/>
    <w:rsid w:val="009C0BE9"/>
    <w:rsid w:val="009C0C3C"/>
    <w:rsid w:val="009C0CBA"/>
    <w:rsid w:val="009C0CE5"/>
    <w:rsid w:val="009C0D75"/>
    <w:rsid w:val="009C0E4A"/>
    <w:rsid w:val="009C0EEE"/>
    <w:rsid w:val="009C0FCD"/>
    <w:rsid w:val="009C0FD5"/>
    <w:rsid w:val="009C1111"/>
    <w:rsid w:val="009C114C"/>
    <w:rsid w:val="009C117D"/>
    <w:rsid w:val="009C128B"/>
    <w:rsid w:val="009C12B4"/>
    <w:rsid w:val="009C1320"/>
    <w:rsid w:val="009C1353"/>
    <w:rsid w:val="009C137C"/>
    <w:rsid w:val="009C13AB"/>
    <w:rsid w:val="009C141F"/>
    <w:rsid w:val="009C1467"/>
    <w:rsid w:val="009C14BC"/>
    <w:rsid w:val="009C1548"/>
    <w:rsid w:val="009C16C2"/>
    <w:rsid w:val="009C16FE"/>
    <w:rsid w:val="009C174B"/>
    <w:rsid w:val="009C1846"/>
    <w:rsid w:val="009C186D"/>
    <w:rsid w:val="009C187E"/>
    <w:rsid w:val="009C18A3"/>
    <w:rsid w:val="009C18C6"/>
    <w:rsid w:val="009C18D3"/>
    <w:rsid w:val="009C1956"/>
    <w:rsid w:val="009C1974"/>
    <w:rsid w:val="009C1995"/>
    <w:rsid w:val="009C1A74"/>
    <w:rsid w:val="009C1B0E"/>
    <w:rsid w:val="009C1B5C"/>
    <w:rsid w:val="009C1BAD"/>
    <w:rsid w:val="009C1C0C"/>
    <w:rsid w:val="009C1C17"/>
    <w:rsid w:val="009C1C1C"/>
    <w:rsid w:val="009C1CF8"/>
    <w:rsid w:val="009C1DD4"/>
    <w:rsid w:val="009C1E3A"/>
    <w:rsid w:val="009C1E4D"/>
    <w:rsid w:val="009C1E58"/>
    <w:rsid w:val="009C1F70"/>
    <w:rsid w:val="009C2015"/>
    <w:rsid w:val="009C208B"/>
    <w:rsid w:val="009C20A3"/>
    <w:rsid w:val="009C2120"/>
    <w:rsid w:val="009C21BF"/>
    <w:rsid w:val="009C21C1"/>
    <w:rsid w:val="009C21D1"/>
    <w:rsid w:val="009C21E4"/>
    <w:rsid w:val="009C2214"/>
    <w:rsid w:val="009C2296"/>
    <w:rsid w:val="009C229F"/>
    <w:rsid w:val="009C22D0"/>
    <w:rsid w:val="009C230E"/>
    <w:rsid w:val="009C2386"/>
    <w:rsid w:val="009C23D2"/>
    <w:rsid w:val="009C23D7"/>
    <w:rsid w:val="009C241A"/>
    <w:rsid w:val="009C253F"/>
    <w:rsid w:val="009C2613"/>
    <w:rsid w:val="009C26A9"/>
    <w:rsid w:val="009C26BD"/>
    <w:rsid w:val="009C2705"/>
    <w:rsid w:val="009C2746"/>
    <w:rsid w:val="009C283C"/>
    <w:rsid w:val="009C2877"/>
    <w:rsid w:val="009C289F"/>
    <w:rsid w:val="009C2919"/>
    <w:rsid w:val="009C2A4C"/>
    <w:rsid w:val="009C2B86"/>
    <w:rsid w:val="009C2C0F"/>
    <w:rsid w:val="009C2C94"/>
    <w:rsid w:val="009C2CB7"/>
    <w:rsid w:val="009C2CC8"/>
    <w:rsid w:val="009C2D0D"/>
    <w:rsid w:val="009C2DA4"/>
    <w:rsid w:val="009C2DDC"/>
    <w:rsid w:val="009C2DEC"/>
    <w:rsid w:val="009C2E1A"/>
    <w:rsid w:val="009C2E30"/>
    <w:rsid w:val="009C2E5D"/>
    <w:rsid w:val="009C2EDF"/>
    <w:rsid w:val="009C2EE7"/>
    <w:rsid w:val="009C2F7E"/>
    <w:rsid w:val="009C2FBF"/>
    <w:rsid w:val="009C2FF1"/>
    <w:rsid w:val="009C3003"/>
    <w:rsid w:val="009C3054"/>
    <w:rsid w:val="009C30C9"/>
    <w:rsid w:val="009C311C"/>
    <w:rsid w:val="009C314D"/>
    <w:rsid w:val="009C3192"/>
    <w:rsid w:val="009C31B8"/>
    <w:rsid w:val="009C31D6"/>
    <w:rsid w:val="009C3257"/>
    <w:rsid w:val="009C32D8"/>
    <w:rsid w:val="009C334A"/>
    <w:rsid w:val="009C33D1"/>
    <w:rsid w:val="009C33FC"/>
    <w:rsid w:val="009C3459"/>
    <w:rsid w:val="009C3463"/>
    <w:rsid w:val="009C347B"/>
    <w:rsid w:val="009C3486"/>
    <w:rsid w:val="009C3669"/>
    <w:rsid w:val="009C378F"/>
    <w:rsid w:val="009C37D0"/>
    <w:rsid w:val="009C386C"/>
    <w:rsid w:val="009C38A4"/>
    <w:rsid w:val="009C39AD"/>
    <w:rsid w:val="009C39B3"/>
    <w:rsid w:val="009C3A33"/>
    <w:rsid w:val="009C3A9D"/>
    <w:rsid w:val="009C3C7C"/>
    <w:rsid w:val="009C3CD4"/>
    <w:rsid w:val="009C3D1D"/>
    <w:rsid w:val="009C3EB2"/>
    <w:rsid w:val="009C3EC2"/>
    <w:rsid w:val="009C3EEA"/>
    <w:rsid w:val="009C3F15"/>
    <w:rsid w:val="009C3FAD"/>
    <w:rsid w:val="009C400B"/>
    <w:rsid w:val="009C4025"/>
    <w:rsid w:val="009C405D"/>
    <w:rsid w:val="009C40E7"/>
    <w:rsid w:val="009C4105"/>
    <w:rsid w:val="009C41FC"/>
    <w:rsid w:val="009C423D"/>
    <w:rsid w:val="009C42F1"/>
    <w:rsid w:val="009C4411"/>
    <w:rsid w:val="009C441B"/>
    <w:rsid w:val="009C4453"/>
    <w:rsid w:val="009C44A1"/>
    <w:rsid w:val="009C46D5"/>
    <w:rsid w:val="009C475B"/>
    <w:rsid w:val="009C47C1"/>
    <w:rsid w:val="009C47EC"/>
    <w:rsid w:val="009C47F2"/>
    <w:rsid w:val="009C481D"/>
    <w:rsid w:val="009C487A"/>
    <w:rsid w:val="009C491F"/>
    <w:rsid w:val="009C4950"/>
    <w:rsid w:val="009C4975"/>
    <w:rsid w:val="009C4984"/>
    <w:rsid w:val="009C4B27"/>
    <w:rsid w:val="009C4B69"/>
    <w:rsid w:val="009C4B95"/>
    <w:rsid w:val="009C4C4D"/>
    <w:rsid w:val="009C4D1C"/>
    <w:rsid w:val="009C4D2C"/>
    <w:rsid w:val="009C4D4A"/>
    <w:rsid w:val="009C4F24"/>
    <w:rsid w:val="009C4F65"/>
    <w:rsid w:val="009C4FDB"/>
    <w:rsid w:val="009C4FF1"/>
    <w:rsid w:val="009C5014"/>
    <w:rsid w:val="009C5048"/>
    <w:rsid w:val="009C5056"/>
    <w:rsid w:val="009C50B3"/>
    <w:rsid w:val="009C5148"/>
    <w:rsid w:val="009C51C7"/>
    <w:rsid w:val="009C524C"/>
    <w:rsid w:val="009C529A"/>
    <w:rsid w:val="009C5375"/>
    <w:rsid w:val="009C53F3"/>
    <w:rsid w:val="009C5441"/>
    <w:rsid w:val="009C54D3"/>
    <w:rsid w:val="009C550D"/>
    <w:rsid w:val="009C557D"/>
    <w:rsid w:val="009C55A2"/>
    <w:rsid w:val="009C5651"/>
    <w:rsid w:val="009C568F"/>
    <w:rsid w:val="009C56A1"/>
    <w:rsid w:val="009C56BF"/>
    <w:rsid w:val="009C5711"/>
    <w:rsid w:val="009C5792"/>
    <w:rsid w:val="009C57A9"/>
    <w:rsid w:val="009C57CB"/>
    <w:rsid w:val="009C582E"/>
    <w:rsid w:val="009C5843"/>
    <w:rsid w:val="009C589F"/>
    <w:rsid w:val="009C58A3"/>
    <w:rsid w:val="009C595C"/>
    <w:rsid w:val="009C596D"/>
    <w:rsid w:val="009C599E"/>
    <w:rsid w:val="009C5A8D"/>
    <w:rsid w:val="009C5BB4"/>
    <w:rsid w:val="009C5BB9"/>
    <w:rsid w:val="009C5C64"/>
    <w:rsid w:val="009C5D0E"/>
    <w:rsid w:val="009C5D0F"/>
    <w:rsid w:val="009C5DA3"/>
    <w:rsid w:val="009C5DAE"/>
    <w:rsid w:val="009C5DBA"/>
    <w:rsid w:val="009C5E61"/>
    <w:rsid w:val="009C5F68"/>
    <w:rsid w:val="009C6037"/>
    <w:rsid w:val="009C60A1"/>
    <w:rsid w:val="009C60B2"/>
    <w:rsid w:val="009C60FC"/>
    <w:rsid w:val="009C6269"/>
    <w:rsid w:val="009C62B0"/>
    <w:rsid w:val="009C633C"/>
    <w:rsid w:val="009C633D"/>
    <w:rsid w:val="009C6362"/>
    <w:rsid w:val="009C6399"/>
    <w:rsid w:val="009C63FD"/>
    <w:rsid w:val="009C64EE"/>
    <w:rsid w:val="009C6526"/>
    <w:rsid w:val="009C6534"/>
    <w:rsid w:val="009C6561"/>
    <w:rsid w:val="009C6687"/>
    <w:rsid w:val="009C66C1"/>
    <w:rsid w:val="009C674F"/>
    <w:rsid w:val="009C6769"/>
    <w:rsid w:val="009C677C"/>
    <w:rsid w:val="009C67AC"/>
    <w:rsid w:val="009C68C1"/>
    <w:rsid w:val="009C68D3"/>
    <w:rsid w:val="009C6956"/>
    <w:rsid w:val="009C69CF"/>
    <w:rsid w:val="009C6AE3"/>
    <w:rsid w:val="009C6AF7"/>
    <w:rsid w:val="009C6B66"/>
    <w:rsid w:val="009C6BB2"/>
    <w:rsid w:val="009C6BE0"/>
    <w:rsid w:val="009C6E0F"/>
    <w:rsid w:val="009C6ECF"/>
    <w:rsid w:val="009C6FAC"/>
    <w:rsid w:val="009C7047"/>
    <w:rsid w:val="009C71AF"/>
    <w:rsid w:val="009C71B5"/>
    <w:rsid w:val="009C71E7"/>
    <w:rsid w:val="009C724F"/>
    <w:rsid w:val="009C72AE"/>
    <w:rsid w:val="009C72ED"/>
    <w:rsid w:val="009C7302"/>
    <w:rsid w:val="009C7374"/>
    <w:rsid w:val="009C73C0"/>
    <w:rsid w:val="009C7401"/>
    <w:rsid w:val="009C746D"/>
    <w:rsid w:val="009C7534"/>
    <w:rsid w:val="009C7536"/>
    <w:rsid w:val="009C7550"/>
    <w:rsid w:val="009C75B4"/>
    <w:rsid w:val="009C75B6"/>
    <w:rsid w:val="009C75CF"/>
    <w:rsid w:val="009C75F6"/>
    <w:rsid w:val="009C7753"/>
    <w:rsid w:val="009C7788"/>
    <w:rsid w:val="009C77F5"/>
    <w:rsid w:val="009C7805"/>
    <w:rsid w:val="009C7887"/>
    <w:rsid w:val="009C78C7"/>
    <w:rsid w:val="009C79AD"/>
    <w:rsid w:val="009C79CE"/>
    <w:rsid w:val="009C7A0E"/>
    <w:rsid w:val="009C7A40"/>
    <w:rsid w:val="009C7A55"/>
    <w:rsid w:val="009C7A5C"/>
    <w:rsid w:val="009C7AC3"/>
    <w:rsid w:val="009C7BD1"/>
    <w:rsid w:val="009C7C59"/>
    <w:rsid w:val="009C7C5B"/>
    <w:rsid w:val="009C7C92"/>
    <w:rsid w:val="009C7CBA"/>
    <w:rsid w:val="009C7CD1"/>
    <w:rsid w:val="009D009F"/>
    <w:rsid w:val="009D014F"/>
    <w:rsid w:val="009D0222"/>
    <w:rsid w:val="009D0342"/>
    <w:rsid w:val="009D03E0"/>
    <w:rsid w:val="009D050D"/>
    <w:rsid w:val="009D053A"/>
    <w:rsid w:val="009D068C"/>
    <w:rsid w:val="009D06C9"/>
    <w:rsid w:val="009D077F"/>
    <w:rsid w:val="009D07B9"/>
    <w:rsid w:val="009D0902"/>
    <w:rsid w:val="009D09D3"/>
    <w:rsid w:val="009D09EB"/>
    <w:rsid w:val="009D0A06"/>
    <w:rsid w:val="009D0B23"/>
    <w:rsid w:val="009D0B30"/>
    <w:rsid w:val="009D0B41"/>
    <w:rsid w:val="009D0BA2"/>
    <w:rsid w:val="009D0BC5"/>
    <w:rsid w:val="009D0D0C"/>
    <w:rsid w:val="009D0D2E"/>
    <w:rsid w:val="009D0DC6"/>
    <w:rsid w:val="009D0E26"/>
    <w:rsid w:val="009D0EA1"/>
    <w:rsid w:val="009D0F48"/>
    <w:rsid w:val="009D0F6C"/>
    <w:rsid w:val="009D1048"/>
    <w:rsid w:val="009D10A4"/>
    <w:rsid w:val="009D1144"/>
    <w:rsid w:val="009D11EE"/>
    <w:rsid w:val="009D11FB"/>
    <w:rsid w:val="009D12DA"/>
    <w:rsid w:val="009D132D"/>
    <w:rsid w:val="009D13F4"/>
    <w:rsid w:val="009D1447"/>
    <w:rsid w:val="009D146B"/>
    <w:rsid w:val="009D14E5"/>
    <w:rsid w:val="009D154F"/>
    <w:rsid w:val="009D1554"/>
    <w:rsid w:val="009D1581"/>
    <w:rsid w:val="009D164F"/>
    <w:rsid w:val="009D1681"/>
    <w:rsid w:val="009D1721"/>
    <w:rsid w:val="009D1771"/>
    <w:rsid w:val="009D17ED"/>
    <w:rsid w:val="009D1804"/>
    <w:rsid w:val="009D186C"/>
    <w:rsid w:val="009D1889"/>
    <w:rsid w:val="009D1890"/>
    <w:rsid w:val="009D1A71"/>
    <w:rsid w:val="009D1B23"/>
    <w:rsid w:val="009D1B37"/>
    <w:rsid w:val="009D1B57"/>
    <w:rsid w:val="009D1C3A"/>
    <w:rsid w:val="009D1C45"/>
    <w:rsid w:val="009D1C70"/>
    <w:rsid w:val="009D1D22"/>
    <w:rsid w:val="009D1D56"/>
    <w:rsid w:val="009D1E09"/>
    <w:rsid w:val="009D1E35"/>
    <w:rsid w:val="009D1E65"/>
    <w:rsid w:val="009D202D"/>
    <w:rsid w:val="009D202E"/>
    <w:rsid w:val="009D20A8"/>
    <w:rsid w:val="009D20E1"/>
    <w:rsid w:val="009D2107"/>
    <w:rsid w:val="009D2129"/>
    <w:rsid w:val="009D218C"/>
    <w:rsid w:val="009D21D6"/>
    <w:rsid w:val="009D2271"/>
    <w:rsid w:val="009D237F"/>
    <w:rsid w:val="009D2396"/>
    <w:rsid w:val="009D23A5"/>
    <w:rsid w:val="009D23EC"/>
    <w:rsid w:val="009D2406"/>
    <w:rsid w:val="009D2410"/>
    <w:rsid w:val="009D24A9"/>
    <w:rsid w:val="009D2524"/>
    <w:rsid w:val="009D2558"/>
    <w:rsid w:val="009D260C"/>
    <w:rsid w:val="009D26C6"/>
    <w:rsid w:val="009D26CB"/>
    <w:rsid w:val="009D2717"/>
    <w:rsid w:val="009D28BF"/>
    <w:rsid w:val="009D292D"/>
    <w:rsid w:val="009D2A01"/>
    <w:rsid w:val="009D2A49"/>
    <w:rsid w:val="009D2B03"/>
    <w:rsid w:val="009D2B18"/>
    <w:rsid w:val="009D2B66"/>
    <w:rsid w:val="009D2B80"/>
    <w:rsid w:val="009D2C25"/>
    <w:rsid w:val="009D2CB7"/>
    <w:rsid w:val="009D2CF3"/>
    <w:rsid w:val="009D2D84"/>
    <w:rsid w:val="009D2DDF"/>
    <w:rsid w:val="009D2F47"/>
    <w:rsid w:val="009D2F4C"/>
    <w:rsid w:val="009D3079"/>
    <w:rsid w:val="009D318A"/>
    <w:rsid w:val="009D31B9"/>
    <w:rsid w:val="009D31F1"/>
    <w:rsid w:val="009D31F7"/>
    <w:rsid w:val="009D323A"/>
    <w:rsid w:val="009D3247"/>
    <w:rsid w:val="009D3261"/>
    <w:rsid w:val="009D3267"/>
    <w:rsid w:val="009D333A"/>
    <w:rsid w:val="009D33DF"/>
    <w:rsid w:val="009D34B8"/>
    <w:rsid w:val="009D356A"/>
    <w:rsid w:val="009D357B"/>
    <w:rsid w:val="009D35C2"/>
    <w:rsid w:val="009D35ED"/>
    <w:rsid w:val="009D36CD"/>
    <w:rsid w:val="009D37F1"/>
    <w:rsid w:val="009D381C"/>
    <w:rsid w:val="009D387D"/>
    <w:rsid w:val="009D38ED"/>
    <w:rsid w:val="009D38FA"/>
    <w:rsid w:val="009D3A74"/>
    <w:rsid w:val="009D3AB9"/>
    <w:rsid w:val="009D3AE2"/>
    <w:rsid w:val="009D3AF5"/>
    <w:rsid w:val="009D3B38"/>
    <w:rsid w:val="009D3C09"/>
    <w:rsid w:val="009D3D26"/>
    <w:rsid w:val="009D3D9A"/>
    <w:rsid w:val="009D3D9D"/>
    <w:rsid w:val="009D3F5C"/>
    <w:rsid w:val="009D3FDA"/>
    <w:rsid w:val="009D4025"/>
    <w:rsid w:val="009D40AD"/>
    <w:rsid w:val="009D41EE"/>
    <w:rsid w:val="009D4236"/>
    <w:rsid w:val="009D4237"/>
    <w:rsid w:val="009D4353"/>
    <w:rsid w:val="009D435A"/>
    <w:rsid w:val="009D43A1"/>
    <w:rsid w:val="009D43DF"/>
    <w:rsid w:val="009D44A6"/>
    <w:rsid w:val="009D44FD"/>
    <w:rsid w:val="009D4569"/>
    <w:rsid w:val="009D45AF"/>
    <w:rsid w:val="009D4623"/>
    <w:rsid w:val="009D46A7"/>
    <w:rsid w:val="009D46B7"/>
    <w:rsid w:val="009D47C0"/>
    <w:rsid w:val="009D480D"/>
    <w:rsid w:val="009D48CF"/>
    <w:rsid w:val="009D49A7"/>
    <w:rsid w:val="009D49D9"/>
    <w:rsid w:val="009D49EC"/>
    <w:rsid w:val="009D4A21"/>
    <w:rsid w:val="009D4A5E"/>
    <w:rsid w:val="009D4B66"/>
    <w:rsid w:val="009D4C36"/>
    <w:rsid w:val="009D4E39"/>
    <w:rsid w:val="009D4E59"/>
    <w:rsid w:val="009D4F4D"/>
    <w:rsid w:val="009D4FA4"/>
    <w:rsid w:val="009D50AE"/>
    <w:rsid w:val="009D51B2"/>
    <w:rsid w:val="009D51E4"/>
    <w:rsid w:val="009D523F"/>
    <w:rsid w:val="009D5289"/>
    <w:rsid w:val="009D534C"/>
    <w:rsid w:val="009D5398"/>
    <w:rsid w:val="009D53D1"/>
    <w:rsid w:val="009D5419"/>
    <w:rsid w:val="009D54B5"/>
    <w:rsid w:val="009D54C2"/>
    <w:rsid w:val="009D55B5"/>
    <w:rsid w:val="009D56A8"/>
    <w:rsid w:val="009D5793"/>
    <w:rsid w:val="009D58DA"/>
    <w:rsid w:val="009D5924"/>
    <w:rsid w:val="009D596F"/>
    <w:rsid w:val="009D5AE4"/>
    <w:rsid w:val="009D5B18"/>
    <w:rsid w:val="009D5B97"/>
    <w:rsid w:val="009D5BF1"/>
    <w:rsid w:val="009D5BF3"/>
    <w:rsid w:val="009D5CAE"/>
    <w:rsid w:val="009D5CF4"/>
    <w:rsid w:val="009D5D99"/>
    <w:rsid w:val="009D5DB4"/>
    <w:rsid w:val="009D5E64"/>
    <w:rsid w:val="009D5FA2"/>
    <w:rsid w:val="009D5FBC"/>
    <w:rsid w:val="009D6015"/>
    <w:rsid w:val="009D6018"/>
    <w:rsid w:val="009D60DC"/>
    <w:rsid w:val="009D622C"/>
    <w:rsid w:val="009D6340"/>
    <w:rsid w:val="009D64FD"/>
    <w:rsid w:val="009D6515"/>
    <w:rsid w:val="009D6610"/>
    <w:rsid w:val="009D661C"/>
    <w:rsid w:val="009D661D"/>
    <w:rsid w:val="009D6692"/>
    <w:rsid w:val="009D66B0"/>
    <w:rsid w:val="009D66C5"/>
    <w:rsid w:val="009D6817"/>
    <w:rsid w:val="009D6858"/>
    <w:rsid w:val="009D68A0"/>
    <w:rsid w:val="009D68A1"/>
    <w:rsid w:val="009D68AD"/>
    <w:rsid w:val="009D696D"/>
    <w:rsid w:val="009D69A5"/>
    <w:rsid w:val="009D69CC"/>
    <w:rsid w:val="009D69E1"/>
    <w:rsid w:val="009D69E8"/>
    <w:rsid w:val="009D6A42"/>
    <w:rsid w:val="009D6A58"/>
    <w:rsid w:val="009D6AE2"/>
    <w:rsid w:val="009D6B02"/>
    <w:rsid w:val="009D6B43"/>
    <w:rsid w:val="009D6B78"/>
    <w:rsid w:val="009D6BC8"/>
    <w:rsid w:val="009D6BD9"/>
    <w:rsid w:val="009D6BDE"/>
    <w:rsid w:val="009D6C95"/>
    <w:rsid w:val="009D6CB9"/>
    <w:rsid w:val="009D6CDE"/>
    <w:rsid w:val="009D6CE8"/>
    <w:rsid w:val="009D6D09"/>
    <w:rsid w:val="009D6DB7"/>
    <w:rsid w:val="009D6E56"/>
    <w:rsid w:val="009D6E5E"/>
    <w:rsid w:val="009D6E98"/>
    <w:rsid w:val="009D6EDA"/>
    <w:rsid w:val="009D6F54"/>
    <w:rsid w:val="009D6F7C"/>
    <w:rsid w:val="009D6FA0"/>
    <w:rsid w:val="009D6FF2"/>
    <w:rsid w:val="009D7033"/>
    <w:rsid w:val="009D70BB"/>
    <w:rsid w:val="009D70D8"/>
    <w:rsid w:val="009D719E"/>
    <w:rsid w:val="009D71AB"/>
    <w:rsid w:val="009D71AD"/>
    <w:rsid w:val="009D721C"/>
    <w:rsid w:val="009D73E9"/>
    <w:rsid w:val="009D743C"/>
    <w:rsid w:val="009D7487"/>
    <w:rsid w:val="009D74D9"/>
    <w:rsid w:val="009D758D"/>
    <w:rsid w:val="009D75E5"/>
    <w:rsid w:val="009D75F2"/>
    <w:rsid w:val="009D762B"/>
    <w:rsid w:val="009D7633"/>
    <w:rsid w:val="009D76DA"/>
    <w:rsid w:val="009D76DF"/>
    <w:rsid w:val="009D771C"/>
    <w:rsid w:val="009D776A"/>
    <w:rsid w:val="009D7832"/>
    <w:rsid w:val="009D7843"/>
    <w:rsid w:val="009D7853"/>
    <w:rsid w:val="009D785B"/>
    <w:rsid w:val="009D78CA"/>
    <w:rsid w:val="009D7934"/>
    <w:rsid w:val="009D797A"/>
    <w:rsid w:val="009D79A6"/>
    <w:rsid w:val="009D7A08"/>
    <w:rsid w:val="009D7B5D"/>
    <w:rsid w:val="009D7BEF"/>
    <w:rsid w:val="009D7D53"/>
    <w:rsid w:val="009D7D9C"/>
    <w:rsid w:val="009D7D9E"/>
    <w:rsid w:val="009D7DC4"/>
    <w:rsid w:val="009D7DEE"/>
    <w:rsid w:val="009D7E0C"/>
    <w:rsid w:val="009D7E52"/>
    <w:rsid w:val="009D7E58"/>
    <w:rsid w:val="009D7EC6"/>
    <w:rsid w:val="009D7F96"/>
    <w:rsid w:val="009E0047"/>
    <w:rsid w:val="009E00F6"/>
    <w:rsid w:val="009E0153"/>
    <w:rsid w:val="009E0286"/>
    <w:rsid w:val="009E0298"/>
    <w:rsid w:val="009E0397"/>
    <w:rsid w:val="009E03EB"/>
    <w:rsid w:val="009E0401"/>
    <w:rsid w:val="009E041D"/>
    <w:rsid w:val="009E06BC"/>
    <w:rsid w:val="009E075D"/>
    <w:rsid w:val="009E0779"/>
    <w:rsid w:val="009E07B1"/>
    <w:rsid w:val="009E07D3"/>
    <w:rsid w:val="009E0834"/>
    <w:rsid w:val="009E087F"/>
    <w:rsid w:val="009E09D4"/>
    <w:rsid w:val="009E0A64"/>
    <w:rsid w:val="009E0B40"/>
    <w:rsid w:val="009E0BA1"/>
    <w:rsid w:val="009E0C43"/>
    <w:rsid w:val="009E0CA8"/>
    <w:rsid w:val="009E0DE8"/>
    <w:rsid w:val="009E0EA0"/>
    <w:rsid w:val="009E0F0A"/>
    <w:rsid w:val="009E0F4B"/>
    <w:rsid w:val="009E0F94"/>
    <w:rsid w:val="009E100A"/>
    <w:rsid w:val="009E103A"/>
    <w:rsid w:val="009E107A"/>
    <w:rsid w:val="009E10FC"/>
    <w:rsid w:val="009E1141"/>
    <w:rsid w:val="009E1385"/>
    <w:rsid w:val="009E14CC"/>
    <w:rsid w:val="009E1511"/>
    <w:rsid w:val="009E151B"/>
    <w:rsid w:val="009E15AD"/>
    <w:rsid w:val="009E15E1"/>
    <w:rsid w:val="009E16E7"/>
    <w:rsid w:val="009E16F4"/>
    <w:rsid w:val="009E172E"/>
    <w:rsid w:val="009E1841"/>
    <w:rsid w:val="009E1862"/>
    <w:rsid w:val="009E188D"/>
    <w:rsid w:val="009E1900"/>
    <w:rsid w:val="009E191C"/>
    <w:rsid w:val="009E19B2"/>
    <w:rsid w:val="009E1AA0"/>
    <w:rsid w:val="009E1AC9"/>
    <w:rsid w:val="009E1AF1"/>
    <w:rsid w:val="009E1B1E"/>
    <w:rsid w:val="009E1B35"/>
    <w:rsid w:val="009E1BA4"/>
    <w:rsid w:val="009E1BE5"/>
    <w:rsid w:val="009E1CB0"/>
    <w:rsid w:val="009E1CB8"/>
    <w:rsid w:val="009E1D2C"/>
    <w:rsid w:val="009E1D67"/>
    <w:rsid w:val="009E1E2F"/>
    <w:rsid w:val="009E1E6C"/>
    <w:rsid w:val="009E1F28"/>
    <w:rsid w:val="009E1FFB"/>
    <w:rsid w:val="009E2002"/>
    <w:rsid w:val="009E20E3"/>
    <w:rsid w:val="009E213C"/>
    <w:rsid w:val="009E2185"/>
    <w:rsid w:val="009E21C0"/>
    <w:rsid w:val="009E2222"/>
    <w:rsid w:val="009E2265"/>
    <w:rsid w:val="009E23B1"/>
    <w:rsid w:val="009E2428"/>
    <w:rsid w:val="009E2462"/>
    <w:rsid w:val="009E2547"/>
    <w:rsid w:val="009E2594"/>
    <w:rsid w:val="009E2608"/>
    <w:rsid w:val="009E26BB"/>
    <w:rsid w:val="009E26F0"/>
    <w:rsid w:val="009E278B"/>
    <w:rsid w:val="009E27C7"/>
    <w:rsid w:val="009E2811"/>
    <w:rsid w:val="009E281A"/>
    <w:rsid w:val="009E2844"/>
    <w:rsid w:val="009E28C4"/>
    <w:rsid w:val="009E2903"/>
    <w:rsid w:val="009E2AAC"/>
    <w:rsid w:val="009E2B1A"/>
    <w:rsid w:val="009E2B4C"/>
    <w:rsid w:val="009E2BA1"/>
    <w:rsid w:val="009E2BA6"/>
    <w:rsid w:val="009E2CD3"/>
    <w:rsid w:val="009E2CEE"/>
    <w:rsid w:val="009E2E02"/>
    <w:rsid w:val="009E2F21"/>
    <w:rsid w:val="009E2F2B"/>
    <w:rsid w:val="009E2F76"/>
    <w:rsid w:val="009E2F96"/>
    <w:rsid w:val="009E2F97"/>
    <w:rsid w:val="009E3105"/>
    <w:rsid w:val="009E31E1"/>
    <w:rsid w:val="009E3238"/>
    <w:rsid w:val="009E3392"/>
    <w:rsid w:val="009E34AC"/>
    <w:rsid w:val="009E354B"/>
    <w:rsid w:val="009E3619"/>
    <w:rsid w:val="009E367B"/>
    <w:rsid w:val="009E378C"/>
    <w:rsid w:val="009E38DA"/>
    <w:rsid w:val="009E38FE"/>
    <w:rsid w:val="009E3958"/>
    <w:rsid w:val="009E395E"/>
    <w:rsid w:val="009E3AA6"/>
    <w:rsid w:val="009E3AE7"/>
    <w:rsid w:val="009E3B13"/>
    <w:rsid w:val="009E3C61"/>
    <w:rsid w:val="009E3C9F"/>
    <w:rsid w:val="009E3CF7"/>
    <w:rsid w:val="009E3D67"/>
    <w:rsid w:val="009E3D95"/>
    <w:rsid w:val="009E3DBC"/>
    <w:rsid w:val="009E3E13"/>
    <w:rsid w:val="009E404C"/>
    <w:rsid w:val="009E4119"/>
    <w:rsid w:val="009E41B0"/>
    <w:rsid w:val="009E4240"/>
    <w:rsid w:val="009E432A"/>
    <w:rsid w:val="009E43E7"/>
    <w:rsid w:val="009E4407"/>
    <w:rsid w:val="009E44BE"/>
    <w:rsid w:val="009E44E4"/>
    <w:rsid w:val="009E451A"/>
    <w:rsid w:val="009E45F0"/>
    <w:rsid w:val="009E465D"/>
    <w:rsid w:val="009E4672"/>
    <w:rsid w:val="009E467A"/>
    <w:rsid w:val="009E4776"/>
    <w:rsid w:val="009E480A"/>
    <w:rsid w:val="009E482C"/>
    <w:rsid w:val="009E4981"/>
    <w:rsid w:val="009E49E8"/>
    <w:rsid w:val="009E49F7"/>
    <w:rsid w:val="009E4B39"/>
    <w:rsid w:val="009E4BCA"/>
    <w:rsid w:val="009E4BDF"/>
    <w:rsid w:val="009E4C7D"/>
    <w:rsid w:val="009E4E48"/>
    <w:rsid w:val="009E4EAC"/>
    <w:rsid w:val="009E4EC0"/>
    <w:rsid w:val="009E4EC2"/>
    <w:rsid w:val="009E4EEC"/>
    <w:rsid w:val="009E4F01"/>
    <w:rsid w:val="009E4F02"/>
    <w:rsid w:val="009E5056"/>
    <w:rsid w:val="009E5069"/>
    <w:rsid w:val="009E50AB"/>
    <w:rsid w:val="009E50BA"/>
    <w:rsid w:val="009E50BB"/>
    <w:rsid w:val="009E510B"/>
    <w:rsid w:val="009E510E"/>
    <w:rsid w:val="009E51D3"/>
    <w:rsid w:val="009E51F0"/>
    <w:rsid w:val="009E52A5"/>
    <w:rsid w:val="009E5349"/>
    <w:rsid w:val="009E53FA"/>
    <w:rsid w:val="009E5500"/>
    <w:rsid w:val="009E557B"/>
    <w:rsid w:val="009E55A7"/>
    <w:rsid w:val="009E5618"/>
    <w:rsid w:val="009E565E"/>
    <w:rsid w:val="009E5774"/>
    <w:rsid w:val="009E5785"/>
    <w:rsid w:val="009E57E3"/>
    <w:rsid w:val="009E588A"/>
    <w:rsid w:val="009E58CA"/>
    <w:rsid w:val="009E5967"/>
    <w:rsid w:val="009E5A2F"/>
    <w:rsid w:val="009E5A55"/>
    <w:rsid w:val="009E5AB5"/>
    <w:rsid w:val="009E5ADD"/>
    <w:rsid w:val="009E5B66"/>
    <w:rsid w:val="009E5C68"/>
    <w:rsid w:val="009E5C84"/>
    <w:rsid w:val="009E5D4F"/>
    <w:rsid w:val="009E5D55"/>
    <w:rsid w:val="009E5D8D"/>
    <w:rsid w:val="009E5E79"/>
    <w:rsid w:val="009E5F60"/>
    <w:rsid w:val="009E6045"/>
    <w:rsid w:val="009E6047"/>
    <w:rsid w:val="009E6349"/>
    <w:rsid w:val="009E6376"/>
    <w:rsid w:val="009E63A7"/>
    <w:rsid w:val="009E63FE"/>
    <w:rsid w:val="009E643F"/>
    <w:rsid w:val="009E6446"/>
    <w:rsid w:val="009E6531"/>
    <w:rsid w:val="009E6538"/>
    <w:rsid w:val="009E6547"/>
    <w:rsid w:val="009E6591"/>
    <w:rsid w:val="009E6617"/>
    <w:rsid w:val="009E66A8"/>
    <w:rsid w:val="009E66B0"/>
    <w:rsid w:val="009E66EA"/>
    <w:rsid w:val="009E6793"/>
    <w:rsid w:val="009E685C"/>
    <w:rsid w:val="009E68C9"/>
    <w:rsid w:val="009E692B"/>
    <w:rsid w:val="009E695F"/>
    <w:rsid w:val="009E69EA"/>
    <w:rsid w:val="009E6A1F"/>
    <w:rsid w:val="009E6A7C"/>
    <w:rsid w:val="009E6ACC"/>
    <w:rsid w:val="009E6ADF"/>
    <w:rsid w:val="009E6CCC"/>
    <w:rsid w:val="009E6CF9"/>
    <w:rsid w:val="009E6D81"/>
    <w:rsid w:val="009E6E53"/>
    <w:rsid w:val="009E6EEB"/>
    <w:rsid w:val="009E6EEF"/>
    <w:rsid w:val="009E70E0"/>
    <w:rsid w:val="009E71A4"/>
    <w:rsid w:val="009E72BE"/>
    <w:rsid w:val="009E7339"/>
    <w:rsid w:val="009E7489"/>
    <w:rsid w:val="009E74BD"/>
    <w:rsid w:val="009E75E2"/>
    <w:rsid w:val="009E762B"/>
    <w:rsid w:val="009E762C"/>
    <w:rsid w:val="009E7700"/>
    <w:rsid w:val="009E771D"/>
    <w:rsid w:val="009E78E4"/>
    <w:rsid w:val="009E795F"/>
    <w:rsid w:val="009E7A41"/>
    <w:rsid w:val="009E7A6D"/>
    <w:rsid w:val="009E7A96"/>
    <w:rsid w:val="009E7AA3"/>
    <w:rsid w:val="009E7AF5"/>
    <w:rsid w:val="009E7B61"/>
    <w:rsid w:val="009E7C5F"/>
    <w:rsid w:val="009E7CA3"/>
    <w:rsid w:val="009E7CB3"/>
    <w:rsid w:val="009E7CB5"/>
    <w:rsid w:val="009E7D41"/>
    <w:rsid w:val="009E7D6D"/>
    <w:rsid w:val="009E7DDB"/>
    <w:rsid w:val="009E7EA1"/>
    <w:rsid w:val="009E7F35"/>
    <w:rsid w:val="009E7F3B"/>
    <w:rsid w:val="009F0014"/>
    <w:rsid w:val="009F0059"/>
    <w:rsid w:val="009F00B5"/>
    <w:rsid w:val="009F00E9"/>
    <w:rsid w:val="009F014A"/>
    <w:rsid w:val="009F0173"/>
    <w:rsid w:val="009F02A4"/>
    <w:rsid w:val="009F02D2"/>
    <w:rsid w:val="009F0382"/>
    <w:rsid w:val="009F03C8"/>
    <w:rsid w:val="009F03E9"/>
    <w:rsid w:val="009F0402"/>
    <w:rsid w:val="009F0422"/>
    <w:rsid w:val="009F044A"/>
    <w:rsid w:val="009F04D3"/>
    <w:rsid w:val="009F05DD"/>
    <w:rsid w:val="009F068F"/>
    <w:rsid w:val="009F06A1"/>
    <w:rsid w:val="009F06B3"/>
    <w:rsid w:val="009F0716"/>
    <w:rsid w:val="009F0722"/>
    <w:rsid w:val="009F07C0"/>
    <w:rsid w:val="009F07CB"/>
    <w:rsid w:val="009F07F0"/>
    <w:rsid w:val="009F083B"/>
    <w:rsid w:val="009F0865"/>
    <w:rsid w:val="009F087A"/>
    <w:rsid w:val="009F088E"/>
    <w:rsid w:val="009F0915"/>
    <w:rsid w:val="009F0959"/>
    <w:rsid w:val="009F09C8"/>
    <w:rsid w:val="009F0AA7"/>
    <w:rsid w:val="009F0AD0"/>
    <w:rsid w:val="009F0AD4"/>
    <w:rsid w:val="009F0B3B"/>
    <w:rsid w:val="009F0B6F"/>
    <w:rsid w:val="009F0D35"/>
    <w:rsid w:val="009F0D6F"/>
    <w:rsid w:val="009F0DCE"/>
    <w:rsid w:val="009F0DDA"/>
    <w:rsid w:val="009F0E06"/>
    <w:rsid w:val="009F0EAA"/>
    <w:rsid w:val="009F0F76"/>
    <w:rsid w:val="009F0FCA"/>
    <w:rsid w:val="009F0FE4"/>
    <w:rsid w:val="009F0FFB"/>
    <w:rsid w:val="009F1006"/>
    <w:rsid w:val="009F10D8"/>
    <w:rsid w:val="009F10E7"/>
    <w:rsid w:val="009F1125"/>
    <w:rsid w:val="009F1154"/>
    <w:rsid w:val="009F1158"/>
    <w:rsid w:val="009F115E"/>
    <w:rsid w:val="009F1365"/>
    <w:rsid w:val="009F1465"/>
    <w:rsid w:val="009F1471"/>
    <w:rsid w:val="009F14B1"/>
    <w:rsid w:val="009F14B2"/>
    <w:rsid w:val="009F14BE"/>
    <w:rsid w:val="009F14D0"/>
    <w:rsid w:val="009F14F2"/>
    <w:rsid w:val="009F154B"/>
    <w:rsid w:val="009F156A"/>
    <w:rsid w:val="009F15C7"/>
    <w:rsid w:val="009F15F0"/>
    <w:rsid w:val="009F15FF"/>
    <w:rsid w:val="009F1621"/>
    <w:rsid w:val="009F16BD"/>
    <w:rsid w:val="009F1724"/>
    <w:rsid w:val="009F1754"/>
    <w:rsid w:val="009F17CD"/>
    <w:rsid w:val="009F189E"/>
    <w:rsid w:val="009F1983"/>
    <w:rsid w:val="009F19D9"/>
    <w:rsid w:val="009F1A12"/>
    <w:rsid w:val="009F1AF3"/>
    <w:rsid w:val="009F1B08"/>
    <w:rsid w:val="009F1CB9"/>
    <w:rsid w:val="009F1D04"/>
    <w:rsid w:val="009F1D77"/>
    <w:rsid w:val="009F1DBB"/>
    <w:rsid w:val="009F1DE5"/>
    <w:rsid w:val="009F1E90"/>
    <w:rsid w:val="009F1EE9"/>
    <w:rsid w:val="009F1F92"/>
    <w:rsid w:val="009F1FA2"/>
    <w:rsid w:val="009F20A0"/>
    <w:rsid w:val="009F20A7"/>
    <w:rsid w:val="009F213E"/>
    <w:rsid w:val="009F2163"/>
    <w:rsid w:val="009F21A6"/>
    <w:rsid w:val="009F21A8"/>
    <w:rsid w:val="009F2335"/>
    <w:rsid w:val="009F242E"/>
    <w:rsid w:val="009F24CA"/>
    <w:rsid w:val="009F24ED"/>
    <w:rsid w:val="009F25E9"/>
    <w:rsid w:val="009F2630"/>
    <w:rsid w:val="009F2646"/>
    <w:rsid w:val="009F26A7"/>
    <w:rsid w:val="009F2709"/>
    <w:rsid w:val="009F2725"/>
    <w:rsid w:val="009F2726"/>
    <w:rsid w:val="009F27C4"/>
    <w:rsid w:val="009F27ED"/>
    <w:rsid w:val="009F282A"/>
    <w:rsid w:val="009F2843"/>
    <w:rsid w:val="009F2854"/>
    <w:rsid w:val="009F285B"/>
    <w:rsid w:val="009F287A"/>
    <w:rsid w:val="009F289E"/>
    <w:rsid w:val="009F29E2"/>
    <w:rsid w:val="009F29E3"/>
    <w:rsid w:val="009F2A43"/>
    <w:rsid w:val="009F2A69"/>
    <w:rsid w:val="009F2A70"/>
    <w:rsid w:val="009F2AC0"/>
    <w:rsid w:val="009F2AF3"/>
    <w:rsid w:val="009F2B64"/>
    <w:rsid w:val="009F2C0F"/>
    <w:rsid w:val="009F2C84"/>
    <w:rsid w:val="009F2CBF"/>
    <w:rsid w:val="009F2CF8"/>
    <w:rsid w:val="009F2E44"/>
    <w:rsid w:val="009F2E73"/>
    <w:rsid w:val="009F2EA2"/>
    <w:rsid w:val="009F2F35"/>
    <w:rsid w:val="009F2F79"/>
    <w:rsid w:val="009F2FD0"/>
    <w:rsid w:val="009F2FF0"/>
    <w:rsid w:val="009F3021"/>
    <w:rsid w:val="009F30D1"/>
    <w:rsid w:val="009F30FC"/>
    <w:rsid w:val="009F3187"/>
    <w:rsid w:val="009F31E3"/>
    <w:rsid w:val="009F3228"/>
    <w:rsid w:val="009F3298"/>
    <w:rsid w:val="009F33C1"/>
    <w:rsid w:val="009F344B"/>
    <w:rsid w:val="009F346C"/>
    <w:rsid w:val="009F34A6"/>
    <w:rsid w:val="009F352E"/>
    <w:rsid w:val="009F3645"/>
    <w:rsid w:val="009F3652"/>
    <w:rsid w:val="009F36E7"/>
    <w:rsid w:val="009F387C"/>
    <w:rsid w:val="009F3912"/>
    <w:rsid w:val="009F39BD"/>
    <w:rsid w:val="009F39CE"/>
    <w:rsid w:val="009F3A19"/>
    <w:rsid w:val="009F3B0A"/>
    <w:rsid w:val="009F3B75"/>
    <w:rsid w:val="009F3C10"/>
    <w:rsid w:val="009F3C35"/>
    <w:rsid w:val="009F3C77"/>
    <w:rsid w:val="009F3C8A"/>
    <w:rsid w:val="009F3CCE"/>
    <w:rsid w:val="009F3D7F"/>
    <w:rsid w:val="009F3D85"/>
    <w:rsid w:val="009F3EAE"/>
    <w:rsid w:val="009F3ED8"/>
    <w:rsid w:val="009F3F11"/>
    <w:rsid w:val="009F3F19"/>
    <w:rsid w:val="009F3F3F"/>
    <w:rsid w:val="009F3F57"/>
    <w:rsid w:val="009F4005"/>
    <w:rsid w:val="009F4091"/>
    <w:rsid w:val="009F40E5"/>
    <w:rsid w:val="009F40E9"/>
    <w:rsid w:val="009F412D"/>
    <w:rsid w:val="009F417D"/>
    <w:rsid w:val="009F41A4"/>
    <w:rsid w:val="009F41BA"/>
    <w:rsid w:val="009F42BA"/>
    <w:rsid w:val="009F432C"/>
    <w:rsid w:val="009F43A3"/>
    <w:rsid w:val="009F43DD"/>
    <w:rsid w:val="009F4435"/>
    <w:rsid w:val="009F4443"/>
    <w:rsid w:val="009F4521"/>
    <w:rsid w:val="009F453B"/>
    <w:rsid w:val="009F4543"/>
    <w:rsid w:val="009F4575"/>
    <w:rsid w:val="009F4684"/>
    <w:rsid w:val="009F46DE"/>
    <w:rsid w:val="009F46F1"/>
    <w:rsid w:val="009F47EA"/>
    <w:rsid w:val="009F4899"/>
    <w:rsid w:val="009F4918"/>
    <w:rsid w:val="009F4929"/>
    <w:rsid w:val="009F492B"/>
    <w:rsid w:val="009F49DE"/>
    <w:rsid w:val="009F4A0C"/>
    <w:rsid w:val="009F4A46"/>
    <w:rsid w:val="009F4A98"/>
    <w:rsid w:val="009F4AA8"/>
    <w:rsid w:val="009F4B7C"/>
    <w:rsid w:val="009F4B97"/>
    <w:rsid w:val="009F4BBE"/>
    <w:rsid w:val="009F4BC8"/>
    <w:rsid w:val="009F4BD7"/>
    <w:rsid w:val="009F4C0F"/>
    <w:rsid w:val="009F4C11"/>
    <w:rsid w:val="009F4C16"/>
    <w:rsid w:val="009F4C48"/>
    <w:rsid w:val="009F4CB4"/>
    <w:rsid w:val="009F4D9C"/>
    <w:rsid w:val="009F4DF9"/>
    <w:rsid w:val="009F4E0E"/>
    <w:rsid w:val="009F4EB1"/>
    <w:rsid w:val="009F4EC9"/>
    <w:rsid w:val="009F4EDA"/>
    <w:rsid w:val="009F4F41"/>
    <w:rsid w:val="009F503F"/>
    <w:rsid w:val="009F5093"/>
    <w:rsid w:val="009F50AC"/>
    <w:rsid w:val="009F50FE"/>
    <w:rsid w:val="009F513D"/>
    <w:rsid w:val="009F5162"/>
    <w:rsid w:val="009F519A"/>
    <w:rsid w:val="009F519B"/>
    <w:rsid w:val="009F51A3"/>
    <w:rsid w:val="009F51DD"/>
    <w:rsid w:val="009F521D"/>
    <w:rsid w:val="009F5301"/>
    <w:rsid w:val="009F5319"/>
    <w:rsid w:val="009F5386"/>
    <w:rsid w:val="009F541F"/>
    <w:rsid w:val="009F54EA"/>
    <w:rsid w:val="009F54FA"/>
    <w:rsid w:val="009F5583"/>
    <w:rsid w:val="009F558B"/>
    <w:rsid w:val="009F55AF"/>
    <w:rsid w:val="009F5614"/>
    <w:rsid w:val="009F5681"/>
    <w:rsid w:val="009F571C"/>
    <w:rsid w:val="009F57F9"/>
    <w:rsid w:val="009F59E8"/>
    <w:rsid w:val="009F5A68"/>
    <w:rsid w:val="009F5A7C"/>
    <w:rsid w:val="009F5A83"/>
    <w:rsid w:val="009F5B05"/>
    <w:rsid w:val="009F5B8C"/>
    <w:rsid w:val="009F5BAF"/>
    <w:rsid w:val="009F5CAB"/>
    <w:rsid w:val="009F5DE5"/>
    <w:rsid w:val="009F5E1B"/>
    <w:rsid w:val="009F5E99"/>
    <w:rsid w:val="009F5F55"/>
    <w:rsid w:val="009F5FCB"/>
    <w:rsid w:val="009F6001"/>
    <w:rsid w:val="009F6013"/>
    <w:rsid w:val="009F6021"/>
    <w:rsid w:val="009F6056"/>
    <w:rsid w:val="009F613A"/>
    <w:rsid w:val="009F63CC"/>
    <w:rsid w:val="009F63ED"/>
    <w:rsid w:val="009F6416"/>
    <w:rsid w:val="009F6428"/>
    <w:rsid w:val="009F6488"/>
    <w:rsid w:val="009F655A"/>
    <w:rsid w:val="009F65AF"/>
    <w:rsid w:val="009F65B1"/>
    <w:rsid w:val="009F65DA"/>
    <w:rsid w:val="009F668B"/>
    <w:rsid w:val="009F66AC"/>
    <w:rsid w:val="009F66C4"/>
    <w:rsid w:val="009F67BF"/>
    <w:rsid w:val="009F6909"/>
    <w:rsid w:val="009F6972"/>
    <w:rsid w:val="009F69C5"/>
    <w:rsid w:val="009F6A76"/>
    <w:rsid w:val="009F6B16"/>
    <w:rsid w:val="009F6B1D"/>
    <w:rsid w:val="009F6B1F"/>
    <w:rsid w:val="009F6BB8"/>
    <w:rsid w:val="009F6BC6"/>
    <w:rsid w:val="009F6BCD"/>
    <w:rsid w:val="009F6C44"/>
    <w:rsid w:val="009F6C9B"/>
    <w:rsid w:val="009F6D18"/>
    <w:rsid w:val="009F6E02"/>
    <w:rsid w:val="009F6E73"/>
    <w:rsid w:val="009F6F63"/>
    <w:rsid w:val="009F7074"/>
    <w:rsid w:val="009F7081"/>
    <w:rsid w:val="009F70E8"/>
    <w:rsid w:val="009F7283"/>
    <w:rsid w:val="009F736B"/>
    <w:rsid w:val="009F7374"/>
    <w:rsid w:val="009F73C5"/>
    <w:rsid w:val="009F740E"/>
    <w:rsid w:val="009F7417"/>
    <w:rsid w:val="009F74D1"/>
    <w:rsid w:val="009F7569"/>
    <w:rsid w:val="009F7571"/>
    <w:rsid w:val="009F7599"/>
    <w:rsid w:val="009F75C7"/>
    <w:rsid w:val="009F75E2"/>
    <w:rsid w:val="009F75FC"/>
    <w:rsid w:val="009F7622"/>
    <w:rsid w:val="009F7667"/>
    <w:rsid w:val="009F766F"/>
    <w:rsid w:val="009F76A2"/>
    <w:rsid w:val="009F76D0"/>
    <w:rsid w:val="009F7773"/>
    <w:rsid w:val="009F77EE"/>
    <w:rsid w:val="009F7808"/>
    <w:rsid w:val="009F786F"/>
    <w:rsid w:val="009F788C"/>
    <w:rsid w:val="009F78C1"/>
    <w:rsid w:val="009F7AA1"/>
    <w:rsid w:val="009F7AD5"/>
    <w:rsid w:val="009F7B07"/>
    <w:rsid w:val="009F7B57"/>
    <w:rsid w:val="009F7B8E"/>
    <w:rsid w:val="009F7B9A"/>
    <w:rsid w:val="009F7BC0"/>
    <w:rsid w:val="009F7C2B"/>
    <w:rsid w:val="009F7C60"/>
    <w:rsid w:val="009F7C93"/>
    <w:rsid w:val="009F7D75"/>
    <w:rsid w:val="009F7E05"/>
    <w:rsid w:val="009F7ED3"/>
    <w:rsid w:val="009F7F10"/>
    <w:rsid w:val="009F7F7A"/>
    <w:rsid w:val="009F7F9C"/>
    <w:rsid w:val="00A00042"/>
    <w:rsid w:val="00A00154"/>
    <w:rsid w:val="00A00222"/>
    <w:rsid w:val="00A002D0"/>
    <w:rsid w:val="00A00396"/>
    <w:rsid w:val="00A003A1"/>
    <w:rsid w:val="00A004D9"/>
    <w:rsid w:val="00A004EA"/>
    <w:rsid w:val="00A00562"/>
    <w:rsid w:val="00A00610"/>
    <w:rsid w:val="00A0063A"/>
    <w:rsid w:val="00A0066F"/>
    <w:rsid w:val="00A006A3"/>
    <w:rsid w:val="00A00800"/>
    <w:rsid w:val="00A0080B"/>
    <w:rsid w:val="00A00840"/>
    <w:rsid w:val="00A00841"/>
    <w:rsid w:val="00A0086F"/>
    <w:rsid w:val="00A0091A"/>
    <w:rsid w:val="00A009A2"/>
    <w:rsid w:val="00A009D6"/>
    <w:rsid w:val="00A009DE"/>
    <w:rsid w:val="00A00A1C"/>
    <w:rsid w:val="00A00B3A"/>
    <w:rsid w:val="00A00B3B"/>
    <w:rsid w:val="00A00C36"/>
    <w:rsid w:val="00A00C3A"/>
    <w:rsid w:val="00A00C88"/>
    <w:rsid w:val="00A00D33"/>
    <w:rsid w:val="00A00DF7"/>
    <w:rsid w:val="00A00E33"/>
    <w:rsid w:val="00A00EAF"/>
    <w:rsid w:val="00A00EBA"/>
    <w:rsid w:val="00A00EE8"/>
    <w:rsid w:val="00A00F98"/>
    <w:rsid w:val="00A0118C"/>
    <w:rsid w:val="00A0122C"/>
    <w:rsid w:val="00A0122E"/>
    <w:rsid w:val="00A0124E"/>
    <w:rsid w:val="00A01276"/>
    <w:rsid w:val="00A01304"/>
    <w:rsid w:val="00A013AE"/>
    <w:rsid w:val="00A013CF"/>
    <w:rsid w:val="00A013D7"/>
    <w:rsid w:val="00A015F3"/>
    <w:rsid w:val="00A01629"/>
    <w:rsid w:val="00A01686"/>
    <w:rsid w:val="00A01713"/>
    <w:rsid w:val="00A01716"/>
    <w:rsid w:val="00A01723"/>
    <w:rsid w:val="00A01763"/>
    <w:rsid w:val="00A01783"/>
    <w:rsid w:val="00A0178C"/>
    <w:rsid w:val="00A017F0"/>
    <w:rsid w:val="00A0186A"/>
    <w:rsid w:val="00A018BD"/>
    <w:rsid w:val="00A018C4"/>
    <w:rsid w:val="00A0191F"/>
    <w:rsid w:val="00A01944"/>
    <w:rsid w:val="00A0194A"/>
    <w:rsid w:val="00A019EC"/>
    <w:rsid w:val="00A019F3"/>
    <w:rsid w:val="00A01A36"/>
    <w:rsid w:val="00A01A98"/>
    <w:rsid w:val="00A01AD3"/>
    <w:rsid w:val="00A01B4D"/>
    <w:rsid w:val="00A01CB6"/>
    <w:rsid w:val="00A01CB7"/>
    <w:rsid w:val="00A01D49"/>
    <w:rsid w:val="00A01DEB"/>
    <w:rsid w:val="00A01F01"/>
    <w:rsid w:val="00A01F74"/>
    <w:rsid w:val="00A01F9B"/>
    <w:rsid w:val="00A02041"/>
    <w:rsid w:val="00A020EC"/>
    <w:rsid w:val="00A021AF"/>
    <w:rsid w:val="00A02396"/>
    <w:rsid w:val="00A024DA"/>
    <w:rsid w:val="00A025D5"/>
    <w:rsid w:val="00A0260E"/>
    <w:rsid w:val="00A02631"/>
    <w:rsid w:val="00A026CB"/>
    <w:rsid w:val="00A02811"/>
    <w:rsid w:val="00A0285E"/>
    <w:rsid w:val="00A028F2"/>
    <w:rsid w:val="00A0293F"/>
    <w:rsid w:val="00A02944"/>
    <w:rsid w:val="00A02A33"/>
    <w:rsid w:val="00A02A58"/>
    <w:rsid w:val="00A02B0F"/>
    <w:rsid w:val="00A02B32"/>
    <w:rsid w:val="00A02B69"/>
    <w:rsid w:val="00A02BA2"/>
    <w:rsid w:val="00A02C42"/>
    <w:rsid w:val="00A02C44"/>
    <w:rsid w:val="00A02CBC"/>
    <w:rsid w:val="00A02DFB"/>
    <w:rsid w:val="00A02E5B"/>
    <w:rsid w:val="00A02E84"/>
    <w:rsid w:val="00A02F24"/>
    <w:rsid w:val="00A02F7A"/>
    <w:rsid w:val="00A03140"/>
    <w:rsid w:val="00A032D3"/>
    <w:rsid w:val="00A033D4"/>
    <w:rsid w:val="00A0355B"/>
    <w:rsid w:val="00A0358F"/>
    <w:rsid w:val="00A0359F"/>
    <w:rsid w:val="00A03617"/>
    <w:rsid w:val="00A0363E"/>
    <w:rsid w:val="00A036D1"/>
    <w:rsid w:val="00A03814"/>
    <w:rsid w:val="00A03859"/>
    <w:rsid w:val="00A0385A"/>
    <w:rsid w:val="00A0385D"/>
    <w:rsid w:val="00A038C4"/>
    <w:rsid w:val="00A039E3"/>
    <w:rsid w:val="00A03B17"/>
    <w:rsid w:val="00A03C42"/>
    <w:rsid w:val="00A03E20"/>
    <w:rsid w:val="00A03E51"/>
    <w:rsid w:val="00A03E8F"/>
    <w:rsid w:val="00A03EA6"/>
    <w:rsid w:val="00A03F6E"/>
    <w:rsid w:val="00A03FEA"/>
    <w:rsid w:val="00A04042"/>
    <w:rsid w:val="00A04124"/>
    <w:rsid w:val="00A0414C"/>
    <w:rsid w:val="00A0419A"/>
    <w:rsid w:val="00A041A2"/>
    <w:rsid w:val="00A041A6"/>
    <w:rsid w:val="00A0421E"/>
    <w:rsid w:val="00A04229"/>
    <w:rsid w:val="00A042AB"/>
    <w:rsid w:val="00A0432D"/>
    <w:rsid w:val="00A04347"/>
    <w:rsid w:val="00A04348"/>
    <w:rsid w:val="00A04391"/>
    <w:rsid w:val="00A0453F"/>
    <w:rsid w:val="00A045C7"/>
    <w:rsid w:val="00A045D1"/>
    <w:rsid w:val="00A045DB"/>
    <w:rsid w:val="00A04644"/>
    <w:rsid w:val="00A046D0"/>
    <w:rsid w:val="00A046EE"/>
    <w:rsid w:val="00A0471E"/>
    <w:rsid w:val="00A04724"/>
    <w:rsid w:val="00A0475C"/>
    <w:rsid w:val="00A0476A"/>
    <w:rsid w:val="00A047BD"/>
    <w:rsid w:val="00A048ED"/>
    <w:rsid w:val="00A049C5"/>
    <w:rsid w:val="00A049FC"/>
    <w:rsid w:val="00A04A25"/>
    <w:rsid w:val="00A04A3F"/>
    <w:rsid w:val="00A04AB5"/>
    <w:rsid w:val="00A04B0D"/>
    <w:rsid w:val="00A04B16"/>
    <w:rsid w:val="00A04B41"/>
    <w:rsid w:val="00A04B52"/>
    <w:rsid w:val="00A04BB2"/>
    <w:rsid w:val="00A04C06"/>
    <w:rsid w:val="00A04C3D"/>
    <w:rsid w:val="00A04CA6"/>
    <w:rsid w:val="00A04CDD"/>
    <w:rsid w:val="00A04D17"/>
    <w:rsid w:val="00A04D30"/>
    <w:rsid w:val="00A04D9F"/>
    <w:rsid w:val="00A04E05"/>
    <w:rsid w:val="00A04EAB"/>
    <w:rsid w:val="00A04F08"/>
    <w:rsid w:val="00A04FE9"/>
    <w:rsid w:val="00A05097"/>
    <w:rsid w:val="00A05123"/>
    <w:rsid w:val="00A05138"/>
    <w:rsid w:val="00A0514E"/>
    <w:rsid w:val="00A0516E"/>
    <w:rsid w:val="00A051B1"/>
    <w:rsid w:val="00A052E1"/>
    <w:rsid w:val="00A052FA"/>
    <w:rsid w:val="00A0540C"/>
    <w:rsid w:val="00A05422"/>
    <w:rsid w:val="00A0555D"/>
    <w:rsid w:val="00A0556A"/>
    <w:rsid w:val="00A055BF"/>
    <w:rsid w:val="00A055F2"/>
    <w:rsid w:val="00A05618"/>
    <w:rsid w:val="00A056ED"/>
    <w:rsid w:val="00A0573C"/>
    <w:rsid w:val="00A05765"/>
    <w:rsid w:val="00A057B9"/>
    <w:rsid w:val="00A058CB"/>
    <w:rsid w:val="00A058F8"/>
    <w:rsid w:val="00A059C3"/>
    <w:rsid w:val="00A05A5E"/>
    <w:rsid w:val="00A05B98"/>
    <w:rsid w:val="00A05B99"/>
    <w:rsid w:val="00A05C12"/>
    <w:rsid w:val="00A05C69"/>
    <w:rsid w:val="00A05CF4"/>
    <w:rsid w:val="00A05D30"/>
    <w:rsid w:val="00A05D39"/>
    <w:rsid w:val="00A05DAE"/>
    <w:rsid w:val="00A05E11"/>
    <w:rsid w:val="00A05F05"/>
    <w:rsid w:val="00A05FBA"/>
    <w:rsid w:val="00A05FBF"/>
    <w:rsid w:val="00A05FF7"/>
    <w:rsid w:val="00A06095"/>
    <w:rsid w:val="00A060F7"/>
    <w:rsid w:val="00A06182"/>
    <w:rsid w:val="00A061F1"/>
    <w:rsid w:val="00A06253"/>
    <w:rsid w:val="00A06291"/>
    <w:rsid w:val="00A063B4"/>
    <w:rsid w:val="00A06403"/>
    <w:rsid w:val="00A0649C"/>
    <w:rsid w:val="00A06514"/>
    <w:rsid w:val="00A06559"/>
    <w:rsid w:val="00A06595"/>
    <w:rsid w:val="00A065AC"/>
    <w:rsid w:val="00A06668"/>
    <w:rsid w:val="00A066B2"/>
    <w:rsid w:val="00A06749"/>
    <w:rsid w:val="00A067C1"/>
    <w:rsid w:val="00A06830"/>
    <w:rsid w:val="00A068EE"/>
    <w:rsid w:val="00A068FA"/>
    <w:rsid w:val="00A06B5A"/>
    <w:rsid w:val="00A06B99"/>
    <w:rsid w:val="00A06BD6"/>
    <w:rsid w:val="00A06C36"/>
    <w:rsid w:val="00A06CDC"/>
    <w:rsid w:val="00A06E02"/>
    <w:rsid w:val="00A06E03"/>
    <w:rsid w:val="00A06F8A"/>
    <w:rsid w:val="00A06FEE"/>
    <w:rsid w:val="00A06FF1"/>
    <w:rsid w:val="00A07021"/>
    <w:rsid w:val="00A070F5"/>
    <w:rsid w:val="00A072A7"/>
    <w:rsid w:val="00A072F6"/>
    <w:rsid w:val="00A07322"/>
    <w:rsid w:val="00A073F4"/>
    <w:rsid w:val="00A0743F"/>
    <w:rsid w:val="00A074AF"/>
    <w:rsid w:val="00A07598"/>
    <w:rsid w:val="00A0759D"/>
    <w:rsid w:val="00A075FF"/>
    <w:rsid w:val="00A0767D"/>
    <w:rsid w:val="00A0768E"/>
    <w:rsid w:val="00A07691"/>
    <w:rsid w:val="00A076AE"/>
    <w:rsid w:val="00A0776D"/>
    <w:rsid w:val="00A07793"/>
    <w:rsid w:val="00A0796C"/>
    <w:rsid w:val="00A0798C"/>
    <w:rsid w:val="00A079C8"/>
    <w:rsid w:val="00A079F0"/>
    <w:rsid w:val="00A07A2B"/>
    <w:rsid w:val="00A07AD8"/>
    <w:rsid w:val="00A07B32"/>
    <w:rsid w:val="00A07BC6"/>
    <w:rsid w:val="00A07C93"/>
    <w:rsid w:val="00A07C9E"/>
    <w:rsid w:val="00A07DCE"/>
    <w:rsid w:val="00A07E35"/>
    <w:rsid w:val="00A07E39"/>
    <w:rsid w:val="00A07E47"/>
    <w:rsid w:val="00A07E4D"/>
    <w:rsid w:val="00A07E58"/>
    <w:rsid w:val="00A07E9C"/>
    <w:rsid w:val="00A07F54"/>
    <w:rsid w:val="00A07FB6"/>
    <w:rsid w:val="00A10003"/>
    <w:rsid w:val="00A10040"/>
    <w:rsid w:val="00A10058"/>
    <w:rsid w:val="00A100A8"/>
    <w:rsid w:val="00A100C5"/>
    <w:rsid w:val="00A100D6"/>
    <w:rsid w:val="00A100EA"/>
    <w:rsid w:val="00A10120"/>
    <w:rsid w:val="00A1018A"/>
    <w:rsid w:val="00A101A0"/>
    <w:rsid w:val="00A101EF"/>
    <w:rsid w:val="00A10260"/>
    <w:rsid w:val="00A1027F"/>
    <w:rsid w:val="00A10290"/>
    <w:rsid w:val="00A102A2"/>
    <w:rsid w:val="00A102C3"/>
    <w:rsid w:val="00A102F1"/>
    <w:rsid w:val="00A10364"/>
    <w:rsid w:val="00A10367"/>
    <w:rsid w:val="00A1039B"/>
    <w:rsid w:val="00A103A1"/>
    <w:rsid w:val="00A103B8"/>
    <w:rsid w:val="00A104D5"/>
    <w:rsid w:val="00A10527"/>
    <w:rsid w:val="00A10531"/>
    <w:rsid w:val="00A1056B"/>
    <w:rsid w:val="00A105B0"/>
    <w:rsid w:val="00A10661"/>
    <w:rsid w:val="00A106B4"/>
    <w:rsid w:val="00A106D9"/>
    <w:rsid w:val="00A1076E"/>
    <w:rsid w:val="00A10853"/>
    <w:rsid w:val="00A108A7"/>
    <w:rsid w:val="00A108BA"/>
    <w:rsid w:val="00A10914"/>
    <w:rsid w:val="00A10A66"/>
    <w:rsid w:val="00A10A6A"/>
    <w:rsid w:val="00A10A97"/>
    <w:rsid w:val="00A10B3A"/>
    <w:rsid w:val="00A10B48"/>
    <w:rsid w:val="00A10C23"/>
    <w:rsid w:val="00A10C57"/>
    <w:rsid w:val="00A10CD8"/>
    <w:rsid w:val="00A10CF4"/>
    <w:rsid w:val="00A10DAC"/>
    <w:rsid w:val="00A10E68"/>
    <w:rsid w:val="00A10E99"/>
    <w:rsid w:val="00A11259"/>
    <w:rsid w:val="00A1126B"/>
    <w:rsid w:val="00A112E5"/>
    <w:rsid w:val="00A112F7"/>
    <w:rsid w:val="00A1130C"/>
    <w:rsid w:val="00A11331"/>
    <w:rsid w:val="00A113BD"/>
    <w:rsid w:val="00A11459"/>
    <w:rsid w:val="00A114FB"/>
    <w:rsid w:val="00A11543"/>
    <w:rsid w:val="00A11566"/>
    <w:rsid w:val="00A1157A"/>
    <w:rsid w:val="00A115BD"/>
    <w:rsid w:val="00A115E3"/>
    <w:rsid w:val="00A11635"/>
    <w:rsid w:val="00A1169D"/>
    <w:rsid w:val="00A1169E"/>
    <w:rsid w:val="00A116AF"/>
    <w:rsid w:val="00A116D3"/>
    <w:rsid w:val="00A116EB"/>
    <w:rsid w:val="00A117F7"/>
    <w:rsid w:val="00A11939"/>
    <w:rsid w:val="00A11AB3"/>
    <w:rsid w:val="00A11AB8"/>
    <w:rsid w:val="00A11AD2"/>
    <w:rsid w:val="00A11B18"/>
    <w:rsid w:val="00A11BE0"/>
    <w:rsid w:val="00A11C30"/>
    <w:rsid w:val="00A11C79"/>
    <w:rsid w:val="00A11CD7"/>
    <w:rsid w:val="00A11D59"/>
    <w:rsid w:val="00A11D5D"/>
    <w:rsid w:val="00A11D62"/>
    <w:rsid w:val="00A11F11"/>
    <w:rsid w:val="00A11F62"/>
    <w:rsid w:val="00A1203E"/>
    <w:rsid w:val="00A12058"/>
    <w:rsid w:val="00A12089"/>
    <w:rsid w:val="00A120EF"/>
    <w:rsid w:val="00A12110"/>
    <w:rsid w:val="00A1214C"/>
    <w:rsid w:val="00A12176"/>
    <w:rsid w:val="00A12180"/>
    <w:rsid w:val="00A12251"/>
    <w:rsid w:val="00A122C9"/>
    <w:rsid w:val="00A122CA"/>
    <w:rsid w:val="00A122D2"/>
    <w:rsid w:val="00A122D6"/>
    <w:rsid w:val="00A122E9"/>
    <w:rsid w:val="00A12388"/>
    <w:rsid w:val="00A1245F"/>
    <w:rsid w:val="00A12525"/>
    <w:rsid w:val="00A12544"/>
    <w:rsid w:val="00A12578"/>
    <w:rsid w:val="00A125C8"/>
    <w:rsid w:val="00A1264E"/>
    <w:rsid w:val="00A12686"/>
    <w:rsid w:val="00A126CE"/>
    <w:rsid w:val="00A12736"/>
    <w:rsid w:val="00A12752"/>
    <w:rsid w:val="00A12937"/>
    <w:rsid w:val="00A129DF"/>
    <w:rsid w:val="00A12A20"/>
    <w:rsid w:val="00A12A36"/>
    <w:rsid w:val="00A12A46"/>
    <w:rsid w:val="00A12ABF"/>
    <w:rsid w:val="00A12B90"/>
    <w:rsid w:val="00A12C25"/>
    <w:rsid w:val="00A12CA0"/>
    <w:rsid w:val="00A12D01"/>
    <w:rsid w:val="00A12D3E"/>
    <w:rsid w:val="00A12D44"/>
    <w:rsid w:val="00A12E4F"/>
    <w:rsid w:val="00A12EB2"/>
    <w:rsid w:val="00A12EB6"/>
    <w:rsid w:val="00A12F2F"/>
    <w:rsid w:val="00A12FA7"/>
    <w:rsid w:val="00A12FFF"/>
    <w:rsid w:val="00A130D1"/>
    <w:rsid w:val="00A1316A"/>
    <w:rsid w:val="00A1317E"/>
    <w:rsid w:val="00A131E6"/>
    <w:rsid w:val="00A13206"/>
    <w:rsid w:val="00A13224"/>
    <w:rsid w:val="00A132CC"/>
    <w:rsid w:val="00A132F8"/>
    <w:rsid w:val="00A13334"/>
    <w:rsid w:val="00A13344"/>
    <w:rsid w:val="00A1337F"/>
    <w:rsid w:val="00A133AD"/>
    <w:rsid w:val="00A13449"/>
    <w:rsid w:val="00A134B6"/>
    <w:rsid w:val="00A134C4"/>
    <w:rsid w:val="00A134CB"/>
    <w:rsid w:val="00A13506"/>
    <w:rsid w:val="00A13558"/>
    <w:rsid w:val="00A1357A"/>
    <w:rsid w:val="00A1358F"/>
    <w:rsid w:val="00A136E6"/>
    <w:rsid w:val="00A13722"/>
    <w:rsid w:val="00A1372F"/>
    <w:rsid w:val="00A13785"/>
    <w:rsid w:val="00A13885"/>
    <w:rsid w:val="00A138C6"/>
    <w:rsid w:val="00A13907"/>
    <w:rsid w:val="00A13A18"/>
    <w:rsid w:val="00A13A6F"/>
    <w:rsid w:val="00A13ACF"/>
    <w:rsid w:val="00A13BFD"/>
    <w:rsid w:val="00A13D07"/>
    <w:rsid w:val="00A13D63"/>
    <w:rsid w:val="00A13DD5"/>
    <w:rsid w:val="00A13DED"/>
    <w:rsid w:val="00A13E16"/>
    <w:rsid w:val="00A13E86"/>
    <w:rsid w:val="00A13F09"/>
    <w:rsid w:val="00A13F9F"/>
    <w:rsid w:val="00A1405D"/>
    <w:rsid w:val="00A1407B"/>
    <w:rsid w:val="00A140E8"/>
    <w:rsid w:val="00A14180"/>
    <w:rsid w:val="00A141DD"/>
    <w:rsid w:val="00A14218"/>
    <w:rsid w:val="00A14223"/>
    <w:rsid w:val="00A14225"/>
    <w:rsid w:val="00A142BE"/>
    <w:rsid w:val="00A142D3"/>
    <w:rsid w:val="00A14302"/>
    <w:rsid w:val="00A1430F"/>
    <w:rsid w:val="00A1435A"/>
    <w:rsid w:val="00A1439C"/>
    <w:rsid w:val="00A143C4"/>
    <w:rsid w:val="00A143E8"/>
    <w:rsid w:val="00A143F5"/>
    <w:rsid w:val="00A14508"/>
    <w:rsid w:val="00A1459C"/>
    <w:rsid w:val="00A146DD"/>
    <w:rsid w:val="00A146ED"/>
    <w:rsid w:val="00A14720"/>
    <w:rsid w:val="00A1475A"/>
    <w:rsid w:val="00A14762"/>
    <w:rsid w:val="00A147A4"/>
    <w:rsid w:val="00A14815"/>
    <w:rsid w:val="00A1482B"/>
    <w:rsid w:val="00A14978"/>
    <w:rsid w:val="00A14A22"/>
    <w:rsid w:val="00A14A63"/>
    <w:rsid w:val="00A14B40"/>
    <w:rsid w:val="00A14B54"/>
    <w:rsid w:val="00A14B81"/>
    <w:rsid w:val="00A14B9D"/>
    <w:rsid w:val="00A14BBA"/>
    <w:rsid w:val="00A14C25"/>
    <w:rsid w:val="00A14C58"/>
    <w:rsid w:val="00A14D1A"/>
    <w:rsid w:val="00A14D6F"/>
    <w:rsid w:val="00A14E48"/>
    <w:rsid w:val="00A14E57"/>
    <w:rsid w:val="00A14ED6"/>
    <w:rsid w:val="00A14ED8"/>
    <w:rsid w:val="00A14F41"/>
    <w:rsid w:val="00A14F68"/>
    <w:rsid w:val="00A14FCD"/>
    <w:rsid w:val="00A14FDD"/>
    <w:rsid w:val="00A1501C"/>
    <w:rsid w:val="00A150E6"/>
    <w:rsid w:val="00A15117"/>
    <w:rsid w:val="00A15121"/>
    <w:rsid w:val="00A15158"/>
    <w:rsid w:val="00A151DA"/>
    <w:rsid w:val="00A15277"/>
    <w:rsid w:val="00A15349"/>
    <w:rsid w:val="00A153C4"/>
    <w:rsid w:val="00A15420"/>
    <w:rsid w:val="00A15511"/>
    <w:rsid w:val="00A15528"/>
    <w:rsid w:val="00A155CB"/>
    <w:rsid w:val="00A1567E"/>
    <w:rsid w:val="00A156ED"/>
    <w:rsid w:val="00A157A3"/>
    <w:rsid w:val="00A157B2"/>
    <w:rsid w:val="00A15849"/>
    <w:rsid w:val="00A15868"/>
    <w:rsid w:val="00A1588B"/>
    <w:rsid w:val="00A1591C"/>
    <w:rsid w:val="00A15977"/>
    <w:rsid w:val="00A1598B"/>
    <w:rsid w:val="00A159C1"/>
    <w:rsid w:val="00A15A46"/>
    <w:rsid w:val="00A15A60"/>
    <w:rsid w:val="00A15A8B"/>
    <w:rsid w:val="00A15AB3"/>
    <w:rsid w:val="00A15B04"/>
    <w:rsid w:val="00A15B7A"/>
    <w:rsid w:val="00A15BB2"/>
    <w:rsid w:val="00A15BCA"/>
    <w:rsid w:val="00A15BF0"/>
    <w:rsid w:val="00A15CEE"/>
    <w:rsid w:val="00A15ECF"/>
    <w:rsid w:val="00A15F31"/>
    <w:rsid w:val="00A15F35"/>
    <w:rsid w:val="00A15FD1"/>
    <w:rsid w:val="00A1610A"/>
    <w:rsid w:val="00A16151"/>
    <w:rsid w:val="00A161F9"/>
    <w:rsid w:val="00A161FE"/>
    <w:rsid w:val="00A162D1"/>
    <w:rsid w:val="00A163ED"/>
    <w:rsid w:val="00A1651F"/>
    <w:rsid w:val="00A16660"/>
    <w:rsid w:val="00A16676"/>
    <w:rsid w:val="00A166C8"/>
    <w:rsid w:val="00A16722"/>
    <w:rsid w:val="00A167F5"/>
    <w:rsid w:val="00A16804"/>
    <w:rsid w:val="00A16A31"/>
    <w:rsid w:val="00A16A73"/>
    <w:rsid w:val="00A16AAE"/>
    <w:rsid w:val="00A16B4B"/>
    <w:rsid w:val="00A16BB2"/>
    <w:rsid w:val="00A16C44"/>
    <w:rsid w:val="00A16CB3"/>
    <w:rsid w:val="00A16D33"/>
    <w:rsid w:val="00A16D80"/>
    <w:rsid w:val="00A16D95"/>
    <w:rsid w:val="00A16E18"/>
    <w:rsid w:val="00A16E89"/>
    <w:rsid w:val="00A16EA4"/>
    <w:rsid w:val="00A16EA9"/>
    <w:rsid w:val="00A16F15"/>
    <w:rsid w:val="00A16F20"/>
    <w:rsid w:val="00A16FDC"/>
    <w:rsid w:val="00A16FF8"/>
    <w:rsid w:val="00A1704B"/>
    <w:rsid w:val="00A1705D"/>
    <w:rsid w:val="00A17191"/>
    <w:rsid w:val="00A17194"/>
    <w:rsid w:val="00A1722F"/>
    <w:rsid w:val="00A17330"/>
    <w:rsid w:val="00A173BC"/>
    <w:rsid w:val="00A173FC"/>
    <w:rsid w:val="00A17435"/>
    <w:rsid w:val="00A17449"/>
    <w:rsid w:val="00A174FF"/>
    <w:rsid w:val="00A1761D"/>
    <w:rsid w:val="00A17637"/>
    <w:rsid w:val="00A17681"/>
    <w:rsid w:val="00A17695"/>
    <w:rsid w:val="00A176D9"/>
    <w:rsid w:val="00A177FD"/>
    <w:rsid w:val="00A1782C"/>
    <w:rsid w:val="00A17899"/>
    <w:rsid w:val="00A178C4"/>
    <w:rsid w:val="00A178CB"/>
    <w:rsid w:val="00A1797C"/>
    <w:rsid w:val="00A179A4"/>
    <w:rsid w:val="00A179C3"/>
    <w:rsid w:val="00A17A65"/>
    <w:rsid w:val="00A17B23"/>
    <w:rsid w:val="00A17B4C"/>
    <w:rsid w:val="00A17B6E"/>
    <w:rsid w:val="00A17BAE"/>
    <w:rsid w:val="00A17BF8"/>
    <w:rsid w:val="00A17C59"/>
    <w:rsid w:val="00A17D4A"/>
    <w:rsid w:val="00A17E22"/>
    <w:rsid w:val="00A17E3E"/>
    <w:rsid w:val="00A17E97"/>
    <w:rsid w:val="00A17F16"/>
    <w:rsid w:val="00A17F88"/>
    <w:rsid w:val="00A20003"/>
    <w:rsid w:val="00A20133"/>
    <w:rsid w:val="00A20144"/>
    <w:rsid w:val="00A2015D"/>
    <w:rsid w:val="00A202C0"/>
    <w:rsid w:val="00A20340"/>
    <w:rsid w:val="00A20368"/>
    <w:rsid w:val="00A203A0"/>
    <w:rsid w:val="00A203D1"/>
    <w:rsid w:val="00A20403"/>
    <w:rsid w:val="00A2045F"/>
    <w:rsid w:val="00A20487"/>
    <w:rsid w:val="00A20581"/>
    <w:rsid w:val="00A20650"/>
    <w:rsid w:val="00A2069E"/>
    <w:rsid w:val="00A206CD"/>
    <w:rsid w:val="00A206ED"/>
    <w:rsid w:val="00A20705"/>
    <w:rsid w:val="00A207F4"/>
    <w:rsid w:val="00A20809"/>
    <w:rsid w:val="00A2083A"/>
    <w:rsid w:val="00A209A2"/>
    <w:rsid w:val="00A20A54"/>
    <w:rsid w:val="00A20AD0"/>
    <w:rsid w:val="00A20B68"/>
    <w:rsid w:val="00A20BC4"/>
    <w:rsid w:val="00A20C75"/>
    <w:rsid w:val="00A20D6F"/>
    <w:rsid w:val="00A20D7E"/>
    <w:rsid w:val="00A20DCB"/>
    <w:rsid w:val="00A20DE5"/>
    <w:rsid w:val="00A20E67"/>
    <w:rsid w:val="00A20E9C"/>
    <w:rsid w:val="00A20EBD"/>
    <w:rsid w:val="00A20F68"/>
    <w:rsid w:val="00A20FAF"/>
    <w:rsid w:val="00A20FB7"/>
    <w:rsid w:val="00A20FE1"/>
    <w:rsid w:val="00A21159"/>
    <w:rsid w:val="00A212A0"/>
    <w:rsid w:val="00A212FD"/>
    <w:rsid w:val="00A212FF"/>
    <w:rsid w:val="00A21338"/>
    <w:rsid w:val="00A21360"/>
    <w:rsid w:val="00A214EE"/>
    <w:rsid w:val="00A21535"/>
    <w:rsid w:val="00A2155C"/>
    <w:rsid w:val="00A2160E"/>
    <w:rsid w:val="00A21688"/>
    <w:rsid w:val="00A2174C"/>
    <w:rsid w:val="00A21758"/>
    <w:rsid w:val="00A217AA"/>
    <w:rsid w:val="00A2185E"/>
    <w:rsid w:val="00A218CC"/>
    <w:rsid w:val="00A21930"/>
    <w:rsid w:val="00A21974"/>
    <w:rsid w:val="00A21A58"/>
    <w:rsid w:val="00A21A9B"/>
    <w:rsid w:val="00A21A9E"/>
    <w:rsid w:val="00A21B70"/>
    <w:rsid w:val="00A21B8F"/>
    <w:rsid w:val="00A21BAC"/>
    <w:rsid w:val="00A21CCB"/>
    <w:rsid w:val="00A21CCE"/>
    <w:rsid w:val="00A21D27"/>
    <w:rsid w:val="00A21EFF"/>
    <w:rsid w:val="00A21F0D"/>
    <w:rsid w:val="00A21F20"/>
    <w:rsid w:val="00A21F25"/>
    <w:rsid w:val="00A21F5F"/>
    <w:rsid w:val="00A21F71"/>
    <w:rsid w:val="00A22005"/>
    <w:rsid w:val="00A22042"/>
    <w:rsid w:val="00A22081"/>
    <w:rsid w:val="00A220A6"/>
    <w:rsid w:val="00A220BD"/>
    <w:rsid w:val="00A221A1"/>
    <w:rsid w:val="00A221A7"/>
    <w:rsid w:val="00A221E8"/>
    <w:rsid w:val="00A22238"/>
    <w:rsid w:val="00A22272"/>
    <w:rsid w:val="00A22281"/>
    <w:rsid w:val="00A2228A"/>
    <w:rsid w:val="00A22322"/>
    <w:rsid w:val="00A22360"/>
    <w:rsid w:val="00A22363"/>
    <w:rsid w:val="00A224C6"/>
    <w:rsid w:val="00A224CD"/>
    <w:rsid w:val="00A224D1"/>
    <w:rsid w:val="00A2253F"/>
    <w:rsid w:val="00A22549"/>
    <w:rsid w:val="00A2254C"/>
    <w:rsid w:val="00A22557"/>
    <w:rsid w:val="00A225AB"/>
    <w:rsid w:val="00A225F2"/>
    <w:rsid w:val="00A2285A"/>
    <w:rsid w:val="00A228F3"/>
    <w:rsid w:val="00A22969"/>
    <w:rsid w:val="00A22991"/>
    <w:rsid w:val="00A22AA1"/>
    <w:rsid w:val="00A22C4D"/>
    <w:rsid w:val="00A22C80"/>
    <w:rsid w:val="00A22D99"/>
    <w:rsid w:val="00A22DB2"/>
    <w:rsid w:val="00A22DF5"/>
    <w:rsid w:val="00A22EE7"/>
    <w:rsid w:val="00A22EFD"/>
    <w:rsid w:val="00A22EFE"/>
    <w:rsid w:val="00A22FA1"/>
    <w:rsid w:val="00A22FBB"/>
    <w:rsid w:val="00A23018"/>
    <w:rsid w:val="00A230BF"/>
    <w:rsid w:val="00A23154"/>
    <w:rsid w:val="00A23261"/>
    <w:rsid w:val="00A23365"/>
    <w:rsid w:val="00A2338E"/>
    <w:rsid w:val="00A2340D"/>
    <w:rsid w:val="00A23414"/>
    <w:rsid w:val="00A234B4"/>
    <w:rsid w:val="00A236DE"/>
    <w:rsid w:val="00A2378B"/>
    <w:rsid w:val="00A23843"/>
    <w:rsid w:val="00A23876"/>
    <w:rsid w:val="00A238CA"/>
    <w:rsid w:val="00A238D3"/>
    <w:rsid w:val="00A2395D"/>
    <w:rsid w:val="00A239F9"/>
    <w:rsid w:val="00A239FF"/>
    <w:rsid w:val="00A23B35"/>
    <w:rsid w:val="00A23B62"/>
    <w:rsid w:val="00A23C2A"/>
    <w:rsid w:val="00A23CF8"/>
    <w:rsid w:val="00A23D02"/>
    <w:rsid w:val="00A23D0E"/>
    <w:rsid w:val="00A23D2C"/>
    <w:rsid w:val="00A23DE5"/>
    <w:rsid w:val="00A23E24"/>
    <w:rsid w:val="00A23E48"/>
    <w:rsid w:val="00A23E7E"/>
    <w:rsid w:val="00A23F9F"/>
    <w:rsid w:val="00A23FB8"/>
    <w:rsid w:val="00A23FDE"/>
    <w:rsid w:val="00A24167"/>
    <w:rsid w:val="00A24170"/>
    <w:rsid w:val="00A24191"/>
    <w:rsid w:val="00A241F0"/>
    <w:rsid w:val="00A24247"/>
    <w:rsid w:val="00A24279"/>
    <w:rsid w:val="00A24288"/>
    <w:rsid w:val="00A242C4"/>
    <w:rsid w:val="00A243C1"/>
    <w:rsid w:val="00A2440D"/>
    <w:rsid w:val="00A24458"/>
    <w:rsid w:val="00A24468"/>
    <w:rsid w:val="00A2453B"/>
    <w:rsid w:val="00A24545"/>
    <w:rsid w:val="00A245D8"/>
    <w:rsid w:val="00A246B9"/>
    <w:rsid w:val="00A24718"/>
    <w:rsid w:val="00A2472B"/>
    <w:rsid w:val="00A2478B"/>
    <w:rsid w:val="00A24797"/>
    <w:rsid w:val="00A247DF"/>
    <w:rsid w:val="00A247E0"/>
    <w:rsid w:val="00A24804"/>
    <w:rsid w:val="00A24819"/>
    <w:rsid w:val="00A24822"/>
    <w:rsid w:val="00A248F9"/>
    <w:rsid w:val="00A249C4"/>
    <w:rsid w:val="00A24A0E"/>
    <w:rsid w:val="00A24A77"/>
    <w:rsid w:val="00A24AAB"/>
    <w:rsid w:val="00A24BFC"/>
    <w:rsid w:val="00A24EEE"/>
    <w:rsid w:val="00A24F23"/>
    <w:rsid w:val="00A24F6E"/>
    <w:rsid w:val="00A24FB1"/>
    <w:rsid w:val="00A24FC3"/>
    <w:rsid w:val="00A25129"/>
    <w:rsid w:val="00A251E8"/>
    <w:rsid w:val="00A25222"/>
    <w:rsid w:val="00A252BA"/>
    <w:rsid w:val="00A25419"/>
    <w:rsid w:val="00A25495"/>
    <w:rsid w:val="00A25502"/>
    <w:rsid w:val="00A25509"/>
    <w:rsid w:val="00A255AC"/>
    <w:rsid w:val="00A25653"/>
    <w:rsid w:val="00A25671"/>
    <w:rsid w:val="00A25697"/>
    <w:rsid w:val="00A256B4"/>
    <w:rsid w:val="00A256CE"/>
    <w:rsid w:val="00A25741"/>
    <w:rsid w:val="00A2575F"/>
    <w:rsid w:val="00A257B7"/>
    <w:rsid w:val="00A257C7"/>
    <w:rsid w:val="00A25837"/>
    <w:rsid w:val="00A2583F"/>
    <w:rsid w:val="00A2584D"/>
    <w:rsid w:val="00A25888"/>
    <w:rsid w:val="00A258B4"/>
    <w:rsid w:val="00A258BF"/>
    <w:rsid w:val="00A258F8"/>
    <w:rsid w:val="00A25974"/>
    <w:rsid w:val="00A259CC"/>
    <w:rsid w:val="00A25A67"/>
    <w:rsid w:val="00A25A7C"/>
    <w:rsid w:val="00A25AD5"/>
    <w:rsid w:val="00A25AF8"/>
    <w:rsid w:val="00A25C44"/>
    <w:rsid w:val="00A25C4A"/>
    <w:rsid w:val="00A25D04"/>
    <w:rsid w:val="00A25E8E"/>
    <w:rsid w:val="00A25ED2"/>
    <w:rsid w:val="00A25F06"/>
    <w:rsid w:val="00A25F1D"/>
    <w:rsid w:val="00A26027"/>
    <w:rsid w:val="00A26125"/>
    <w:rsid w:val="00A2618B"/>
    <w:rsid w:val="00A26259"/>
    <w:rsid w:val="00A26308"/>
    <w:rsid w:val="00A2633A"/>
    <w:rsid w:val="00A263A8"/>
    <w:rsid w:val="00A263F9"/>
    <w:rsid w:val="00A264D5"/>
    <w:rsid w:val="00A26545"/>
    <w:rsid w:val="00A26567"/>
    <w:rsid w:val="00A2659D"/>
    <w:rsid w:val="00A26609"/>
    <w:rsid w:val="00A2665F"/>
    <w:rsid w:val="00A26699"/>
    <w:rsid w:val="00A2669E"/>
    <w:rsid w:val="00A266E1"/>
    <w:rsid w:val="00A26727"/>
    <w:rsid w:val="00A2673C"/>
    <w:rsid w:val="00A26775"/>
    <w:rsid w:val="00A267FF"/>
    <w:rsid w:val="00A26805"/>
    <w:rsid w:val="00A2682B"/>
    <w:rsid w:val="00A269F1"/>
    <w:rsid w:val="00A26B2B"/>
    <w:rsid w:val="00A26B68"/>
    <w:rsid w:val="00A26B78"/>
    <w:rsid w:val="00A26BE9"/>
    <w:rsid w:val="00A26C41"/>
    <w:rsid w:val="00A26CD2"/>
    <w:rsid w:val="00A26D57"/>
    <w:rsid w:val="00A26DEB"/>
    <w:rsid w:val="00A26E0A"/>
    <w:rsid w:val="00A26FF9"/>
    <w:rsid w:val="00A27172"/>
    <w:rsid w:val="00A2728B"/>
    <w:rsid w:val="00A272AC"/>
    <w:rsid w:val="00A27363"/>
    <w:rsid w:val="00A273CF"/>
    <w:rsid w:val="00A273F0"/>
    <w:rsid w:val="00A27500"/>
    <w:rsid w:val="00A2754C"/>
    <w:rsid w:val="00A27551"/>
    <w:rsid w:val="00A275AC"/>
    <w:rsid w:val="00A275FA"/>
    <w:rsid w:val="00A27679"/>
    <w:rsid w:val="00A27699"/>
    <w:rsid w:val="00A276C5"/>
    <w:rsid w:val="00A276CA"/>
    <w:rsid w:val="00A276ED"/>
    <w:rsid w:val="00A2778E"/>
    <w:rsid w:val="00A277D1"/>
    <w:rsid w:val="00A278F2"/>
    <w:rsid w:val="00A278FF"/>
    <w:rsid w:val="00A27906"/>
    <w:rsid w:val="00A27948"/>
    <w:rsid w:val="00A27A15"/>
    <w:rsid w:val="00A27B54"/>
    <w:rsid w:val="00A27B6D"/>
    <w:rsid w:val="00A27B8E"/>
    <w:rsid w:val="00A27BAA"/>
    <w:rsid w:val="00A27BF8"/>
    <w:rsid w:val="00A27C84"/>
    <w:rsid w:val="00A27CAE"/>
    <w:rsid w:val="00A27D1E"/>
    <w:rsid w:val="00A27D84"/>
    <w:rsid w:val="00A27E53"/>
    <w:rsid w:val="00A27EA5"/>
    <w:rsid w:val="00A27F4F"/>
    <w:rsid w:val="00A30082"/>
    <w:rsid w:val="00A300C9"/>
    <w:rsid w:val="00A30114"/>
    <w:rsid w:val="00A301C9"/>
    <w:rsid w:val="00A30200"/>
    <w:rsid w:val="00A3031B"/>
    <w:rsid w:val="00A30496"/>
    <w:rsid w:val="00A304F3"/>
    <w:rsid w:val="00A30503"/>
    <w:rsid w:val="00A30571"/>
    <w:rsid w:val="00A305A7"/>
    <w:rsid w:val="00A305F4"/>
    <w:rsid w:val="00A306D0"/>
    <w:rsid w:val="00A30727"/>
    <w:rsid w:val="00A30788"/>
    <w:rsid w:val="00A3083A"/>
    <w:rsid w:val="00A308BE"/>
    <w:rsid w:val="00A308C7"/>
    <w:rsid w:val="00A3096D"/>
    <w:rsid w:val="00A30978"/>
    <w:rsid w:val="00A30A8F"/>
    <w:rsid w:val="00A30B98"/>
    <w:rsid w:val="00A30B9D"/>
    <w:rsid w:val="00A30BD7"/>
    <w:rsid w:val="00A30D0A"/>
    <w:rsid w:val="00A30D1E"/>
    <w:rsid w:val="00A30DCD"/>
    <w:rsid w:val="00A30E04"/>
    <w:rsid w:val="00A30E37"/>
    <w:rsid w:val="00A30EA8"/>
    <w:rsid w:val="00A30EAB"/>
    <w:rsid w:val="00A30F43"/>
    <w:rsid w:val="00A30F96"/>
    <w:rsid w:val="00A31041"/>
    <w:rsid w:val="00A31099"/>
    <w:rsid w:val="00A310F3"/>
    <w:rsid w:val="00A31195"/>
    <w:rsid w:val="00A3119C"/>
    <w:rsid w:val="00A311AB"/>
    <w:rsid w:val="00A31204"/>
    <w:rsid w:val="00A312D1"/>
    <w:rsid w:val="00A31358"/>
    <w:rsid w:val="00A314FB"/>
    <w:rsid w:val="00A315CC"/>
    <w:rsid w:val="00A31655"/>
    <w:rsid w:val="00A31690"/>
    <w:rsid w:val="00A316D7"/>
    <w:rsid w:val="00A316FC"/>
    <w:rsid w:val="00A31707"/>
    <w:rsid w:val="00A31729"/>
    <w:rsid w:val="00A31869"/>
    <w:rsid w:val="00A3189E"/>
    <w:rsid w:val="00A31A17"/>
    <w:rsid w:val="00A31AA5"/>
    <w:rsid w:val="00A31B1C"/>
    <w:rsid w:val="00A31B3D"/>
    <w:rsid w:val="00A31B93"/>
    <w:rsid w:val="00A31C51"/>
    <w:rsid w:val="00A31CCF"/>
    <w:rsid w:val="00A31D37"/>
    <w:rsid w:val="00A31DB5"/>
    <w:rsid w:val="00A31EF3"/>
    <w:rsid w:val="00A31FA9"/>
    <w:rsid w:val="00A3200E"/>
    <w:rsid w:val="00A32021"/>
    <w:rsid w:val="00A32230"/>
    <w:rsid w:val="00A322F2"/>
    <w:rsid w:val="00A32393"/>
    <w:rsid w:val="00A323AC"/>
    <w:rsid w:val="00A323E6"/>
    <w:rsid w:val="00A3246A"/>
    <w:rsid w:val="00A324CF"/>
    <w:rsid w:val="00A324F1"/>
    <w:rsid w:val="00A32695"/>
    <w:rsid w:val="00A32760"/>
    <w:rsid w:val="00A327CE"/>
    <w:rsid w:val="00A327EF"/>
    <w:rsid w:val="00A3288D"/>
    <w:rsid w:val="00A32924"/>
    <w:rsid w:val="00A32A4F"/>
    <w:rsid w:val="00A32A75"/>
    <w:rsid w:val="00A32A8D"/>
    <w:rsid w:val="00A32BE5"/>
    <w:rsid w:val="00A32C05"/>
    <w:rsid w:val="00A32C21"/>
    <w:rsid w:val="00A32C38"/>
    <w:rsid w:val="00A32CB4"/>
    <w:rsid w:val="00A32CBD"/>
    <w:rsid w:val="00A32D42"/>
    <w:rsid w:val="00A32DE0"/>
    <w:rsid w:val="00A32E17"/>
    <w:rsid w:val="00A32E2A"/>
    <w:rsid w:val="00A32F12"/>
    <w:rsid w:val="00A32F95"/>
    <w:rsid w:val="00A32FA6"/>
    <w:rsid w:val="00A32FF1"/>
    <w:rsid w:val="00A33044"/>
    <w:rsid w:val="00A33080"/>
    <w:rsid w:val="00A331D2"/>
    <w:rsid w:val="00A331FD"/>
    <w:rsid w:val="00A33219"/>
    <w:rsid w:val="00A3324A"/>
    <w:rsid w:val="00A332F8"/>
    <w:rsid w:val="00A33306"/>
    <w:rsid w:val="00A33464"/>
    <w:rsid w:val="00A33507"/>
    <w:rsid w:val="00A33543"/>
    <w:rsid w:val="00A33570"/>
    <w:rsid w:val="00A335FE"/>
    <w:rsid w:val="00A33673"/>
    <w:rsid w:val="00A336B2"/>
    <w:rsid w:val="00A3385D"/>
    <w:rsid w:val="00A3393A"/>
    <w:rsid w:val="00A33977"/>
    <w:rsid w:val="00A33A34"/>
    <w:rsid w:val="00A33A5A"/>
    <w:rsid w:val="00A33ABB"/>
    <w:rsid w:val="00A33AEC"/>
    <w:rsid w:val="00A33B19"/>
    <w:rsid w:val="00A33B7E"/>
    <w:rsid w:val="00A33BDE"/>
    <w:rsid w:val="00A33C2A"/>
    <w:rsid w:val="00A33C5E"/>
    <w:rsid w:val="00A33CD6"/>
    <w:rsid w:val="00A33F7B"/>
    <w:rsid w:val="00A33FEA"/>
    <w:rsid w:val="00A34002"/>
    <w:rsid w:val="00A34042"/>
    <w:rsid w:val="00A3404D"/>
    <w:rsid w:val="00A340A2"/>
    <w:rsid w:val="00A341A4"/>
    <w:rsid w:val="00A34215"/>
    <w:rsid w:val="00A3442F"/>
    <w:rsid w:val="00A344FF"/>
    <w:rsid w:val="00A34524"/>
    <w:rsid w:val="00A3459C"/>
    <w:rsid w:val="00A345B4"/>
    <w:rsid w:val="00A345CA"/>
    <w:rsid w:val="00A345FE"/>
    <w:rsid w:val="00A346BC"/>
    <w:rsid w:val="00A346F2"/>
    <w:rsid w:val="00A34730"/>
    <w:rsid w:val="00A34756"/>
    <w:rsid w:val="00A34769"/>
    <w:rsid w:val="00A347A9"/>
    <w:rsid w:val="00A347E7"/>
    <w:rsid w:val="00A347F8"/>
    <w:rsid w:val="00A347F9"/>
    <w:rsid w:val="00A34815"/>
    <w:rsid w:val="00A3484B"/>
    <w:rsid w:val="00A3485B"/>
    <w:rsid w:val="00A3487A"/>
    <w:rsid w:val="00A3497F"/>
    <w:rsid w:val="00A349D6"/>
    <w:rsid w:val="00A34A28"/>
    <w:rsid w:val="00A34A2C"/>
    <w:rsid w:val="00A34A2E"/>
    <w:rsid w:val="00A34A9E"/>
    <w:rsid w:val="00A34B19"/>
    <w:rsid w:val="00A34B24"/>
    <w:rsid w:val="00A34BBE"/>
    <w:rsid w:val="00A34BDB"/>
    <w:rsid w:val="00A34BEA"/>
    <w:rsid w:val="00A34CD3"/>
    <w:rsid w:val="00A34D34"/>
    <w:rsid w:val="00A34DA8"/>
    <w:rsid w:val="00A34DF5"/>
    <w:rsid w:val="00A34E47"/>
    <w:rsid w:val="00A34F3C"/>
    <w:rsid w:val="00A34FB5"/>
    <w:rsid w:val="00A34FC8"/>
    <w:rsid w:val="00A350AF"/>
    <w:rsid w:val="00A350BB"/>
    <w:rsid w:val="00A350F8"/>
    <w:rsid w:val="00A350FC"/>
    <w:rsid w:val="00A350FF"/>
    <w:rsid w:val="00A35201"/>
    <w:rsid w:val="00A3529C"/>
    <w:rsid w:val="00A35313"/>
    <w:rsid w:val="00A35359"/>
    <w:rsid w:val="00A353F6"/>
    <w:rsid w:val="00A35456"/>
    <w:rsid w:val="00A3548B"/>
    <w:rsid w:val="00A355D8"/>
    <w:rsid w:val="00A35678"/>
    <w:rsid w:val="00A3567D"/>
    <w:rsid w:val="00A356A0"/>
    <w:rsid w:val="00A356BF"/>
    <w:rsid w:val="00A357D0"/>
    <w:rsid w:val="00A35845"/>
    <w:rsid w:val="00A3584F"/>
    <w:rsid w:val="00A35853"/>
    <w:rsid w:val="00A35949"/>
    <w:rsid w:val="00A359E2"/>
    <w:rsid w:val="00A35A73"/>
    <w:rsid w:val="00A35AD8"/>
    <w:rsid w:val="00A35B1A"/>
    <w:rsid w:val="00A35B6F"/>
    <w:rsid w:val="00A35B83"/>
    <w:rsid w:val="00A35B9C"/>
    <w:rsid w:val="00A35BB7"/>
    <w:rsid w:val="00A35C30"/>
    <w:rsid w:val="00A35CC7"/>
    <w:rsid w:val="00A35CDA"/>
    <w:rsid w:val="00A35D0C"/>
    <w:rsid w:val="00A35E5C"/>
    <w:rsid w:val="00A35E83"/>
    <w:rsid w:val="00A35E85"/>
    <w:rsid w:val="00A35E8C"/>
    <w:rsid w:val="00A35E93"/>
    <w:rsid w:val="00A360AA"/>
    <w:rsid w:val="00A360C6"/>
    <w:rsid w:val="00A3611E"/>
    <w:rsid w:val="00A36159"/>
    <w:rsid w:val="00A3627E"/>
    <w:rsid w:val="00A36302"/>
    <w:rsid w:val="00A36309"/>
    <w:rsid w:val="00A3634C"/>
    <w:rsid w:val="00A3636C"/>
    <w:rsid w:val="00A36441"/>
    <w:rsid w:val="00A3646E"/>
    <w:rsid w:val="00A364B3"/>
    <w:rsid w:val="00A364E0"/>
    <w:rsid w:val="00A3651C"/>
    <w:rsid w:val="00A36578"/>
    <w:rsid w:val="00A366BD"/>
    <w:rsid w:val="00A3674F"/>
    <w:rsid w:val="00A367C4"/>
    <w:rsid w:val="00A367CA"/>
    <w:rsid w:val="00A3683F"/>
    <w:rsid w:val="00A36897"/>
    <w:rsid w:val="00A368F5"/>
    <w:rsid w:val="00A36950"/>
    <w:rsid w:val="00A36952"/>
    <w:rsid w:val="00A36A6A"/>
    <w:rsid w:val="00A36AA4"/>
    <w:rsid w:val="00A36AE3"/>
    <w:rsid w:val="00A36AE9"/>
    <w:rsid w:val="00A36BE4"/>
    <w:rsid w:val="00A36C19"/>
    <w:rsid w:val="00A36C3D"/>
    <w:rsid w:val="00A36C48"/>
    <w:rsid w:val="00A36C9B"/>
    <w:rsid w:val="00A36DBA"/>
    <w:rsid w:val="00A36DCC"/>
    <w:rsid w:val="00A36DFA"/>
    <w:rsid w:val="00A36ED7"/>
    <w:rsid w:val="00A36F19"/>
    <w:rsid w:val="00A36FEA"/>
    <w:rsid w:val="00A36FF0"/>
    <w:rsid w:val="00A37016"/>
    <w:rsid w:val="00A37068"/>
    <w:rsid w:val="00A370A3"/>
    <w:rsid w:val="00A370D7"/>
    <w:rsid w:val="00A370FD"/>
    <w:rsid w:val="00A37127"/>
    <w:rsid w:val="00A3712D"/>
    <w:rsid w:val="00A3712E"/>
    <w:rsid w:val="00A3719B"/>
    <w:rsid w:val="00A371E5"/>
    <w:rsid w:val="00A37228"/>
    <w:rsid w:val="00A3723D"/>
    <w:rsid w:val="00A372BE"/>
    <w:rsid w:val="00A372C0"/>
    <w:rsid w:val="00A372CB"/>
    <w:rsid w:val="00A3745E"/>
    <w:rsid w:val="00A3749B"/>
    <w:rsid w:val="00A37582"/>
    <w:rsid w:val="00A375D7"/>
    <w:rsid w:val="00A37740"/>
    <w:rsid w:val="00A37791"/>
    <w:rsid w:val="00A377C1"/>
    <w:rsid w:val="00A3782A"/>
    <w:rsid w:val="00A3784D"/>
    <w:rsid w:val="00A37883"/>
    <w:rsid w:val="00A3793F"/>
    <w:rsid w:val="00A379C5"/>
    <w:rsid w:val="00A37AE2"/>
    <w:rsid w:val="00A37B03"/>
    <w:rsid w:val="00A37B14"/>
    <w:rsid w:val="00A37BF2"/>
    <w:rsid w:val="00A37D3B"/>
    <w:rsid w:val="00A37D71"/>
    <w:rsid w:val="00A37D76"/>
    <w:rsid w:val="00A37EB6"/>
    <w:rsid w:val="00A37F43"/>
    <w:rsid w:val="00A4001A"/>
    <w:rsid w:val="00A40034"/>
    <w:rsid w:val="00A40100"/>
    <w:rsid w:val="00A4013E"/>
    <w:rsid w:val="00A40172"/>
    <w:rsid w:val="00A4024F"/>
    <w:rsid w:val="00A4025A"/>
    <w:rsid w:val="00A40314"/>
    <w:rsid w:val="00A40384"/>
    <w:rsid w:val="00A403DD"/>
    <w:rsid w:val="00A403FF"/>
    <w:rsid w:val="00A40433"/>
    <w:rsid w:val="00A4043A"/>
    <w:rsid w:val="00A40483"/>
    <w:rsid w:val="00A40525"/>
    <w:rsid w:val="00A4052F"/>
    <w:rsid w:val="00A4054E"/>
    <w:rsid w:val="00A4058E"/>
    <w:rsid w:val="00A405B6"/>
    <w:rsid w:val="00A40620"/>
    <w:rsid w:val="00A40629"/>
    <w:rsid w:val="00A40692"/>
    <w:rsid w:val="00A406A2"/>
    <w:rsid w:val="00A406E9"/>
    <w:rsid w:val="00A40725"/>
    <w:rsid w:val="00A4082D"/>
    <w:rsid w:val="00A40845"/>
    <w:rsid w:val="00A4084E"/>
    <w:rsid w:val="00A40884"/>
    <w:rsid w:val="00A40929"/>
    <w:rsid w:val="00A40974"/>
    <w:rsid w:val="00A409B3"/>
    <w:rsid w:val="00A40A3E"/>
    <w:rsid w:val="00A40A90"/>
    <w:rsid w:val="00A40B56"/>
    <w:rsid w:val="00A40C45"/>
    <w:rsid w:val="00A40CDD"/>
    <w:rsid w:val="00A40D65"/>
    <w:rsid w:val="00A40D6C"/>
    <w:rsid w:val="00A40DC3"/>
    <w:rsid w:val="00A40E86"/>
    <w:rsid w:val="00A40F64"/>
    <w:rsid w:val="00A40F6E"/>
    <w:rsid w:val="00A40F84"/>
    <w:rsid w:val="00A40FC5"/>
    <w:rsid w:val="00A40FDC"/>
    <w:rsid w:val="00A40FE4"/>
    <w:rsid w:val="00A40FE7"/>
    <w:rsid w:val="00A41008"/>
    <w:rsid w:val="00A410A9"/>
    <w:rsid w:val="00A410BF"/>
    <w:rsid w:val="00A41100"/>
    <w:rsid w:val="00A41127"/>
    <w:rsid w:val="00A41217"/>
    <w:rsid w:val="00A41281"/>
    <w:rsid w:val="00A412F2"/>
    <w:rsid w:val="00A41310"/>
    <w:rsid w:val="00A41354"/>
    <w:rsid w:val="00A41479"/>
    <w:rsid w:val="00A4151F"/>
    <w:rsid w:val="00A4157F"/>
    <w:rsid w:val="00A41590"/>
    <w:rsid w:val="00A416B4"/>
    <w:rsid w:val="00A417B7"/>
    <w:rsid w:val="00A4186B"/>
    <w:rsid w:val="00A41912"/>
    <w:rsid w:val="00A41957"/>
    <w:rsid w:val="00A41A00"/>
    <w:rsid w:val="00A41A15"/>
    <w:rsid w:val="00A41A5F"/>
    <w:rsid w:val="00A41AB9"/>
    <w:rsid w:val="00A41AE0"/>
    <w:rsid w:val="00A41C0B"/>
    <w:rsid w:val="00A41D26"/>
    <w:rsid w:val="00A41D4E"/>
    <w:rsid w:val="00A41D52"/>
    <w:rsid w:val="00A41D9D"/>
    <w:rsid w:val="00A41DBA"/>
    <w:rsid w:val="00A41DD9"/>
    <w:rsid w:val="00A41E34"/>
    <w:rsid w:val="00A41E44"/>
    <w:rsid w:val="00A41E4C"/>
    <w:rsid w:val="00A41F36"/>
    <w:rsid w:val="00A42009"/>
    <w:rsid w:val="00A420BB"/>
    <w:rsid w:val="00A420C0"/>
    <w:rsid w:val="00A420C5"/>
    <w:rsid w:val="00A420DE"/>
    <w:rsid w:val="00A420E8"/>
    <w:rsid w:val="00A42109"/>
    <w:rsid w:val="00A4214E"/>
    <w:rsid w:val="00A421ED"/>
    <w:rsid w:val="00A42200"/>
    <w:rsid w:val="00A4234F"/>
    <w:rsid w:val="00A42687"/>
    <w:rsid w:val="00A42872"/>
    <w:rsid w:val="00A4289E"/>
    <w:rsid w:val="00A428F0"/>
    <w:rsid w:val="00A428FF"/>
    <w:rsid w:val="00A429C5"/>
    <w:rsid w:val="00A429D2"/>
    <w:rsid w:val="00A42ACF"/>
    <w:rsid w:val="00A42B5E"/>
    <w:rsid w:val="00A42B84"/>
    <w:rsid w:val="00A42C25"/>
    <w:rsid w:val="00A42C36"/>
    <w:rsid w:val="00A42C3D"/>
    <w:rsid w:val="00A42E5C"/>
    <w:rsid w:val="00A42E90"/>
    <w:rsid w:val="00A42EA9"/>
    <w:rsid w:val="00A42EF6"/>
    <w:rsid w:val="00A42F14"/>
    <w:rsid w:val="00A42F72"/>
    <w:rsid w:val="00A42F74"/>
    <w:rsid w:val="00A42F97"/>
    <w:rsid w:val="00A430F6"/>
    <w:rsid w:val="00A4312E"/>
    <w:rsid w:val="00A43153"/>
    <w:rsid w:val="00A4317F"/>
    <w:rsid w:val="00A43193"/>
    <w:rsid w:val="00A431A6"/>
    <w:rsid w:val="00A4332B"/>
    <w:rsid w:val="00A43373"/>
    <w:rsid w:val="00A433AB"/>
    <w:rsid w:val="00A434A5"/>
    <w:rsid w:val="00A434BE"/>
    <w:rsid w:val="00A4354B"/>
    <w:rsid w:val="00A4359C"/>
    <w:rsid w:val="00A4360F"/>
    <w:rsid w:val="00A4370C"/>
    <w:rsid w:val="00A43772"/>
    <w:rsid w:val="00A43822"/>
    <w:rsid w:val="00A43852"/>
    <w:rsid w:val="00A438E2"/>
    <w:rsid w:val="00A438EE"/>
    <w:rsid w:val="00A439A2"/>
    <w:rsid w:val="00A439E5"/>
    <w:rsid w:val="00A43A54"/>
    <w:rsid w:val="00A43A71"/>
    <w:rsid w:val="00A43B01"/>
    <w:rsid w:val="00A43B38"/>
    <w:rsid w:val="00A43B4C"/>
    <w:rsid w:val="00A43B8C"/>
    <w:rsid w:val="00A43BC1"/>
    <w:rsid w:val="00A43C3E"/>
    <w:rsid w:val="00A43C7B"/>
    <w:rsid w:val="00A43D4D"/>
    <w:rsid w:val="00A43D52"/>
    <w:rsid w:val="00A43D66"/>
    <w:rsid w:val="00A43DD6"/>
    <w:rsid w:val="00A43E50"/>
    <w:rsid w:val="00A43EFD"/>
    <w:rsid w:val="00A43F6C"/>
    <w:rsid w:val="00A44071"/>
    <w:rsid w:val="00A44097"/>
    <w:rsid w:val="00A4410F"/>
    <w:rsid w:val="00A441DC"/>
    <w:rsid w:val="00A441FC"/>
    <w:rsid w:val="00A44259"/>
    <w:rsid w:val="00A442AC"/>
    <w:rsid w:val="00A442E6"/>
    <w:rsid w:val="00A442F5"/>
    <w:rsid w:val="00A44332"/>
    <w:rsid w:val="00A443D1"/>
    <w:rsid w:val="00A444AD"/>
    <w:rsid w:val="00A444B6"/>
    <w:rsid w:val="00A445AA"/>
    <w:rsid w:val="00A445D6"/>
    <w:rsid w:val="00A445F2"/>
    <w:rsid w:val="00A446FF"/>
    <w:rsid w:val="00A44701"/>
    <w:rsid w:val="00A448EF"/>
    <w:rsid w:val="00A4495E"/>
    <w:rsid w:val="00A44973"/>
    <w:rsid w:val="00A44982"/>
    <w:rsid w:val="00A44A45"/>
    <w:rsid w:val="00A44B1E"/>
    <w:rsid w:val="00A44B38"/>
    <w:rsid w:val="00A44B89"/>
    <w:rsid w:val="00A44B98"/>
    <w:rsid w:val="00A44BE7"/>
    <w:rsid w:val="00A44CB8"/>
    <w:rsid w:val="00A44CBA"/>
    <w:rsid w:val="00A44D2E"/>
    <w:rsid w:val="00A44E9B"/>
    <w:rsid w:val="00A44EEC"/>
    <w:rsid w:val="00A44F9C"/>
    <w:rsid w:val="00A44FB5"/>
    <w:rsid w:val="00A44FD7"/>
    <w:rsid w:val="00A450EA"/>
    <w:rsid w:val="00A450F1"/>
    <w:rsid w:val="00A45112"/>
    <w:rsid w:val="00A45118"/>
    <w:rsid w:val="00A4513C"/>
    <w:rsid w:val="00A45177"/>
    <w:rsid w:val="00A45182"/>
    <w:rsid w:val="00A4518D"/>
    <w:rsid w:val="00A451B0"/>
    <w:rsid w:val="00A451C4"/>
    <w:rsid w:val="00A45222"/>
    <w:rsid w:val="00A452C4"/>
    <w:rsid w:val="00A452D3"/>
    <w:rsid w:val="00A4530A"/>
    <w:rsid w:val="00A45321"/>
    <w:rsid w:val="00A453DD"/>
    <w:rsid w:val="00A45464"/>
    <w:rsid w:val="00A454AB"/>
    <w:rsid w:val="00A454B6"/>
    <w:rsid w:val="00A454D0"/>
    <w:rsid w:val="00A455E7"/>
    <w:rsid w:val="00A45660"/>
    <w:rsid w:val="00A45719"/>
    <w:rsid w:val="00A45721"/>
    <w:rsid w:val="00A45837"/>
    <w:rsid w:val="00A45A69"/>
    <w:rsid w:val="00A45B08"/>
    <w:rsid w:val="00A45B73"/>
    <w:rsid w:val="00A45BFC"/>
    <w:rsid w:val="00A45C33"/>
    <w:rsid w:val="00A45C3F"/>
    <w:rsid w:val="00A45C72"/>
    <w:rsid w:val="00A45CB6"/>
    <w:rsid w:val="00A45D19"/>
    <w:rsid w:val="00A45DAF"/>
    <w:rsid w:val="00A45DFC"/>
    <w:rsid w:val="00A45E63"/>
    <w:rsid w:val="00A45EB5"/>
    <w:rsid w:val="00A45EE4"/>
    <w:rsid w:val="00A45F6E"/>
    <w:rsid w:val="00A45FD7"/>
    <w:rsid w:val="00A45FE8"/>
    <w:rsid w:val="00A46067"/>
    <w:rsid w:val="00A4607C"/>
    <w:rsid w:val="00A4609E"/>
    <w:rsid w:val="00A460CC"/>
    <w:rsid w:val="00A4623B"/>
    <w:rsid w:val="00A4628A"/>
    <w:rsid w:val="00A4633E"/>
    <w:rsid w:val="00A463A4"/>
    <w:rsid w:val="00A463E6"/>
    <w:rsid w:val="00A46451"/>
    <w:rsid w:val="00A464F1"/>
    <w:rsid w:val="00A4652C"/>
    <w:rsid w:val="00A465E7"/>
    <w:rsid w:val="00A4662E"/>
    <w:rsid w:val="00A46681"/>
    <w:rsid w:val="00A468D8"/>
    <w:rsid w:val="00A46976"/>
    <w:rsid w:val="00A46A4A"/>
    <w:rsid w:val="00A46AD6"/>
    <w:rsid w:val="00A46AEE"/>
    <w:rsid w:val="00A46C10"/>
    <w:rsid w:val="00A46D1B"/>
    <w:rsid w:val="00A46DC6"/>
    <w:rsid w:val="00A46E1B"/>
    <w:rsid w:val="00A46F49"/>
    <w:rsid w:val="00A4708A"/>
    <w:rsid w:val="00A4716D"/>
    <w:rsid w:val="00A471E0"/>
    <w:rsid w:val="00A4724C"/>
    <w:rsid w:val="00A472F2"/>
    <w:rsid w:val="00A47518"/>
    <w:rsid w:val="00A47592"/>
    <w:rsid w:val="00A475A9"/>
    <w:rsid w:val="00A475E7"/>
    <w:rsid w:val="00A476CD"/>
    <w:rsid w:val="00A477DC"/>
    <w:rsid w:val="00A4782A"/>
    <w:rsid w:val="00A47863"/>
    <w:rsid w:val="00A4787D"/>
    <w:rsid w:val="00A479B3"/>
    <w:rsid w:val="00A479CE"/>
    <w:rsid w:val="00A479D4"/>
    <w:rsid w:val="00A47A17"/>
    <w:rsid w:val="00A47A31"/>
    <w:rsid w:val="00A47A3F"/>
    <w:rsid w:val="00A47A9F"/>
    <w:rsid w:val="00A47B36"/>
    <w:rsid w:val="00A47B7D"/>
    <w:rsid w:val="00A47C09"/>
    <w:rsid w:val="00A47D0D"/>
    <w:rsid w:val="00A47DED"/>
    <w:rsid w:val="00A47DFA"/>
    <w:rsid w:val="00A47E65"/>
    <w:rsid w:val="00A47F09"/>
    <w:rsid w:val="00A47F98"/>
    <w:rsid w:val="00A47FCD"/>
    <w:rsid w:val="00A4E93B"/>
    <w:rsid w:val="00A50035"/>
    <w:rsid w:val="00A5014B"/>
    <w:rsid w:val="00A502F9"/>
    <w:rsid w:val="00A5035C"/>
    <w:rsid w:val="00A503C4"/>
    <w:rsid w:val="00A50419"/>
    <w:rsid w:val="00A504B7"/>
    <w:rsid w:val="00A504C5"/>
    <w:rsid w:val="00A504F8"/>
    <w:rsid w:val="00A50683"/>
    <w:rsid w:val="00A5069D"/>
    <w:rsid w:val="00A5078B"/>
    <w:rsid w:val="00A507BF"/>
    <w:rsid w:val="00A507F7"/>
    <w:rsid w:val="00A507FD"/>
    <w:rsid w:val="00A50870"/>
    <w:rsid w:val="00A50901"/>
    <w:rsid w:val="00A5099D"/>
    <w:rsid w:val="00A50A10"/>
    <w:rsid w:val="00A50A61"/>
    <w:rsid w:val="00A50A65"/>
    <w:rsid w:val="00A50B09"/>
    <w:rsid w:val="00A50B22"/>
    <w:rsid w:val="00A50B36"/>
    <w:rsid w:val="00A50BF5"/>
    <w:rsid w:val="00A50C0A"/>
    <w:rsid w:val="00A50C61"/>
    <w:rsid w:val="00A50CA6"/>
    <w:rsid w:val="00A50CE1"/>
    <w:rsid w:val="00A50CFD"/>
    <w:rsid w:val="00A50D78"/>
    <w:rsid w:val="00A50E8E"/>
    <w:rsid w:val="00A50ECE"/>
    <w:rsid w:val="00A50F02"/>
    <w:rsid w:val="00A50FA6"/>
    <w:rsid w:val="00A5104A"/>
    <w:rsid w:val="00A510DF"/>
    <w:rsid w:val="00A510F1"/>
    <w:rsid w:val="00A51143"/>
    <w:rsid w:val="00A51161"/>
    <w:rsid w:val="00A511D0"/>
    <w:rsid w:val="00A5121A"/>
    <w:rsid w:val="00A513E8"/>
    <w:rsid w:val="00A51492"/>
    <w:rsid w:val="00A51535"/>
    <w:rsid w:val="00A51602"/>
    <w:rsid w:val="00A51609"/>
    <w:rsid w:val="00A517F7"/>
    <w:rsid w:val="00A5182B"/>
    <w:rsid w:val="00A51841"/>
    <w:rsid w:val="00A518A3"/>
    <w:rsid w:val="00A51A25"/>
    <w:rsid w:val="00A51AF1"/>
    <w:rsid w:val="00A51B03"/>
    <w:rsid w:val="00A51BED"/>
    <w:rsid w:val="00A51C64"/>
    <w:rsid w:val="00A51CC4"/>
    <w:rsid w:val="00A51CD5"/>
    <w:rsid w:val="00A51D03"/>
    <w:rsid w:val="00A51D66"/>
    <w:rsid w:val="00A51D68"/>
    <w:rsid w:val="00A51DAE"/>
    <w:rsid w:val="00A51DE8"/>
    <w:rsid w:val="00A51F20"/>
    <w:rsid w:val="00A51F2D"/>
    <w:rsid w:val="00A51F69"/>
    <w:rsid w:val="00A51FD7"/>
    <w:rsid w:val="00A52072"/>
    <w:rsid w:val="00A52111"/>
    <w:rsid w:val="00A52144"/>
    <w:rsid w:val="00A521E8"/>
    <w:rsid w:val="00A521EA"/>
    <w:rsid w:val="00A52253"/>
    <w:rsid w:val="00A52254"/>
    <w:rsid w:val="00A523DF"/>
    <w:rsid w:val="00A523E2"/>
    <w:rsid w:val="00A52467"/>
    <w:rsid w:val="00A524C8"/>
    <w:rsid w:val="00A5257D"/>
    <w:rsid w:val="00A525B0"/>
    <w:rsid w:val="00A525F6"/>
    <w:rsid w:val="00A52619"/>
    <w:rsid w:val="00A5264C"/>
    <w:rsid w:val="00A5264D"/>
    <w:rsid w:val="00A526B0"/>
    <w:rsid w:val="00A527B3"/>
    <w:rsid w:val="00A527BB"/>
    <w:rsid w:val="00A527D1"/>
    <w:rsid w:val="00A527E3"/>
    <w:rsid w:val="00A52864"/>
    <w:rsid w:val="00A528FA"/>
    <w:rsid w:val="00A52958"/>
    <w:rsid w:val="00A52996"/>
    <w:rsid w:val="00A52A78"/>
    <w:rsid w:val="00A52AB8"/>
    <w:rsid w:val="00A52B72"/>
    <w:rsid w:val="00A52BEE"/>
    <w:rsid w:val="00A52CA3"/>
    <w:rsid w:val="00A52DB8"/>
    <w:rsid w:val="00A52E9E"/>
    <w:rsid w:val="00A52EF9"/>
    <w:rsid w:val="00A52F18"/>
    <w:rsid w:val="00A52FAD"/>
    <w:rsid w:val="00A53120"/>
    <w:rsid w:val="00A5313A"/>
    <w:rsid w:val="00A53242"/>
    <w:rsid w:val="00A5324F"/>
    <w:rsid w:val="00A53276"/>
    <w:rsid w:val="00A53342"/>
    <w:rsid w:val="00A53389"/>
    <w:rsid w:val="00A53428"/>
    <w:rsid w:val="00A53482"/>
    <w:rsid w:val="00A534DA"/>
    <w:rsid w:val="00A534E9"/>
    <w:rsid w:val="00A5351C"/>
    <w:rsid w:val="00A5356B"/>
    <w:rsid w:val="00A535BB"/>
    <w:rsid w:val="00A535D7"/>
    <w:rsid w:val="00A535E3"/>
    <w:rsid w:val="00A535F0"/>
    <w:rsid w:val="00A53651"/>
    <w:rsid w:val="00A5366A"/>
    <w:rsid w:val="00A536B3"/>
    <w:rsid w:val="00A53727"/>
    <w:rsid w:val="00A53791"/>
    <w:rsid w:val="00A5380C"/>
    <w:rsid w:val="00A53904"/>
    <w:rsid w:val="00A539F5"/>
    <w:rsid w:val="00A53A23"/>
    <w:rsid w:val="00A53A66"/>
    <w:rsid w:val="00A53AF2"/>
    <w:rsid w:val="00A53AFB"/>
    <w:rsid w:val="00A53B7A"/>
    <w:rsid w:val="00A53BC3"/>
    <w:rsid w:val="00A53C9D"/>
    <w:rsid w:val="00A53C9F"/>
    <w:rsid w:val="00A53DC2"/>
    <w:rsid w:val="00A53DC9"/>
    <w:rsid w:val="00A53DDE"/>
    <w:rsid w:val="00A53E31"/>
    <w:rsid w:val="00A53E7D"/>
    <w:rsid w:val="00A54050"/>
    <w:rsid w:val="00A540C2"/>
    <w:rsid w:val="00A540E2"/>
    <w:rsid w:val="00A54102"/>
    <w:rsid w:val="00A54151"/>
    <w:rsid w:val="00A54168"/>
    <w:rsid w:val="00A54188"/>
    <w:rsid w:val="00A541F5"/>
    <w:rsid w:val="00A541FA"/>
    <w:rsid w:val="00A54206"/>
    <w:rsid w:val="00A54278"/>
    <w:rsid w:val="00A542C9"/>
    <w:rsid w:val="00A542F9"/>
    <w:rsid w:val="00A5430D"/>
    <w:rsid w:val="00A54471"/>
    <w:rsid w:val="00A544D8"/>
    <w:rsid w:val="00A54572"/>
    <w:rsid w:val="00A54581"/>
    <w:rsid w:val="00A54662"/>
    <w:rsid w:val="00A546AC"/>
    <w:rsid w:val="00A54716"/>
    <w:rsid w:val="00A5474F"/>
    <w:rsid w:val="00A54786"/>
    <w:rsid w:val="00A54AA5"/>
    <w:rsid w:val="00A54AAB"/>
    <w:rsid w:val="00A54AB5"/>
    <w:rsid w:val="00A54AF7"/>
    <w:rsid w:val="00A54B34"/>
    <w:rsid w:val="00A54B9B"/>
    <w:rsid w:val="00A54C8B"/>
    <w:rsid w:val="00A54C98"/>
    <w:rsid w:val="00A54CA1"/>
    <w:rsid w:val="00A54D37"/>
    <w:rsid w:val="00A54D5D"/>
    <w:rsid w:val="00A54D73"/>
    <w:rsid w:val="00A54DBC"/>
    <w:rsid w:val="00A54E09"/>
    <w:rsid w:val="00A54E71"/>
    <w:rsid w:val="00A54E98"/>
    <w:rsid w:val="00A550D9"/>
    <w:rsid w:val="00A550FA"/>
    <w:rsid w:val="00A5514F"/>
    <w:rsid w:val="00A551DB"/>
    <w:rsid w:val="00A551F2"/>
    <w:rsid w:val="00A5524B"/>
    <w:rsid w:val="00A55287"/>
    <w:rsid w:val="00A55373"/>
    <w:rsid w:val="00A5538F"/>
    <w:rsid w:val="00A553B9"/>
    <w:rsid w:val="00A553C1"/>
    <w:rsid w:val="00A553E7"/>
    <w:rsid w:val="00A55409"/>
    <w:rsid w:val="00A5547C"/>
    <w:rsid w:val="00A554D4"/>
    <w:rsid w:val="00A554E9"/>
    <w:rsid w:val="00A55500"/>
    <w:rsid w:val="00A5558C"/>
    <w:rsid w:val="00A5558D"/>
    <w:rsid w:val="00A55664"/>
    <w:rsid w:val="00A55698"/>
    <w:rsid w:val="00A55730"/>
    <w:rsid w:val="00A55781"/>
    <w:rsid w:val="00A5578E"/>
    <w:rsid w:val="00A5582B"/>
    <w:rsid w:val="00A5592F"/>
    <w:rsid w:val="00A55946"/>
    <w:rsid w:val="00A55958"/>
    <w:rsid w:val="00A55965"/>
    <w:rsid w:val="00A55B22"/>
    <w:rsid w:val="00A55B2B"/>
    <w:rsid w:val="00A55C13"/>
    <w:rsid w:val="00A55C33"/>
    <w:rsid w:val="00A55C40"/>
    <w:rsid w:val="00A55DA8"/>
    <w:rsid w:val="00A55DA9"/>
    <w:rsid w:val="00A55DD7"/>
    <w:rsid w:val="00A55E27"/>
    <w:rsid w:val="00A55E28"/>
    <w:rsid w:val="00A55F17"/>
    <w:rsid w:val="00A55FF5"/>
    <w:rsid w:val="00A56014"/>
    <w:rsid w:val="00A5609D"/>
    <w:rsid w:val="00A560D9"/>
    <w:rsid w:val="00A560F8"/>
    <w:rsid w:val="00A56289"/>
    <w:rsid w:val="00A562A5"/>
    <w:rsid w:val="00A563D6"/>
    <w:rsid w:val="00A563DB"/>
    <w:rsid w:val="00A5642D"/>
    <w:rsid w:val="00A564A0"/>
    <w:rsid w:val="00A564BC"/>
    <w:rsid w:val="00A56554"/>
    <w:rsid w:val="00A5661C"/>
    <w:rsid w:val="00A5665C"/>
    <w:rsid w:val="00A566AF"/>
    <w:rsid w:val="00A566F7"/>
    <w:rsid w:val="00A567A1"/>
    <w:rsid w:val="00A567ED"/>
    <w:rsid w:val="00A56843"/>
    <w:rsid w:val="00A56897"/>
    <w:rsid w:val="00A5699C"/>
    <w:rsid w:val="00A56ACC"/>
    <w:rsid w:val="00A56C57"/>
    <w:rsid w:val="00A56CB2"/>
    <w:rsid w:val="00A56D07"/>
    <w:rsid w:val="00A56DDA"/>
    <w:rsid w:val="00A56DE7"/>
    <w:rsid w:val="00A56DFA"/>
    <w:rsid w:val="00A56E4D"/>
    <w:rsid w:val="00A56F12"/>
    <w:rsid w:val="00A56F48"/>
    <w:rsid w:val="00A56F60"/>
    <w:rsid w:val="00A57094"/>
    <w:rsid w:val="00A570ED"/>
    <w:rsid w:val="00A57163"/>
    <w:rsid w:val="00A57230"/>
    <w:rsid w:val="00A5723F"/>
    <w:rsid w:val="00A5724B"/>
    <w:rsid w:val="00A57288"/>
    <w:rsid w:val="00A57290"/>
    <w:rsid w:val="00A572CD"/>
    <w:rsid w:val="00A572D0"/>
    <w:rsid w:val="00A572D5"/>
    <w:rsid w:val="00A57324"/>
    <w:rsid w:val="00A5733F"/>
    <w:rsid w:val="00A57349"/>
    <w:rsid w:val="00A57400"/>
    <w:rsid w:val="00A574DC"/>
    <w:rsid w:val="00A57575"/>
    <w:rsid w:val="00A575DD"/>
    <w:rsid w:val="00A575E1"/>
    <w:rsid w:val="00A575F2"/>
    <w:rsid w:val="00A5760F"/>
    <w:rsid w:val="00A57673"/>
    <w:rsid w:val="00A5776C"/>
    <w:rsid w:val="00A577F1"/>
    <w:rsid w:val="00A57807"/>
    <w:rsid w:val="00A57851"/>
    <w:rsid w:val="00A57853"/>
    <w:rsid w:val="00A579BC"/>
    <w:rsid w:val="00A57A3D"/>
    <w:rsid w:val="00A57A8C"/>
    <w:rsid w:val="00A57B13"/>
    <w:rsid w:val="00A57E13"/>
    <w:rsid w:val="00A57EB9"/>
    <w:rsid w:val="00A57ECE"/>
    <w:rsid w:val="00A57FD1"/>
    <w:rsid w:val="00A60044"/>
    <w:rsid w:val="00A6004E"/>
    <w:rsid w:val="00A60166"/>
    <w:rsid w:val="00A60179"/>
    <w:rsid w:val="00A6017E"/>
    <w:rsid w:val="00A60299"/>
    <w:rsid w:val="00A602A4"/>
    <w:rsid w:val="00A603A9"/>
    <w:rsid w:val="00A6051D"/>
    <w:rsid w:val="00A60655"/>
    <w:rsid w:val="00A6068E"/>
    <w:rsid w:val="00A60726"/>
    <w:rsid w:val="00A60823"/>
    <w:rsid w:val="00A60879"/>
    <w:rsid w:val="00A609A0"/>
    <w:rsid w:val="00A609D0"/>
    <w:rsid w:val="00A60A9F"/>
    <w:rsid w:val="00A60B0A"/>
    <w:rsid w:val="00A60BF9"/>
    <w:rsid w:val="00A60CA1"/>
    <w:rsid w:val="00A60CC7"/>
    <w:rsid w:val="00A60CCB"/>
    <w:rsid w:val="00A60D6F"/>
    <w:rsid w:val="00A60D77"/>
    <w:rsid w:val="00A60DB6"/>
    <w:rsid w:val="00A60EF9"/>
    <w:rsid w:val="00A6102F"/>
    <w:rsid w:val="00A6108C"/>
    <w:rsid w:val="00A610E7"/>
    <w:rsid w:val="00A610EF"/>
    <w:rsid w:val="00A6111C"/>
    <w:rsid w:val="00A6120A"/>
    <w:rsid w:val="00A6129C"/>
    <w:rsid w:val="00A612F4"/>
    <w:rsid w:val="00A61308"/>
    <w:rsid w:val="00A61320"/>
    <w:rsid w:val="00A6139B"/>
    <w:rsid w:val="00A613A0"/>
    <w:rsid w:val="00A61411"/>
    <w:rsid w:val="00A614DD"/>
    <w:rsid w:val="00A614FA"/>
    <w:rsid w:val="00A61572"/>
    <w:rsid w:val="00A61677"/>
    <w:rsid w:val="00A61693"/>
    <w:rsid w:val="00A61694"/>
    <w:rsid w:val="00A6176F"/>
    <w:rsid w:val="00A617BC"/>
    <w:rsid w:val="00A61840"/>
    <w:rsid w:val="00A618A1"/>
    <w:rsid w:val="00A61973"/>
    <w:rsid w:val="00A61984"/>
    <w:rsid w:val="00A61990"/>
    <w:rsid w:val="00A61A8C"/>
    <w:rsid w:val="00A61B1F"/>
    <w:rsid w:val="00A61B2A"/>
    <w:rsid w:val="00A61B2E"/>
    <w:rsid w:val="00A61BC8"/>
    <w:rsid w:val="00A61BCB"/>
    <w:rsid w:val="00A61CAF"/>
    <w:rsid w:val="00A61CC4"/>
    <w:rsid w:val="00A61D02"/>
    <w:rsid w:val="00A61DFB"/>
    <w:rsid w:val="00A61E14"/>
    <w:rsid w:val="00A61ECB"/>
    <w:rsid w:val="00A61F13"/>
    <w:rsid w:val="00A61F6E"/>
    <w:rsid w:val="00A61F7A"/>
    <w:rsid w:val="00A61FCB"/>
    <w:rsid w:val="00A6200E"/>
    <w:rsid w:val="00A62015"/>
    <w:rsid w:val="00A620F5"/>
    <w:rsid w:val="00A62170"/>
    <w:rsid w:val="00A621AA"/>
    <w:rsid w:val="00A621D3"/>
    <w:rsid w:val="00A621FE"/>
    <w:rsid w:val="00A6229B"/>
    <w:rsid w:val="00A622D8"/>
    <w:rsid w:val="00A6230F"/>
    <w:rsid w:val="00A624F1"/>
    <w:rsid w:val="00A62507"/>
    <w:rsid w:val="00A62566"/>
    <w:rsid w:val="00A62592"/>
    <w:rsid w:val="00A62613"/>
    <w:rsid w:val="00A6263E"/>
    <w:rsid w:val="00A6266D"/>
    <w:rsid w:val="00A62718"/>
    <w:rsid w:val="00A6271F"/>
    <w:rsid w:val="00A6272A"/>
    <w:rsid w:val="00A62780"/>
    <w:rsid w:val="00A6279D"/>
    <w:rsid w:val="00A627EC"/>
    <w:rsid w:val="00A628D5"/>
    <w:rsid w:val="00A629B0"/>
    <w:rsid w:val="00A629DE"/>
    <w:rsid w:val="00A62A58"/>
    <w:rsid w:val="00A62B0A"/>
    <w:rsid w:val="00A62C51"/>
    <w:rsid w:val="00A62C71"/>
    <w:rsid w:val="00A62D4D"/>
    <w:rsid w:val="00A62DA7"/>
    <w:rsid w:val="00A62DFA"/>
    <w:rsid w:val="00A62E30"/>
    <w:rsid w:val="00A62E48"/>
    <w:rsid w:val="00A62ECB"/>
    <w:rsid w:val="00A62EFB"/>
    <w:rsid w:val="00A62F2B"/>
    <w:rsid w:val="00A63079"/>
    <w:rsid w:val="00A630BE"/>
    <w:rsid w:val="00A630ED"/>
    <w:rsid w:val="00A6317A"/>
    <w:rsid w:val="00A631CF"/>
    <w:rsid w:val="00A63200"/>
    <w:rsid w:val="00A632D9"/>
    <w:rsid w:val="00A63367"/>
    <w:rsid w:val="00A63457"/>
    <w:rsid w:val="00A6350D"/>
    <w:rsid w:val="00A635EE"/>
    <w:rsid w:val="00A636A8"/>
    <w:rsid w:val="00A636A9"/>
    <w:rsid w:val="00A63708"/>
    <w:rsid w:val="00A63712"/>
    <w:rsid w:val="00A6379C"/>
    <w:rsid w:val="00A637F9"/>
    <w:rsid w:val="00A638AE"/>
    <w:rsid w:val="00A63903"/>
    <w:rsid w:val="00A6398E"/>
    <w:rsid w:val="00A639CA"/>
    <w:rsid w:val="00A63AD2"/>
    <w:rsid w:val="00A63AF7"/>
    <w:rsid w:val="00A63B4F"/>
    <w:rsid w:val="00A63C5F"/>
    <w:rsid w:val="00A63C73"/>
    <w:rsid w:val="00A63CD7"/>
    <w:rsid w:val="00A63D87"/>
    <w:rsid w:val="00A63D9B"/>
    <w:rsid w:val="00A63FD6"/>
    <w:rsid w:val="00A63FD9"/>
    <w:rsid w:val="00A64079"/>
    <w:rsid w:val="00A640AA"/>
    <w:rsid w:val="00A640D1"/>
    <w:rsid w:val="00A64137"/>
    <w:rsid w:val="00A64262"/>
    <w:rsid w:val="00A64397"/>
    <w:rsid w:val="00A6439F"/>
    <w:rsid w:val="00A643B0"/>
    <w:rsid w:val="00A643E9"/>
    <w:rsid w:val="00A6443F"/>
    <w:rsid w:val="00A6447D"/>
    <w:rsid w:val="00A64516"/>
    <w:rsid w:val="00A646A6"/>
    <w:rsid w:val="00A646F8"/>
    <w:rsid w:val="00A6472C"/>
    <w:rsid w:val="00A6483E"/>
    <w:rsid w:val="00A64842"/>
    <w:rsid w:val="00A64905"/>
    <w:rsid w:val="00A64949"/>
    <w:rsid w:val="00A6497C"/>
    <w:rsid w:val="00A64988"/>
    <w:rsid w:val="00A649DE"/>
    <w:rsid w:val="00A649E3"/>
    <w:rsid w:val="00A649E9"/>
    <w:rsid w:val="00A64A8D"/>
    <w:rsid w:val="00A64AE4"/>
    <w:rsid w:val="00A64BDF"/>
    <w:rsid w:val="00A64C40"/>
    <w:rsid w:val="00A64CB3"/>
    <w:rsid w:val="00A64DC4"/>
    <w:rsid w:val="00A64F14"/>
    <w:rsid w:val="00A64F96"/>
    <w:rsid w:val="00A64FB6"/>
    <w:rsid w:val="00A65020"/>
    <w:rsid w:val="00A650A5"/>
    <w:rsid w:val="00A650AA"/>
    <w:rsid w:val="00A650EC"/>
    <w:rsid w:val="00A65149"/>
    <w:rsid w:val="00A6523B"/>
    <w:rsid w:val="00A652A1"/>
    <w:rsid w:val="00A652B1"/>
    <w:rsid w:val="00A65397"/>
    <w:rsid w:val="00A653AE"/>
    <w:rsid w:val="00A653C4"/>
    <w:rsid w:val="00A65519"/>
    <w:rsid w:val="00A655C7"/>
    <w:rsid w:val="00A65633"/>
    <w:rsid w:val="00A6566D"/>
    <w:rsid w:val="00A656C9"/>
    <w:rsid w:val="00A656FF"/>
    <w:rsid w:val="00A65702"/>
    <w:rsid w:val="00A6572E"/>
    <w:rsid w:val="00A65741"/>
    <w:rsid w:val="00A65753"/>
    <w:rsid w:val="00A6575F"/>
    <w:rsid w:val="00A65777"/>
    <w:rsid w:val="00A657B1"/>
    <w:rsid w:val="00A657D4"/>
    <w:rsid w:val="00A65812"/>
    <w:rsid w:val="00A6582E"/>
    <w:rsid w:val="00A65908"/>
    <w:rsid w:val="00A65934"/>
    <w:rsid w:val="00A65990"/>
    <w:rsid w:val="00A65A04"/>
    <w:rsid w:val="00A65A1B"/>
    <w:rsid w:val="00A65A4F"/>
    <w:rsid w:val="00A65A6D"/>
    <w:rsid w:val="00A65AB2"/>
    <w:rsid w:val="00A65B18"/>
    <w:rsid w:val="00A65B1F"/>
    <w:rsid w:val="00A65B79"/>
    <w:rsid w:val="00A65CAF"/>
    <w:rsid w:val="00A65D67"/>
    <w:rsid w:val="00A65D81"/>
    <w:rsid w:val="00A65E8A"/>
    <w:rsid w:val="00A65EC3"/>
    <w:rsid w:val="00A66016"/>
    <w:rsid w:val="00A66050"/>
    <w:rsid w:val="00A6609F"/>
    <w:rsid w:val="00A660BE"/>
    <w:rsid w:val="00A66118"/>
    <w:rsid w:val="00A66140"/>
    <w:rsid w:val="00A66163"/>
    <w:rsid w:val="00A66177"/>
    <w:rsid w:val="00A661B2"/>
    <w:rsid w:val="00A661BB"/>
    <w:rsid w:val="00A661C0"/>
    <w:rsid w:val="00A661D8"/>
    <w:rsid w:val="00A6620F"/>
    <w:rsid w:val="00A6622C"/>
    <w:rsid w:val="00A662C4"/>
    <w:rsid w:val="00A66331"/>
    <w:rsid w:val="00A6636B"/>
    <w:rsid w:val="00A663DB"/>
    <w:rsid w:val="00A663F1"/>
    <w:rsid w:val="00A66483"/>
    <w:rsid w:val="00A6648D"/>
    <w:rsid w:val="00A664D4"/>
    <w:rsid w:val="00A6655B"/>
    <w:rsid w:val="00A66567"/>
    <w:rsid w:val="00A66591"/>
    <w:rsid w:val="00A665C2"/>
    <w:rsid w:val="00A66640"/>
    <w:rsid w:val="00A66677"/>
    <w:rsid w:val="00A6668D"/>
    <w:rsid w:val="00A66709"/>
    <w:rsid w:val="00A6674C"/>
    <w:rsid w:val="00A667A3"/>
    <w:rsid w:val="00A6689B"/>
    <w:rsid w:val="00A6693D"/>
    <w:rsid w:val="00A669A5"/>
    <w:rsid w:val="00A66A80"/>
    <w:rsid w:val="00A66B71"/>
    <w:rsid w:val="00A66BA9"/>
    <w:rsid w:val="00A66BED"/>
    <w:rsid w:val="00A66BF9"/>
    <w:rsid w:val="00A66C29"/>
    <w:rsid w:val="00A66C69"/>
    <w:rsid w:val="00A66C8E"/>
    <w:rsid w:val="00A66CFA"/>
    <w:rsid w:val="00A66D14"/>
    <w:rsid w:val="00A66D68"/>
    <w:rsid w:val="00A66DF0"/>
    <w:rsid w:val="00A66EE2"/>
    <w:rsid w:val="00A66F0A"/>
    <w:rsid w:val="00A66F8C"/>
    <w:rsid w:val="00A66F96"/>
    <w:rsid w:val="00A66FA6"/>
    <w:rsid w:val="00A67060"/>
    <w:rsid w:val="00A670A4"/>
    <w:rsid w:val="00A670BB"/>
    <w:rsid w:val="00A670CF"/>
    <w:rsid w:val="00A67103"/>
    <w:rsid w:val="00A6710D"/>
    <w:rsid w:val="00A67121"/>
    <w:rsid w:val="00A6712E"/>
    <w:rsid w:val="00A671C0"/>
    <w:rsid w:val="00A671F9"/>
    <w:rsid w:val="00A67239"/>
    <w:rsid w:val="00A672C1"/>
    <w:rsid w:val="00A672D3"/>
    <w:rsid w:val="00A673B3"/>
    <w:rsid w:val="00A673C0"/>
    <w:rsid w:val="00A6754E"/>
    <w:rsid w:val="00A67621"/>
    <w:rsid w:val="00A676A2"/>
    <w:rsid w:val="00A676B0"/>
    <w:rsid w:val="00A6776A"/>
    <w:rsid w:val="00A677BB"/>
    <w:rsid w:val="00A677BE"/>
    <w:rsid w:val="00A677F6"/>
    <w:rsid w:val="00A67858"/>
    <w:rsid w:val="00A678F1"/>
    <w:rsid w:val="00A679B3"/>
    <w:rsid w:val="00A67A21"/>
    <w:rsid w:val="00A67A7B"/>
    <w:rsid w:val="00A67B74"/>
    <w:rsid w:val="00A67BAE"/>
    <w:rsid w:val="00A67C24"/>
    <w:rsid w:val="00A67D1D"/>
    <w:rsid w:val="00A67DC6"/>
    <w:rsid w:val="00A67ED7"/>
    <w:rsid w:val="00A67F7A"/>
    <w:rsid w:val="00A67FF4"/>
    <w:rsid w:val="00A67FF7"/>
    <w:rsid w:val="00A70084"/>
    <w:rsid w:val="00A70170"/>
    <w:rsid w:val="00A7023F"/>
    <w:rsid w:val="00A70314"/>
    <w:rsid w:val="00A70368"/>
    <w:rsid w:val="00A70390"/>
    <w:rsid w:val="00A703AF"/>
    <w:rsid w:val="00A703B5"/>
    <w:rsid w:val="00A7043C"/>
    <w:rsid w:val="00A70450"/>
    <w:rsid w:val="00A7047F"/>
    <w:rsid w:val="00A70490"/>
    <w:rsid w:val="00A7066E"/>
    <w:rsid w:val="00A706B2"/>
    <w:rsid w:val="00A70719"/>
    <w:rsid w:val="00A7076E"/>
    <w:rsid w:val="00A70771"/>
    <w:rsid w:val="00A70792"/>
    <w:rsid w:val="00A70817"/>
    <w:rsid w:val="00A70838"/>
    <w:rsid w:val="00A70856"/>
    <w:rsid w:val="00A7091B"/>
    <w:rsid w:val="00A7094D"/>
    <w:rsid w:val="00A70A8C"/>
    <w:rsid w:val="00A70AF8"/>
    <w:rsid w:val="00A70B55"/>
    <w:rsid w:val="00A70B88"/>
    <w:rsid w:val="00A70B96"/>
    <w:rsid w:val="00A70B9B"/>
    <w:rsid w:val="00A70BA8"/>
    <w:rsid w:val="00A70C41"/>
    <w:rsid w:val="00A70C7E"/>
    <w:rsid w:val="00A70C82"/>
    <w:rsid w:val="00A70CA3"/>
    <w:rsid w:val="00A70CE7"/>
    <w:rsid w:val="00A70D10"/>
    <w:rsid w:val="00A70F22"/>
    <w:rsid w:val="00A70F2E"/>
    <w:rsid w:val="00A70F34"/>
    <w:rsid w:val="00A70F39"/>
    <w:rsid w:val="00A70FE4"/>
    <w:rsid w:val="00A7103B"/>
    <w:rsid w:val="00A7104D"/>
    <w:rsid w:val="00A7106B"/>
    <w:rsid w:val="00A710F3"/>
    <w:rsid w:val="00A7115B"/>
    <w:rsid w:val="00A7116E"/>
    <w:rsid w:val="00A711ED"/>
    <w:rsid w:val="00A71221"/>
    <w:rsid w:val="00A71362"/>
    <w:rsid w:val="00A713D0"/>
    <w:rsid w:val="00A7151F"/>
    <w:rsid w:val="00A715E5"/>
    <w:rsid w:val="00A715F5"/>
    <w:rsid w:val="00A716CB"/>
    <w:rsid w:val="00A7171B"/>
    <w:rsid w:val="00A71722"/>
    <w:rsid w:val="00A717A1"/>
    <w:rsid w:val="00A717DD"/>
    <w:rsid w:val="00A718DC"/>
    <w:rsid w:val="00A71957"/>
    <w:rsid w:val="00A719E9"/>
    <w:rsid w:val="00A71A5D"/>
    <w:rsid w:val="00A71AAB"/>
    <w:rsid w:val="00A71AD9"/>
    <w:rsid w:val="00A71BAB"/>
    <w:rsid w:val="00A71BAD"/>
    <w:rsid w:val="00A71C42"/>
    <w:rsid w:val="00A71D90"/>
    <w:rsid w:val="00A71DCA"/>
    <w:rsid w:val="00A71E74"/>
    <w:rsid w:val="00A71F29"/>
    <w:rsid w:val="00A71F44"/>
    <w:rsid w:val="00A71F76"/>
    <w:rsid w:val="00A71F8F"/>
    <w:rsid w:val="00A71FDC"/>
    <w:rsid w:val="00A72060"/>
    <w:rsid w:val="00A72145"/>
    <w:rsid w:val="00A7214F"/>
    <w:rsid w:val="00A7218B"/>
    <w:rsid w:val="00A721B9"/>
    <w:rsid w:val="00A721FC"/>
    <w:rsid w:val="00A723C3"/>
    <w:rsid w:val="00A7242F"/>
    <w:rsid w:val="00A72436"/>
    <w:rsid w:val="00A725FD"/>
    <w:rsid w:val="00A7263A"/>
    <w:rsid w:val="00A7267A"/>
    <w:rsid w:val="00A72690"/>
    <w:rsid w:val="00A726E0"/>
    <w:rsid w:val="00A72703"/>
    <w:rsid w:val="00A72732"/>
    <w:rsid w:val="00A728B8"/>
    <w:rsid w:val="00A72916"/>
    <w:rsid w:val="00A7294C"/>
    <w:rsid w:val="00A72A07"/>
    <w:rsid w:val="00A72AE8"/>
    <w:rsid w:val="00A72B04"/>
    <w:rsid w:val="00A72B58"/>
    <w:rsid w:val="00A72B7E"/>
    <w:rsid w:val="00A72BC0"/>
    <w:rsid w:val="00A72C14"/>
    <w:rsid w:val="00A72C1A"/>
    <w:rsid w:val="00A72C1F"/>
    <w:rsid w:val="00A72C47"/>
    <w:rsid w:val="00A72CAD"/>
    <w:rsid w:val="00A72CAE"/>
    <w:rsid w:val="00A72CBB"/>
    <w:rsid w:val="00A72D31"/>
    <w:rsid w:val="00A72D43"/>
    <w:rsid w:val="00A72D85"/>
    <w:rsid w:val="00A72D86"/>
    <w:rsid w:val="00A72DB3"/>
    <w:rsid w:val="00A72E5A"/>
    <w:rsid w:val="00A72FAA"/>
    <w:rsid w:val="00A72FE9"/>
    <w:rsid w:val="00A73036"/>
    <w:rsid w:val="00A731A2"/>
    <w:rsid w:val="00A731AA"/>
    <w:rsid w:val="00A731BB"/>
    <w:rsid w:val="00A73253"/>
    <w:rsid w:val="00A732D4"/>
    <w:rsid w:val="00A7332F"/>
    <w:rsid w:val="00A733BE"/>
    <w:rsid w:val="00A733EF"/>
    <w:rsid w:val="00A73402"/>
    <w:rsid w:val="00A7341B"/>
    <w:rsid w:val="00A73426"/>
    <w:rsid w:val="00A734DB"/>
    <w:rsid w:val="00A735CF"/>
    <w:rsid w:val="00A7363F"/>
    <w:rsid w:val="00A736A2"/>
    <w:rsid w:val="00A736D0"/>
    <w:rsid w:val="00A7382C"/>
    <w:rsid w:val="00A7386A"/>
    <w:rsid w:val="00A738BC"/>
    <w:rsid w:val="00A738DD"/>
    <w:rsid w:val="00A738F6"/>
    <w:rsid w:val="00A73938"/>
    <w:rsid w:val="00A7393E"/>
    <w:rsid w:val="00A73946"/>
    <w:rsid w:val="00A73993"/>
    <w:rsid w:val="00A7399E"/>
    <w:rsid w:val="00A73A15"/>
    <w:rsid w:val="00A73A8D"/>
    <w:rsid w:val="00A73AC3"/>
    <w:rsid w:val="00A73B43"/>
    <w:rsid w:val="00A73BBC"/>
    <w:rsid w:val="00A73BBF"/>
    <w:rsid w:val="00A73C25"/>
    <w:rsid w:val="00A73D24"/>
    <w:rsid w:val="00A73D2E"/>
    <w:rsid w:val="00A73DB4"/>
    <w:rsid w:val="00A73E38"/>
    <w:rsid w:val="00A73E4F"/>
    <w:rsid w:val="00A73E57"/>
    <w:rsid w:val="00A73E6B"/>
    <w:rsid w:val="00A73F48"/>
    <w:rsid w:val="00A73FCB"/>
    <w:rsid w:val="00A74027"/>
    <w:rsid w:val="00A740B8"/>
    <w:rsid w:val="00A74165"/>
    <w:rsid w:val="00A74192"/>
    <w:rsid w:val="00A74399"/>
    <w:rsid w:val="00A743C4"/>
    <w:rsid w:val="00A743D5"/>
    <w:rsid w:val="00A7442B"/>
    <w:rsid w:val="00A744F8"/>
    <w:rsid w:val="00A74587"/>
    <w:rsid w:val="00A745EE"/>
    <w:rsid w:val="00A74625"/>
    <w:rsid w:val="00A7466C"/>
    <w:rsid w:val="00A7477E"/>
    <w:rsid w:val="00A747CB"/>
    <w:rsid w:val="00A747DD"/>
    <w:rsid w:val="00A747FA"/>
    <w:rsid w:val="00A7480F"/>
    <w:rsid w:val="00A748A7"/>
    <w:rsid w:val="00A748AF"/>
    <w:rsid w:val="00A748D7"/>
    <w:rsid w:val="00A74920"/>
    <w:rsid w:val="00A74A0F"/>
    <w:rsid w:val="00A74A3D"/>
    <w:rsid w:val="00A74AD9"/>
    <w:rsid w:val="00A74AF5"/>
    <w:rsid w:val="00A74B2A"/>
    <w:rsid w:val="00A74B80"/>
    <w:rsid w:val="00A74C52"/>
    <w:rsid w:val="00A74C62"/>
    <w:rsid w:val="00A74C74"/>
    <w:rsid w:val="00A74CC2"/>
    <w:rsid w:val="00A74D04"/>
    <w:rsid w:val="00A74D9B"/>
    <w:rsid w:val="00A74DE7"/>
    <w:rsid w:val="00A74E56"/>
    <w:rsid w:val="00A74EA2"/>
    <w:rsid w:val="00A74F1E"/>
    <w:rsid w:val="00A74F37"/>
    <w:rsid w:val="00A74F45"/>
    <w:rsid w:val="00A74F5B"/>
    <w:rsid w:val="00A74FA3"/>
    <w:rsid w:val="00A74FF7"/>
    <w:rsid w:val="00A7528B"/>
    <w:rsid w:val="00A7533D"/>
    <w:rsid w:val="00A75371"/>
    <w:rsid w:val="00A75382"/>
    <w:rsid w:val="00A753E1"/>
    <w:rsid w:val="00A7549E"/>
    <w:rsid w:val="00A754E6"/>
    <w:rsid w:val="00A756DD"/>
    <w:rsid w:val="00A757F7"/>
    <w:rsid w:val="00A75829"/>
    <w:rsid w:val="00A7589C"/>
    <w:rsid w:val="00A75A2D"/>
    <w:rsid w:val="00A75A7C"/>
    <w:rsid w:val="00A75B8B"/>
    <w:rsid w:val="00A75BB6"/>
    <w:rsid w:val="00A75CA6"/>
    <w:rsid w:val="00A75CDF"/>
    <w:rsid w:val="00A75CF4"/>
    <w:rsid w:val="00A75D1A"/>
    <w:rsid w:val="00A75D2A"/>
    <w:rsid w:val="00A75D5C"/>
    <w:rsid w:val="00A75D5E"/>
    <w:rsid w:val="00A75DF8"/>
    <w:rsid w:val="00A75EAB"/>
    <w:rsid w:val="00A75F85"/>
    <w:rsid w:val="00A75FB6"/>
    <w:rsid w:val="00A760CE"/>
    <w:rsid w:val="00A76183"/>
    <w:rsid w:val="00A761A6"/>
    <w:rsid w:val="00A7641A"/>
    <w:rsid w:val="00A76422"/>
    <w:rsid w:val="00A764F2"/>
    <w:rsid w:val="00A765F3"/>
    <w:rsid w:val="00A766A7"/>
    <w:rsid w:val="00A7670B"/>
    <w:rsid w:val="00A76712"/>
    <w:rsid w:val="00A76722"/>
    <w:rsid w:val="00A76728"/>
    <w:rsid w:val="00A767F9"/>
    <w:rsid w:val="00A76801"/>
    <w:rsid w:val="00A76810"/>
    <w:rsid w:val="00A76873"/>
    <w:rsid w:val="00A768CC"/>
    <w:rsid w:val="00A769C5"/>
    <w:rsid w:val="00A76A0E"/>
    <w:rsid w:val="00A76C26"/>
    <w:rsid w:val="00A76C5D"/>
    <w:rsid w:val="00A76CAB"/>
    <w:rsid w:val="00A76CC3"/>
    <w:rsid w:val="00A76CF7"/>
    <w:rsid w:val="00A76D87"/>
    <w:rsid w:val="00A76E20"/>
    <w:rsid w:val="00A76E9E"/>
    <w:rsid w:val="00A76EC5"/>
    <w:rsid w:val="00A76F4B"/>
    <w:rsid w:val="00A76F4F"/>
    <w:rsid w:val="00A76F8E"/>
    <w:rsid w:val="00A77084"/>
    <w:rsid w:val="00A770EA"/>
    <w:rsid w:val="00A77124"/>
    <w:rsid w:val="00A7712B"/>
    <w:rsid w:val="00A7714E"/>
    <w:rsid w:val="00A77164"/>
    <w:rsid w:val="00A7725E"/>
    <w:rsid w:val="00A772C8"/>
    <w:rsid w:val="00A772D8"/>
    <w:rsid w:val="00A772F3"/>
    <w:rsid w:val="00A7730D"/>
    <w:rsid w:val="00A7730E"/>
    <w:rsid w:val="00A77350"/>
    <w:rsid w:val="00A773D3"/>
    <w:rsid w:val="00A774C8"/>
    <w:rsid w:val="00A775F1"/>
    <w:rsid w:val="00A77617"/>
    <w:rsid w:val="00A77682"/>
    <w:rsid w:val="00A7768D"/>
    <w:rsid w:val="00A776B3"/>
    <w:rsid w:val="00A776D3"/>
    <w:rsid w:val="00A776FA"/>
    <w:rsid w:val="00A77875"/>
    <w:rsid w:val="00A778AB"/>
    <w:rsid w:val="00A7790E"/>
    <w:rsid w:val="00A77952"/>
    <w:rsid w:val="00A77995"/>
    <w:rsid w:val="00A779AF"/>
    <w:rsid w:val="00A779BA"/>
    <w:rsid w:val="00A779EA"/>
    <w:rsid w:val="00A77A30"/>
    <w:rsid w:val="00A77A7F"/>
    <w:rsid w:val="00A77ABE"/>
    <w:rsid w:val="00A77AFE"/>
    <w:rsid w:val="00A77B29"/>
    <w:rsid w:val="00A77C13"/>
    <w:rsid w:val="00A77EA6"/>
    <w:rsid w:val="00A77EA9"/>
    <w:rsid w:val="00A77ED7"/>
    <w:rsid w:val="00A77F2D"/>
    <w:rsid w:val="00A8000B"/>
    <w:rsid w:val="00A8003D"/>
    <w:rsid w:val="00A80138"/>
    <w:rsid w:val="00A80234"/>
    <w:rsid w:val="00A8027F"/>
    <w:rsid w:val="00A8032D"/>
    <w:rsid w:val="00A803C3"/>
    <w:rsid w:val="00A80468"/>
    <w:rsid w:val="00A80477"/>
    <w:rsid w:val="00A804C7"/>
    <w:rsid w:val="00A80522"/>
    <w:rsid w:val="00A80526"/>
    <w:rsid w:val="00A805CB"/>
    <w:rsid w:val="00A8062D"/>
    <w:rsid w:val="00A80694"/>
    <w:rsid w:val="00A806C1"/>
    <w:rsid w:val="00A80732"/>
    <w:rsid w:val="00A80766"/>
    <w:rsid w:val="00A807B3"/>
    <w:rsid w:val="00A80801"/>
    <w:rsid w:val="00A8082B"/>
    <w:rsid w:val="00A808AD"/>
    <w:rsid w:val="00A80903"/>
    <w:rsid w:val="00A80924"/>
    <w:rsid w:val="00A80948"/>
    <w:rsid w:val="00A80AB1"/>
    <w:rsid w:val="00A80AC0"/>
    <w:rsid w:val="00A80AF5"/>
    <w:rsid w:val="00A80B14"/>
    <w:rsid w:val="00A80B29"/>
    <w:rsid w:val="00A80BAB"/>
    <w:rsid w:val="00A80C7D"/>
    <w:rsid w:val="00A80DAA"/>
    <w:rsid w:val="00A80EC4"/>
    <w:rsid w:val="00A80EE1"/>
    <w:rsid w:val="00A80F28"/>
    <w:rsid w:val="00A80F44"/>
    <w:rsid w:val="00A81105"/>
    <w:rsid w:val="00A81189"/>
    <w:rsid w:val="00A8121B"/>
    <w:rsid w:val="00A81273"/>
    <w:rsid w:val="00A812AB"/>
    <w:rsid w:val="00A812AE"/>
    <w:rsid w:val="00A812EB"/>
    <w:rsid w:val="00A812EF"/>
    <w:rsid w:val="00A812F7"/>
    <w:rsid w:val="00A8133B"/>
    <w:rsid w:val="00A81458"/>
    <w:rsid w:val="00A8145D"/>
    <w:rsid w:val="00A81485"/>
    <w:rsid w:val="00A814DB"/>
    <w:rsid w:val="00A8151F"/>
    <w:rsid w:val="00A81571"/>
    <w:rsid w:val="00A815AE"/>
    <w:rsid w:val="00A81605"/>
    <w:rsid w:val="00A81638"/>
    <w:rsid w:val="00A81716"/>
    <w:rsid w:val="00A81729"/>
    <w:rsid w:val="00A817DD"/>
    <w:rsid w:val="00A81820"/>
    <w:rsid w:val="00A8183F"/>
    <w:rsid w:val="00A8188A"/>
    <w:rsid w:val="00A8194D"/>
    <w:rsid w:val="00A81964"/>
    <w:rsid w:val="00A8199E"/>
    <w:rsid w:val="00A819A6"/>
    <w:rsid w:val="00A81AD2"/>
    <w:rsid w:val="00A81BA0"/>
    <w:rsid w:val="00A81D24"/>
    <w:rsid w:val="00A81D47"/>
    <w:rsid w:val="00A81ED4"/>
    <w:rsid w:val="00A81F7E"/>
    <w:rsid w:val="00A81FBD"/>
    <w:rsid w:val="00A8201C"/>
    <w:rsid w:val="00A820CC"/>
    <w:rsid w:val="00A820D1"/>
    <w:rsid w:val="00A8234A"/>
    <w:rsid w:val="00A8237F"/>
    <w:rsid w:val="00A82382"/>
    <w:rsid w:val="00A82447"/>
    <w:rsid w:val="00A82501"/>
    <w:rsid w:val="00A82581"/>
    <w:rsid w:val="00A825F8"/>
    <w:rsid w:val="00A82685"/>
    <w:rsid w:val="00A82763"/>
    <w:rsid w:val="00A82783"/>
    <w:rsid w:val="00A8280A"/>
    <w:rsid w:val="00A828C5"/>
    <w:rsid w:val="00A82947"/>
    <w:rsid w:val="00A82A08"/>
    <w:rsid w:val="00A82BAE"/>
    <w:rsid w:val="00A82BC4"/>
    <w:rsid w:val="00A82CA0"/>
    <w:rsid w:val="00A82D45"/>
    <w:rsid w:val="00A82D55"/>
    <w:rsid w:val="00A82D9F"/>
    <w:rsid w:val="00A82DEA"/>
    <w:rsid w:val="00A82DF3"/>
    <w:rsid w:val="00A82E49"/>
    <w:rsid w:val="00A82F3E"/>
    <w:rsid w:val="00A82F72"/>
    <w:rsid w:val="00A82F9D"/>
    <w:rsid w:val="00A82FB6"/>
    <w:rsid w:val="00A82FE2"/>
    <w:rsid w:val="00A82FF1"/>
    <w:rsid w:val="00A8309A"/>
    <w:rsid w:val="00A8312A"/>
    <w:rsid w:val="00A8317A"/>
    <w:rsid w:val="00A831CD"/>
    <w:rsid w:val="00A83227"/>
    <w:rsid w:val="00A8322A"/>
    <w:rsid w:val="00A83297"/>
    <w:rsid w:val="00A8336A"/>
    <w:rsid w:val="00A8346D"/>
    <w:rsid w:val="00A8347E"/>
    <w:rsid w:val="00A834E9"/>
    <w:rsid w:val="00A8353C"/>
    <w:rsid w:val="00A835C4"/>
    <w:rsid w:val="00A83647"/>
    <w:rsid w:val="00A83682"/>
    <w:rsid w:val="00A83756"/>
    <w:rsid w:val="00A837B2"/>
    <w:rsid w:val="00A837C5"/>
    <w:rsid w:val="00A83806"/>
    <w:rsid w:val="00A83813"/>
    <w:rsid w:val="00A838D5"/>
    <w:rsid w:val="00A838F1"/>
    <w:rsid w:val="00A8394B"/>
    <w:rsid w:val="00A839B8"/>
    <w:rsid w:val="00A839F3"/>
    <w:rsid w:val="00A83A71"/>
    <w:rsid w:val="00A83AAE"/>
    <w:rsid w:val="00A83AF9"/>
    <w:rsid w:val="00A83B1A"/>
    <w:rsid w:val="00A83B9D"/>
    <w:rsid w:val="00A83BCA"/>
    <w:rsid w:val="00A83C08"/>
    <w:rsid w:val="00A83C33"/>
    <w:rsid w:val="00A83C4F"/>
    <w:rsid w:val="00A83C57"/>
    <w:rsid w:val="00A83C65"/>
    <w:rsid w:val="00A83CC6"/>
    <w:rsid w:val="00A83D41"/>
    <w:rsid w:val="00A83D8B"/>
    <w:rsid w:val="00A83E70"/>
    <w:rsid w:val="00A83E84"/>
    <w:rsid w:val="00A83F3E"/>
    <w:rsid w:val="00A83F6E"/>
    <w:rsid w:val="00A83FD5"/>
    <w:rsid w:val="00A84005"/>
    <w:rsid w:val="00A8411C"/>
    <w:rsid w:val="00A8417F"/>
    <w:rsid w:val="00A84184"/>
    <w:rsid w:val="00A8428C"/>
    <w:rsid w:val="00A842FD"/>
    <w:rsid w:val="00A8437C"/>
    <w:rsid w:val="00A843AF"/>
    <w:rsid w:val="00A8444F"/>
    <w:rsid w:val="00A8445E"/>
    <w:rsid w:val="00A84478"/>
    <w:rsid w:val="00A8447A"/>
    <w:rsid w:val="00A84515"/>
    <w:rsid w:val="00A845FB"/>
    <w:rsid w:val="00A84608"/>
    <w:rsid w:val="00A847B2"/>
    <w:rsid w:val="00A847E5"/>
    <w:rsid w:val="00A8498E"/>
    <w:rsid w:val="00A849DB"/>
    <w:rsid w:val="00A84A52"/>
    <w:rsid w:val="00A84AFB"/>
    <w:rsid w:val="00A84C4D"/>
    <w:rsid w:val="00A84C58"/>
    <w:rsid w:val="00A84C75"/>
    <w:rsid w:val="00A84E46"/>
    <w:rsid w:val="00A84EE6"/>
    <w:rsid w:val="00A84F6C"/>
    <w:rsid w:val="00A850E0"/>
    <w:rsid w:val="00A850F4"/>
    <w:rsid w:val="00A85123"/>
    <w:rsid w:val="00A852C6"/>
    <w:rsid w:val="00A8531B"/>
    <w:rsid w:val="00A85460"/>
    <w:rsid w:val="00A854BE"/>
    <w:rsid w:val="00A8553A"/>
    <w:rsid w:val="00A85548"/>
    <w:rsid w:val="00A85561"/>
    <w:rsid w:val="00A8556F"/>
    <w:rsid w:val="00A855FA"/>
    <w:rsid w:val="00A85680"/>
    <w:rsid w:val="00A856EC"/>
    <w:rsid w:val="00A8590A"/>
    <w:rsid w:val="00A85966"/>
    <w:rsid w:val="00A859F7"/>
    <w:rsid w:val="00A85A0C"/>
    <w:rsid w:val="00A85A1F"/>
    <w:rsid w:val="00A85A25"/>
    <w:rsid w:val="00A85AC7"/>
    <w:rsid w:val="00A85B4C"/>
    <w:rsid w:val="00A85BCE"/>
    <w:rsid w:val="00A85C02"/>
    <w:rsid w:val="00A85C08"/>
    <w:rsid w:val="00A85C63"/>
    <w:rsid w:val="00A85C7F"/>
    <w:rsid w:val="00A85C90"/>
    <w:rsid w:val="00A85D7D"/>
    <w:rsid w:val="00A85DF5"/>
    <w:rsid w:val="00A85E57"/>
    <w:rsid w:val="00A85E7D"/>
    <w:rsid w:val="00A85EE2"/>
    <w:rsid w:val="00A85F47"/>
    <w:rsid w:val="00A85F99"/>
    <w:rsid w:val="00A85FC0"/>
    <w:rsid w:val="00A8602A"/>
    <w:rsid w:val="00A86124"/>
    <w:rsid w:val="00A86133"/>
    <w:rsid w:val="00A861F4"/>
    <w:rsid w:val="00A861FF"/>
    <w:rsid w:val="00A8620F"/>
    <w:rsid w:val="00A86287"/>
    <w:rsid w:val="00A8629D"/>
    <w:rsid w:val="00A863E5"/>
    <w:rsid w:val="00A86488"/>
    <w:rsid w:val="00A8649B"/>
    <w:rsid w:val="00A864DD"/>
    <w:rsid w:val="00A86609"/>
    <w:rsid w:val="00A86755"/>
    <w:rsid w:val="00A86766"/>
    <w:rsid w:val="00A86775"/>
    <w:rsid w:val="00A8678D"/>
    <w:rsid w:val="00A86791"/>
    <w:rsid w:val="00A86852"/>
    <w:rsid w:val="00A868D1"/>
    <w:rsid w:val="00A86944"/>
    <w:rsid w:val="00A86952"/>
    <w:rsid w:val="00A8695E"/>
    <w:rsid w:val="00A869C8"/>
    <w:rsid w:val="00A86B2B"/>
    <w:rsid w:val="00A86B2D"/>
    <w:rsid w:val="00A86CB5"/>
    <w:rsid w:val="00A86CCA"/>
    <w:rsid w:val="00A86DF8"/>
    <w:rsid w:val="00A86E9A"/>
    <w:rsid w:val="00A86FE3"/>
    <w:rsid w:val="00A8700F"/>
    <w:rsid w:val="00A8717A"/>
    <w:rsid w:val="00A871A8"/>
    <w:rsid w:val="00A871FC"/>
    <w:rsid w:val="00A8720F"/>
    <w:rsid w:val="00A872B0"/>
    <w:rsid w:val="00A8737A"/>
    <w:rsid w:val="00A8737F"/>
    <w:rsid w:val="00A87390"/>
    <w:rsid w:val="00A8753D"/>
    <w:rsid w:val="00A875C4"/>
    <w:rsid w:val="00A87675"/>
    <w:rsid w:val="00A8774C"/>
    <w:rsid w:val="00A8776F"/>
    <w:rsid w:val="00A8781C"/>
    <w:rsid w:val="00A87881"/>
    <w:rsid w:val="00A87942"/>
    <w:rsid w:val="00A879BD"/>
    <w:rsid w:val="00A87AE9"/>
    <w:rsid w:val="00A87AFC"/>
    <w:rsid w:val="00A87B76"/>
    <w:rsid w:val="00A87B8F"/>
    <w:rsid w:val="00A87BB2"/>
    <w:rsid w:val="00A87C85"/>
    <w:rsid w:val="00A87CC9"/>
    <w:rsid w:val="00A87D1B"/>
    <w:rsid w:val="00A87D28"/>
    <w:rsid w:val="00A87EA7"/>
    <w:rsid w:val="00A87EC1"/>
    <w:rsid w:val="00A87EE7"/>
    <w:rsid w:val="00A87EEF"/>
    <w:rsid w:val="00A87EF7"/>
    <w:rsid w:val="00A87F08"/>
    <w:rsid w:val="00A87F28"/>
    <w:rsid w:val="00A87F9B"/>
    <w:rsid w:val="00A90065"/>
    <w:rsid w:val="00A901B5"/>
    <w:rsid w:val="00A901B7"/>
    <w:rsid w:val="00A901B9"/>
    <w:rsid w:val="00A901DB"/>
    <w:rsid w:val="00A901EF"/>
    <w:rsid w:val="00A9026C"/>
    <w:rsid w:val="00A9028D"/>
    <w:rsid w:val="00A9033B"/>
    <w:rsid w:val="00A903B5"/>
    <w:rsid w:val="00A903FC"/>
    <w:rsid w:val="00A904C2"/>
    <w:rsid w:val="00A90627"/>
    <w:rsid w:val="00A9068C"/>
    <w:rsid w:val="00A90730"/>
    <w:rsid w:val="00A90731"/>
    <w:rsid w:val="00A90733"/>
    <w:rsid w:val="00A90784"/>
    <w:rsid w:val="00A907F2"/>
    <w:rsid w:val="00A90878"/>
    <w:rsid w:val="00A90902"/>
    <w:rsid w:val="00A90905"/>
    <w:rsid w:val="00A90930"/>
    <w:rsid w:val="00A90943"/>
    <w:rsid w:val="00A90999"/>
    <w:rsid w:val="00A90B13"/>
    <w:rsid w:val="00A90BDA"/>
    <w:rsid w:val="00A90BE7"/>
    <w:rsid w:val="00A90D0B"/>
    <w:rsid w:val="00A90D64"/>
    <w:rsid w:val="00A90D72"/>
    <w:rsid w:val="00A90D74"/>
    <w:rsid w:val="00A90E09"/>
    <w:rsid w:val="00A90E13"/>
    <w:rsid w:val="00A90E35"/>
    <w:rsid w:val="00A90E39"/>
    <w:rsid w:val="00A90E66"/>
    <w:rsid w:val="00A90EAA"/>
    <w:rsid w:val="00A90EBC"/>
    <w:rsid w:val="00A90ECC"/>
    <w:rsid w:val="00A90EEF"/>
    <w:rsid w:val="00A90F35"/>
    <w:rsid w:val="00A90F98"/>
    <w:rsid w:val="00A91042"/>
    <w:rsid w:val="00A9106E"/>
    <w:rsid w:val="00A910D6"/>
    <w:rsid w:val="00A91156"/>
    <w:rsid w:val="00A91195"/>
    <w:rsid w:val="00A912AC"/>
    <w:rsid w:val="00A912BA"/>
    <w:rsid w:val="00A912D7"/>
    <w:rsid w:val="00A91321"/>
    <w:rsid w:val="00A91450"/>
    <w:rsid w:val="00A91465"/>
    <w:rsid w:val="00A9146C"/>
    <w:rsid w:val="00A914ED"/>
    <w:rsid w:val="00A91505"/>
    <w:rsid w:val="00A91519"/>
    <w:rsid w:val="00A9151D"/>
    <w:rsid w:val="00A91568"/>
    <w:rsid w:val="00A915AC"/>
    <w:rsid w:val="00A915CF"/>
    <w:rsid w:val="00A91634"/>
    <w:rsid w:val="00A917B9"/>
    <w:rsid w:val="00A917F1"/>
    <w:rsid w:val="00A91878"/>
    <w:rsid w:val="00A919AB"/>
    <w:rsid w:val="00A919B3"/>
    <w:rsid w:val="00A919EC"/>
    <w:rsid w:val="00A91A0B"/>
    <w:rsid w:val="00A91A52"/>
    <w:rsid w:val="00A91A78"/>
    <w:rsid w:val="00A91A82"/>
    <w:rsid w:val="00A91AFC"/>
    <w:rsid w:val="00A91BE1"/>
    <w:rsid w:val="00A91C12"/>
    <w:rsid w:val="00A91C45"/>
    <w:rsid w:val="00A91D9B"/>
    <w:rsid w:val="00A91DDA"/>
    <w:rsid w:val="00A91E72"/>
    <w:rsid w:val="00A91E74"/>
    <w:rsid w:val="00A91FF0"/>
    <w:rsid w:val="00A91FF4"/>
    <w:rsid w:val="00A91FFE"/>
    <w:rsid w:val="00A92031"/>
    <w:rsid w:val="00A920D5"/>
    <w:rsid w:val="00A92274"/>
    <w:rsid w:val="00A922CB"/>
    <w:rsid w:val="00A9234A"/>
    <w:rsid w:val="00A923DD"/>
    <w:rsid w:val="00A92550"/>
    <w:rsid w:val="00A9268E"/>
    <w:rsid w:val="00A92692"/>
    <w:rsid w:val="00A92826"/>
    <w:rsid w:val="00A9285B"/>
    <w:rsid w:val="00A9285E"/>
    <w:rsid w:val="00A92932"/>
    <w:rsid w:val="00A92999"/>
    <w:rsid w:val="00A92B0D"/>
    <w:rsid w:val="00A92D33"/>
    <w:rsid w:val="00A92DB9"/>
    <w:rsid w:val="00A92DCA"/>
    <w:rsid w:val="00A92E50"/>
    <w:rsid w:val="00A92F2D"/>
    <w:rsid w:val="00A92F94"/>
    <w:rsid w:val="00A92F9C"/>
    <w:rsid w:val="00A92FCD"/>
    <w:rsid w:val="00A9304D"/>
    <w:rsid w:val="00A930E4"/>
    <w:rsid w:val="00A93143"/>
    <w:rsid w:val="00A93159"/>
    <w:rsid w:val="00A93199"/>
    <w:rsid w:val="00A9319B"/>
    <w:rsid w:val="00A9319E"/>
    <w:rsid w:val="00A931AE"/>
    <w:rsid w:val="00A932AE"/>
    <w:rsid w:val="00A932FC"/>
    <w:rsid w:val="00A93392"/>
    <w:rsid w:val="00A933AC"/>
    <w:rsid w:val="00A9340E"/>
    <w:rsid w:val="00A93565"/>
    <w:rsid w:val="00A93574"/>
    <w:rsid w:val="00A9357A"/>
    <w:rsid w:val="00A93585"/>
    <w:rsid w:val="00A93674"/>
    <w:rsid w:val="00A936D8"/>
    <w:rsid w:val="00A937A6"/>
    <w:rsid w:val="00A937B2"/>
    <w:rsid w:val="00A937C6"/>
    <w:rsid w:val="00A93854"/>
    <w:rsid w:val="00A9385B"/>
    <w:rsid w:val="00A9391A"/>
    <w:rsid w:val="00A9391B"/>
    <w:rsid w:val="00A9393C"/>
    <w:rsid w:val="00A93974"/>
    <w:rsid w:val="00A93ADA"/>
    <w:rsid w:val="00A93B14"/>
    <w:rsid w:val="00A93B2D"/>
    <w:rsid w:val="00A93B6F"/>
    <w:rsid w:val="00A93CAD"/>
    <w:rsid w:val="00A93D05"/>
    <w:rsid w:val="00A93D9A"/>
    <w:rsid w:val="00A93DC1"/>
    <w:rsid w:val="00A93EB0"/>
    <w:rsid w:val="00A93F39"/>
    <w:rsid w:val="00A94013"/>
    <w:rsid w:val="00A94057"/>
    <w:rsid w:val="00A9405B"/>
    <w:rsid w:val="00A9407B"/>
    <w:rsid w:val="00A9408B"/>
    <w:rsid w:val="00A942B2"/>
    <w:rsid w:val="00A942B9"/>
    <w:rsid w:val="00A94311"/>
    <w:rsid w:val="00A9431C"/>
    <w:rsid w:val="00A9439E"/>
    <w:rsid w:val="00A94432"/>
    <w:rsid w:val="00A94496"/>
    <w:rsid w:val="00A944B7"/>
    <w:rsid w:val="00A94556"/>
    <w:rsid w:val="00A94581"/>
    <w:rsid w:val="00A945EC"/>
    <w:rsid w:val="00A94621"/>
    <w:rsid w:val="00A94627"/>
    <w:rsid w:val="00A946D5"/>
    <w:rsid w:val="00A946E9"/>
    <w:rsid w:val="00A94833"/>
    <w:rsid w:val="00A948BD"/>
    <w:rsid w:val="00A94914"/>
    <w:rsid w:val="00A94981"/>
    <w:rsid w:val="00A94992"/>
    <w:rsid w:val="00A94A24"/>
    <w:rsid w:val="00A94A97"/>
    <w:rsid w:val="00A94AA3"/>
    <w:rsid w:val="00A94AF3"/>
    <w:rsid w:val="00A94B00"/>
    <w:rsid w:val="00A94B76"/>
    <w:rsid w:val="00A94B92"/>
    <w:rsid w:val="00A94BEE"/>
    <w:rsid w:val="00A94C59"/>
    <w:rsid w:val="00A94CA0"/>
    <w:rsid w:val="00A94E78"/>
    <w:rsid w:val="00A94E93"/>
    <w:rsid w:val="00A94E9E"/>
    <w:rsid w:val="00A94F5F"/>
    <w:rsid w:val="00A94FA4"/>
    <w:rsid w:val="00A94FA9"/>
    <w:rsid w:val="00A94FDD"/>
    <w:rsid w:val="00A950DA"/>
    <w:rsid w:val="00A95142"/>
    <w:rsid w:val="00A951DC"/>
    <w:rsid w:val="00A95340"/>
    <w:rsid w:val="00A953DE"/>
    <w:rsid w:val="00A95488"/>
    <w:rsid w:val="00A954F0"/>
    <w:rsid w:val="00A954F5"/>
    <w:rsid w:val="00A95527"/>
    <w:rsid w:val="00A95659"/>
    <w:rsid w:val="00A956B1"/>
    <w:rsid w:val="00A956F8"/>
    <w:rsid w:val="00A9570F"/>
    <w:rsid w:val="00A957E7"/>
    <w:rsid w:val="00A9587B"/>
    <w:rsid w:val="00A95898"/>
    <w:rsid w:val="00A9596D"/>
    <w:rsid w:val="00A959A4"/>
    <w:rsid w:val="00A95A71"/>
    <w:rsid w:val="00A95AFA"/>
    <w:rsid w:val="00A95C1F"/>
    <w:rsid w:val="00A95CB1"/>
    <w:rsid w:val="00A95D27"/>
    <w:rsid w:val="00A95D92"/>
    <w:rsid w:val="00A95E27"/>
    <w:rsid w:val="00A95E62"/>
    <w:rsid w:val="00A95F8A"/>
    <w:rsid w:val="00A96022"/>
    <w:rsid w:val="00A9609A"/>
    <w:rsid w:val="00A96192"/>
    <w:rsid w:val="00A961BF"/>
    <w:rsid w:val="00A961FA"/>
    <w:rsid w:val="00A96219"/>
    <w:rsid w:val="00A96276"/>
    <w:rsid w:val="00A9628C"/>
    <w:rsid w:val="00A962A9"/>
    <w:rsid w:val="00A96305"/>
    <w:rsid w:val="00A96335"/>
    <w:rsid w:val="00A9634E"/>
    <w:rsid w:val="00A96354"/>
    <w:rsid w:val="00A963E2"/>
    <w:rsid w:val="00A9656A"/>
    <w:rsid w:val="00A9656F"/>
    <w:rsid w:val="00A96570"/>
    <w:rsid w:val="00A9658F"/>
    <w:rsid w:val="00A96605"/>
    <w:rsid w:val="00A96624"/>
    <w:rsid w:val="00A96677"/>
    <w:rsid w:val="00A9667D"/>
    <w:rsid w:val="00A96721"/>
    <w:rsid w:val="00A9681B"/>
    <w:rsid w:val="00A968B8"/>
    <w:rsid w:val="00A96946"/>
    <w:rsid w:val="00A9694B"/>
    <w:rsid w:val="00A969A7"/>
    <w:rsid w:val="00A969AC"/>
    <w:rsid w:val="00A96B5D"/>
    <w:rsid w:val="00A96B9D"/>
    <w:rsid w:val="00A96C4A"/>
    <w:rsid w:val="00A96DC2"/>
    <w:rsid w:val="00A96E7D"/>
    <w:rsid w:val="00A96E8B"/>
    <w:rsid w:val="00A97013"/>
    <w:rsid w:val="00A9703D"/>
    <w:rsid w:val="00A97078"/>
    <w:rsid w:val="00A97086"/>
    <w:rsid w:val="00A970C2"/>
    <w:rsid w:val="00A97147"/>
    <w:rsid w:val="00A971A7"/>
    <w:rsid w:val="00A971CD"/>
    <w:rsid w:val="00A9724A"/>
    <w:rsid w:val="00A9728B"/>
    <w:rsid w:val="00A972AE"/>
    <w:rsid w:val="00A972E2"/>
    <w:rsid w:val="00A97313"/>
    <w:rsid w:val="00A973C6"/>
    <w:rsid w:val="00A974BE"/>
    <w:rsid w:val="00A97546"/>
    <w:rsid w:val="00A97562"/>
    <w:rsid w:val="00A97683"/>
    <w:rsid w:val="00A976AB"/>
    <w:rsid w:val="00A9770B"/>
    <w:rsid w:val="00A9773D"/>
    <w:rsid w:val="00A97810"/>
    <w:rsid w:val="00A9784E"/>
    <w:rsid w:val="00A97888"/>
    <w:rsid w:val="00A978DD"/>
    <w:rsid w:val="00A978E8"/>
    <w:rsid w:val="00A978F6"/>
    <w:rsid w:val="00A97997"/>
    <w:rsid w:val="00A97A27"/>
    <w:rsid w:val="00A97A39"/>
    <w:rsid w:val="00A97A74"/>
    <w:rsid w:val="00A97ABB"/>
    <w:rsid w:val="00A97BBC"/>
    <w:rsid w:val="00A97C38"/>
    <w:rsid w:val="00A97C60"/>
    <w:rsid w:val="00A97D02"/>
    <w:rsid w:val="00A97D94"/>
    <w:rsid w:val="00A97E1F"/>
    <w:rsid w:val="00A97E68"/>
    <w:rsid w:val="00A97EB7"/>
    <w:rsid w:val="00A97F18"/>
    <w:rsid w:val="00A97F3B"/>
    <w:rsid w:val="00A97F6C"/>
    <w:rsid w:val="00A97F71"/>
    <w:rsid w:val="00A97F7E"/>
    <w:rsid w:val="00A97FE5"/>
    <w:rsid w:val="00A97FF1"/>
    <w:rsid w:val="00AA00B6"/>
    <w:rsid w:val="00AA01D3"/>
    <w:rsid w:val="00AA01EA"/>
    <w:rsid w:val="00AA01EB"/>
    <w:rsid w:val="00AA01F7"/>
    <w:rsid w:val="00AA0219"/>
    <w:rsid w:val="00AA0230"/>
    <w:rsid w:val="00AA0273"/>
    <w:rsid w:val="00AA02E1"/>
    <w:rsid w:val="00AA0306"/>
    <w:rsid w:val="00AA033C"/>
    <w:rsid w:val="00AA03E4"/>
    <w:rsid w:val="00AA0427"/>
    <w:rsid w:val="00AA0439"/>
    <w:rsid w:val="00AA04CA"/>
    <w:rsid w:val="00AA06A6"/>
    <w:rsid w:val="00AA0722"/>
    <w:rsid w:val="00AA08EF"/>
    <w:rsid w:val="00AA0A48"/>
    <w:rsid w:val="00AA0BD3"/>
    <w:rsid w:val="00AA0BD8"/>
    <w:rsid w:val="00AA0C1E"/>
    <w:rsid w:val="00AA0CE5"/>
    <w:rsid w:val="00AA0D43"/>
    <w:rsid w:val="00AA0D93"/>
    <w:rsid w:val="00AA0DB9"/>
    <w:rsid w:val="00AA0E49"/>
    <w:rsid w:val="00AA0E9E"/>
    <w:rsid w:val="00AA0ED7"/>
    <w:rsid w:val="00AA0EFD"/>
    <w:rsid w:val="00AA0F0E"/>
    <w:rsid w:val="00AA0F5F"/>
    <w:rsid w:val="00AA0FF8"/>
    <w:rsid w:val="00AA107C"/>
    <w:rsid w:val="00AA1123"/>
    <w:rsid w:val="00AA115F"/>
    <w:rsid w:val="00AA11CA"/>
    <w:rsid w:val="00AA1252"/>
    <w:rsid w:val="00AA12F7"/>
    <w:rsid w:val="00AA137C"/>
    <w:rsid w:val="00AA1434"/>
    <w:rsid w:val="00AA14AF"/>
    <w:rsid w:val="00AA1574"/>
    <w:rsid w:val="00AA158A"/>
    <w:rsid w:val="00AA1599"/>
    <w:rsid w:val="00AA15D2"/>
    <w:rsid w:val="00AA162A"/>
    <w:rsid w:val="00AA1681"/>
    <w:rsid w:val="00AA1885"/>
    <w:rsid w:val="00AA18C2"/>
    <w:rsid w:val="00AA191F"/>
    <w:rsid w:val="00AA195F"/>
    <w:rsid w:val="00AA1AD2"/>
    <w:rsid w:val="00AA1BFC"/>
    <w:rsid w:val="00AA1C71"/>
    <w:rsid w:val="00AA1C8B"/>
    <w:rsid w:val="00AA1CE3"/>
    <w:rsid w:val="00AA1D4E"/>
    <w:rsid w:val="00AA1D7D"/>
    <w:rsid w:val="00AA1E2C"/>
    <w:rsid w:val="00AA1E88"/>
    <w:rsid w:val="00AA1F0C"/>
    <w:rsid w:val="00AA1F2F"/>
    <w:rsid w:val="00AA1F9E"/>
    <w:rsid w:val="00AA1FD1"/>
    <w:rsid w:val="00AA1FDA"/>
    <w:rsid w:val="00AA208E"/>
    <w:rsid w:val="00AA21AB"/>
    <w:rsid w:val="00AA22F9"/>
    <w:rsid w:val="00AA2300"/>
    <w:rsid w:val="00AA230D"/>
    <w:rsid w:val="00AA2354"/>
    <w:rsid w:val="00AA242B"/>
    <w:rsid w:val="00AA243B"/>
    <w:rsid w:val="00AA24A3"/>
    <w:rsid w:val="00AA24BB"/>
    <w:rsid w:val="00AA2515"/>
    <w:rsid w:val="00AA2520"/>
    <w:rsid w:val="00AA25C5"/>
    <w:rsid w:val="00AA25C9"/>
    <w:rsid w:val="00AA2652"/>
    <w:rsid w:val="00AA2674"/>
    <w:rsid w:val="00AA2692"/>
    <w:rsid w:val="00AA26B3"/>
    <w:rsid w:val="00AA2725"/>
    <w:rsid w:val="00AA2795"/>
    <w:rsid w:val="00AA279A"/>
    <w:rsid w:val="00AA2892"/>
    <w:rsid w:val="00AA28F3"/>
    <w:rsid w:val="00AA2904"/>
    <w:rsid w:val="00AA2923"/>
    <w:rsid w:val="00AA294B"/>
    <w:rsid w:val="00AA29A5"/>
    <w:rsid w:val="00AA2AA6"/>
    <w:rsid w:val="00AA2AC4"/>
    <w:rsid w:val="00AA2B34"/>
    <w:rsid w:val="00AA2B8D"/>
    <w:rsid w:val="00AA2BB7"/>
    <w:rsid w:val="00AA2C42"/>
    <w:rsid w:val="00AA2C4F"/>
    <w:rsid w:val="00AA2C5A"/>
    <w:rsid w:val="00AA2D91"/>
    <w:rsid w:val="00AA2DF4"/>
    <w:rsid w:val="00AA2E26"/>
    <w:rsid w:val="00AA2EF3"/>
    <w:rsid w:val="00AA2F29"/>
    <w:rsid w:val="00AA2F61"/>
    <w:rsid w:val="00AA2F69"/>
    <w:rsid w:val="00AA2F8F"/>
    <w:rsid w:val="00AA2FB3"/>
    <w:rsid w:val="00AA3092"/>
    <w:rsid w:val="00AA30E7"/>
    <w:rsid w:val="00AA318D"/>
    <w:rsid w:val="00AA3264"/>
    <w:rsid w:val="00AA32AD"/>
    <w:rsid w:val="00AA32C4"/>
    <w:rsid w:val="00AA32D7"/>
    <w:rsid w:val="00AA338C"/>
    <w:rsid w:val="00AA35ED"/>
    <w:rsid w:val="00AA35F3"/>
    <w:rsid w:val="00AA35FF"/>
    <w:rsid w:val="00AA3658"/>
    <w:rsid w:val="00AA3677"/>
    <w:rsid w:val="00AA36AF"/>
    <w:rsid w:val="00AA371D"/>
    <w:rsid w:val="00AA37F4"/>
    <w:rsid w:val="00AA38E1"/>
    <w:rsid w:val="00AA392F"/>
    <w:rsid w:val="00AA39C4"/>
    <w:rsid w:val="00AA3A03"/>
    <w:rsid w:val="00AA3A97"/>
    <w:rsid w:val="00AA3B32"/>
    <w:rsid w:val="00AA3BF5"/>
    <w:rsid w:val="00AA3C01"/>
    <w:rsid w:val="00AA3C34"/>
    <w:rsid w:val="00AA3C41"/>
    <w:rsid w:val="00AA3D38"/>
    <w:rsid w:val="00AA3DAA"/>
    <w:rsid w:val="00AA3DC4"/>
    <w:rsid w:val="00AA3DE2"/>
    <w:rsid w:val="00AA3E10"/>
    <w:rsid w:val="00AA3FD4"/>
    <w:rsid w:val="00AA406D"/>
    <w:rsid w:val="00AA407B"/>
    <w:rsid w:val="00AA4083"/>
    <w:rsid w:val="00AA4099"/>
    <w:rsid w:val="00AA41F5"/>
    <w:rsid w:val="00AA4204"/>
    <w:rsid w:val="00AA4247"/>
    <w:rsid w:val="00AA4262"/>
    <w:rsid w:val="00AA4297"/>
    <w:rsid w:val="00AA42FC"/>
    <w:rsid w:val="00AA4408"/>
    <w:rsid w:val="00AA441D"/>
    <w:rsid w:val="00AA443E"/>
    <w:rsid w:val="00AA4476"/>
    <w:rsid w:val="00AA453B"/>
    <w:rsid w:val="00AA453D"/>
    <w:rsid w:val="00AA467D"/>
    <w:rsid w:val="00AA4783"/>
    <w:rsid w:val="00AA4842"/>
    <w:rsid w:val="00AA4866"/>
    <w:rsid w:val="00AA48E8"/>
    <w:rsid w:val="00AA4971"/>
    <w:rsid w:val="00AA49A8"/>
    <w:rsid w:val="00AA49B1"/>
    <w:rsid w:val="00AA4A22"/>
    <w:rsid w:val="00AA4A2C"/>
    <w:rsid w:val="00AA4B44"/>
    <w:rsid w:val="00AA4BC1"/>
    <w:rsid w:val="00AA4C50"/>
    <w:rsid w:val="00AA4CB7"/>
    <w:rsid w:val="00AA4D45"/>
    <w:rsid w:val="00AA4D84"/>
    <w:rsid w:val="00AA4E4F"/>
    <w:rsid w:val="00AA4EAF"/>
    <w:rsid w:val="00AA4F58"/>
    <w:rsid w:val="00AA4FD9"/>
    <w:rsid w:val="00AA50B5"/>
    <w:rsid w:val="00AA5114"/>
    <w:rsid w:val="00AA511B"/>
    <w:rsid w:val="00AA511D"/>
    <w:rsid w:val="00AA513E"/>
    <w:rsid w:val="00AA5248"/>
    <w:rsid w:val="00AA5253"/>
    <w:rsid w:val="00AA5417"/>
    <w:rsid w:val="00AA5432"/>
    <w:rsid w:val="00AA5434"/>
    <w:rsid w:val="00AA561A"/>
    <w:rsid w:val="00AA5620"/>
    <w:rsid w:val="00AA569E"/>
    <w:rsid w:val="00AA5737"/>
    <w:rsid w:val="00AA5765"/>
    <w:rsid w:val="00AA57EE"/>
    <w:rsid w:val="00AA57EF"/>
    <w:rsid w:val="00AA580E"/>
    <w:rsid w:val="00AA581B"/>
    <w:rsid w:val="00AA584A"/>
    <w:rsid w:val="00AA587A"/>
    <w:rsid w:val="00AA58D3"/>
    <w:rsid w:val="00AA593E"/>
    <w:rsid w:val="00AA59A1"/>
    <w:rsid w:val="00AA59B7"/>
    <w:rsid w:val="00AA5A07"/>
    <w:rsid w:val="00AA5A79"/>
    <w:rsid w:val="00AA5AF1"/>
    <w:rsid w:val="00AA5B11"/>
    <w:rsid w:val="00AA5B4F"/>
    <w:rsid w:val="00AA5B55"/>
    <w:rsid w:val="00AA5BD0"/>
    <w:rsid w:val="00AA5C27"/>
    <w:rsid w:val="00AA5C91"/>
    <w:rsid w:val="00AA5D99"/>
    <w:rsid w:val="00AA5E03"/>
    <w:rsid w:val="00AA5E47"/>
    <w:rsid w:val="00AA5E90"/>
    <w:rsid w:val="00AA5EB9"/>
    <w:rsid w:val="00AA5FA7"/>
    <w:rsid w:val="00AA610E"/>
    <w:rsid w:val="00AA614D"/>
    <w:rsid w:val="00AA61F1"/>
    <w:rsid w:val="00AA6215"/>
    <w:rsid w:val="00AA6243"/>
    <w:rsid w:val="00AA629D"/>
    <w:rsid w:val="00AA62DA"/>
    <w:rsid w:val="00AA6350"/>
    <w:rsid w:val="00AA6360"/>
    <w:rsid w:val="00AA637E"/>
    <w:rsid w:val="00AA63BF"/>
    <w:rsid w:val="00AA6426"/>
    <w:rsid w:val="00AA644A"/>
    <w:rsid w:val="00AA64CB"/>
    <w:rsid w:val="00AA64CE"/>
    <w:rsid w:val="00AA64EB"/>
    <w:rsid w:val="00AA64F2"/>
    <w:rsid w:val="00AA6536"/>
    <w:rsid w:val="00AA65D4"/>
    <w:rsid w:val="00AA6670"/>
    <w:rsid w:val="00AA66BE"/>
    <w:rsid w:val="00AA6739"/>
    <w:rsid w:val="00AA674F"/>
    <w:rsid w:val="00AA6774"/>
    <w:rsid w:val="00AA6825"/>
    <w:rsid w:val="00AA685A"/>
    <w:rsid w:val="00AA68C2"/>
    <w:rsid w:val="00AA6946"/>
    <w:rsid w:val="00AA6A63"/>
    <w:rsid w:val="00AA6B8F"/>
    <w:rsid w:val="00AA6CC8"/>
    <w:rsid w:val="00AA6D08"/>
    <w:rsid w:val="00AA6D78"/>
    <w:rsid w:val="00AA6F0B"/>
    <w:rsid w:val="00AA6F47"/>
    <w:rsid w:val="00AA6FBA"/>
    <w:rsid w:val="00AA7031"/>
    <w:rsid w:val="00AA70A7"/>
    <w:rsid w:val="00AA70B4"/>
    <w:rsid w:val="00AA7190"/>
    <w:rsid w:val="00AA71EF"/>
    <w:rsid w:val="00AA7257"/>
    <w:rsid w:val="00AA72AF"/>
    <w:rsid w:val="00AA74B4"/>
    <w:rsid w:val="00AA7537"/>
    <w:rsid w:val="00AA7660"/>
    <w:rsid w:val="00AA76A6"/>
    <w:rsid w:val="00AA76B4"/>
    <w:rsid w:val="00AA771A"/>
    <w:rsid w:val="00AA775F"/>
    <w:rsid w:val="00AA7778"/>
    <w:rsid w:val="00AA777F"/>
    <w:rsid w:val="00AA778F"/>
    <w:rsid w:val="00AA7890"/>
    <w:rsid w:val="00AA7946"/>
    <w:rsid w:val="00AA79E8"/>
    <w:rsid w:val="00AA7BAC"/>
    <w:rsid w:val="00AA7CA0"/>
    <w:rsid w:val="00AA7CBA"/>
    <w:rsid w:val="00AA7CCE"/>
    <w:rsid w:val="00AA7CF4"/>
    <w:rsid w:val="00AA7D2D"/>
    <w:rsid w:val="00AA7D93"/>
    <w:rsid w:val="00AA7DE3"/>
    <w:rsid w:val="00AA7DEA"/>
    <w:rsid w:val="00AA7E2D"/>
    <w:rsid w:val="00AA7F09"/>
    <w:rsid w:val="00AA7F59"/>
    <w:rsid w:val="00AA7F8F"/>
    <w:rsid w:val="00AA7FB7"/>
    <w:rsid w:val="00AA7FD7"/>
    <w:rsid w:val="00AB002D"/>
    <w:rsid w:val="00AB0128"/>
    <w:rsid w:val="00AB0339"/>
    <w:rsid w:val="00AB038D"/>
    <w:rsid w:val="00AB03F7"/>
    <w:rsid w:val="00AB040F"/>
    <w:rsid w:val="00AB048A"/>
    <w:rsid w:val="00AB051B"/>
    <w:rsid w:val="00AB053B"/>
    <w:rsid w:val="00AB05E3"/>
    <w:rsid w:val="00AB065C"/>
    <w:rsid w:val="00AB0717"/>
    <w:rsid w:val="00AB083E"/>
    <w:rsid w:val="00AB0903"/>
    <w:rsid w:val="00AB0941"/>
    <w:rsid w:val="00AB0A26"/>
    <w:rsid w:val="00AB0A44"/>
    <w:rsid w:val="00AB0A72"/>
    <w:rsid w:val="00AB0BFB"/>
    <w:rsid w:val="00AB0C0A"/>
    <w:rsid w:val="00AB0C3E"/>
    <w:rsid w:val="00AB0C74"/>
    <w:rsid w:val="00AB0D90"/>
    <w:rsid w:val="00AB0E52"/>
    <w:rsid w:val="00AB1004"/>
    <w:rsid w:val="00AB101D"/>
    <w:rsid w:val="00AB105E"/>
    <w:rsid w:val="00AB1111"/>
    <w:rsid w:val="00AB1157"/>
    <w:rsid w:val="00AB1168"/>
    <w:rsid w:val="00AB11CB"/>
    <w:rsid w:val="00AB1211"/>
    <w:rsid w:val="00AB1288"/>
    <w:rsid w:val="00AB12E0"/>
    <w:rsid w:val="00AB12E8"/>
    <w:rsid w:val="00AB130B"/>
    <w:rsid w:val="00AB132E"/>
    <w:rsid w:val="00AB136A"/>
    <w:rsid w:val="00AB13B1"/>
    <w:rsid w:val="00AB141B"/>
    <w:rsid w:val="00AB1423"/>
    <w:rsid w:val="00AB1481"/>
    <w:rsid w:val="00AB1498"/>
    <w:rsid w:val="00AB15D4"/>
    <w:rsid w:val="00AB1638"/>
    <w:rsid w:val="00AB16DD"/>
    <w:rsid w:val="00AB16E7"/>
    <w:rsid w:val="00AB1785"/>
    <w:rsid w:val="00AB1819"/>
    <w:rsid w:val="00AB182F"/>
    <w:rsid w:val="00AB1872"/>
    <w:rsid w:val="00AB187B"/>
    <w:rsid w:val="00AB19F6"/>
    <w:rsid w:val="00AB19F9"/>
    <w:rsid w:val="00AB1AC5"/>
    <w:rsid w:val="00AB1AD7"/>
    <w:rsid w:val="00AB1B19"/>
    <w:rsid w:val="00AB1B8B"/>
    <w:rsid w:val="00AB1B9C"/>
    <w:rsid w:val="00AB1BA0"/>
    <w:rsid w:val="00AB1C2A"/>
    <w:rsid w:val="00AB1CA3"/>
    <w:rsid w:val="00AB1D74"/>
    <w:rsid w:val="00AB1DB9"/>
    <w:rsid w:val="00AB1E86"/>
    <w:rsid w:val="00AB20AD"/>
    <w:rsid w:val="00AB20AF"/>
    <w:rsid w:val="00AB210D"/>
    <w:rsid w:val="00AB21BA"/>
    <w:rsid w:val="00AB2257"/>
    <w:rsid w:val="00AB22C4"/>
    <w:rsid w:val="00AB22C9"/>
    <w:rsid w:val="00AB2348"/>
    <w:rsid w:val="00AB23D9"/>
    <w:rsid w:val="00AB24A8"/>
    <w:rsid w:val="00AB25CB"/>
    <w:rsid w:val="00AB2657"/>
    <w:rsid w:val="00AB26C3"/>
    <w:rsid w:val="00AB26E1"/>
    <w:rsid w:val="00AB2880"/>
    <w:rsid w:val="00AB28EB"/>
    <w:rsid w:val="00AB296B"/>
    <w:rsid w:val="00AB29AB"/>
    <w:rsid w:val="00AB2BD7"/>
    <w:rsid w:val="00AB2BF4"/>
    <w:rsid w:val="00AB2C59"/>
    <w:rsid w:val="00AB2C94"/>
    <w:rsid w:val="00AB2CB3"/>
    <w:rsid w:val="00AB2CCF"/>
    <w:rsid w:val="00AB2CDF"/>
    <w:rsid w:val="00AB2D60"/>
    <w:rsid w:val="00AB2DF0"/>
    <w:rsid w:val="00AB2E14"/>
    <w:rsid w:val="00AB2E9C"/>
    <w:rsid w:val="00AB2EA2"/>
    <w:rsid w:val="00AB2F51"/>
    <w:rsid w:val="00AB2F65"/>
    <w:rsid w:val="00AB307A"/>
    <w:rsid w:val="00AB313D"/>
    <w:rsid w:val="00AB3171"/>
    <w:rsid w:val="00AB319F"/>
    <w:rsid w:val="00AB31C4"/>
    <w:rsid w:val="00AB31EF"/>
    <w:rsid w:val="00AB3208"/>
    <w:rsid w:val="00AB326D"/>
    <w:rsid w:val="00AB3295"/>
    <w:rsid w:val="00AB35FC"/>
    <w:rsid w:val="00AB369D"/>
    <w:rsid w:val="00AB36CE"/>
    <w:rsid w:val="00AB36E6"/>
    <w:rsid w:val="00AB373D"/>
    <w:rsid w:val="00AB3822"/>
    <w:rsid w:val="00AB383A"/>
    <w:rsid w:val="00AB3866"/>
    <w:rsid w:val="00AB3891"/>
    <w:rsid w:val="00AB39CD"/>
    <w:rsid w:val="00AB39EA"/>
    <w:rsid w:val="00AB3A5C"/>
    <w:rsid w:val="00AB3BBE"/>
    <w:rsid w:val="00AB3C0C"/>
    <w:rsid w:val="00AB3C63"/>
    <w:rsid w:val="00AB3CDA"/>
    <w:rsid w:val="00AB3D79"/>
    <w:rsid w:val="00AB3DDA"/>
    <w:rsid w:val="00AB3E85"/>
    <w:rsid w:val="00AB3EB6"/>
    <w:rsid w:val="00AB3EF8"/>
    <w:rsid w:val="00AB3EFF"/>
    <w:rsid w:val="00AB3F54"/>
    <w:rsid w:val="00AB3FAD"/>
    <w:rsid w:val="00AB3FB2"/>
    <w:rsid w:val="00AB3FF2"/>
    <w:rsid w:val="00AB4021"/>
    <w:rsid w:val="00AB407A"/>
    <w:rsid w:val="00AB407E"/>
    <w:rsid w:val="00AB4223"/>
    <w:rsid w:val="00AB4269"/>
    <w:rsid w:val="00AB42EB"/>
    <w:rsid w:val="00AB42FD"/>
    <w:rsid w:val="00AB4343"/>
    <w:rsid w:val="00AB43E3"/>
    <w:rsid w:val="00AB45EF"/>
    <w:rsid w:val="00AB46FC"/>
    <w:rsid w:val="00AB4882"/>
    <w:rsid w:val="00AB48A8"/>
    <w:rsid w:val="00AB48F1"/>
    <w:rsid w:val="00AB4945"/>
    <w:rsid w:val="00AB49CD"/>
    <w:rsid w:val="00AB49EF"/>
    <w:rsid w:val="00AB4A1D"/>
    <w:rsid w:val="00AB4A54"/>
    <w:rsid w:val="00AB4AEB"/>
    <w:rsid w:val="00AB4B80"/>
    <w:rsid w:val="00AB4BB9"/>
    <w:rsid w:val="00AB4C67"/>
    <w:rsid w:val="00AB4C9A"/>
    <w:rsid w:val="00AB4CBE"/>
    <w:rsid w:val="00AB4D2D"/>
    <w:rsid w:val="00AB4D8D"/>
    <w:rsid w:val="00AB4EBD"/>
    <w:rsid w:val="00AB4F73"/>
    <w:rsid w:val="00AB4F96"/>
    <w:rsid w:val="00AB4FBE"/>
    <w:rsid w:val="00AB507E"/>
    <w:rsid w:val="00AB50C0"/>
    <w:rsid w:val="00AB51B9"/>
    <w:rsid w:val="00AB5233"/>
    <w:rsid w:val="00AB525D"/>
    <w:rsid w:val="00AB52C7"/>
    <w:rsid w:val="00AB52DF"/>
    <w:rsid w:val="00AB5321"/>
    <w:rsid w:val="00AB5356"/>
    <w:rsid w:val="00AB548B"/>
    <w:rsid w:val="00AB54E0"/>
    <w:rsid w:val="00AB54E3"/>
    <w:rsid w:val="00AB54EC"/>
    <w:rsid w:val="00AB5537"/>
    <w:rsid w:val="00AB556C"/>
    <w:rsid w:val="00AB567C"/>
    <w:rsid w:val="00AB5796"/>
    <w:rsid w:val="00AB57D2"/>
    <w:rsid w:val="00AB57FE"/>
    <w:rsid w:val="00AB583B"/>
    <w:rsid w:val="00AB5856"/>
    <w:rsid w:val="00AB5956"/>
    <w:rsid w:val="00AB597A"/>
    <w:rsid w:val="00AB5A67"/>
    <w:rsid w:val="00AB5AF6"/>
    <w:rsid w:val="00AB5B2F"/>
    <w:rsid w:val="00AB5B54"/>
    <w:rsid w:val="00AB5C39"/>
    <w:rsid w:val="00AB5C67"/>
    <w:rsid w:val="00AB5C94"/>
    <w:rsid w:val="00AB5CF5"/>
    <w:rsid w:val="00AB5D2F"/>
    <w:rsid w:val="00AB5D61"/>
    <w:rsid w:val="00AB5D79"/>
    <w:rsid w:val="00AB5D84"/>
    <w:rsid w:val="00AB5DB5"/>
    <w:rsid w:val="00AB5DDC"/>
    <w:rsid w:val="00AB5DDE"/>
    <w:rsid w:val="00AB5E81"/>
    <w:rsid w:val="00AB5EDF"/>
    <w:rsid w:val="00AB5F49"/>
    <w:rsid w:val="00AB5FB0"/>
    <w:rsid w:val="00AB5FB8"/>
    <w:rsid w:val="00AB6169"/>
    <w:rsid w:val="00AB61E4"/>
    <w:rsid w:val="00AB61ED"/>
    <w:rsid w:val="00AB636B"/>
    <w:rsid w:val="00AB63C9"/>
    <w:rsid w:val="00AB6446"/>
    <w:rsid w:val="00AB64E5"/>
    <w:rsid w:val="00AB64FF"/>
    <w:rsid w:val="00AB65F4"/>
    <w:rsid w:val="00AB66D9"/>
    <w:rsid w:val="00AB6775"/>
    <w:rsid w:val="00AB684D"/>
    <w:rsid w:val="00AB68D3"/>
    <w:rsid w:val="00AB68DE"/>
    <w:rsid w:val="00AB6937"/>
    <w:rsid w:val="00AB6969"/>
    <w:rsid w:val="00AB6A27"/>
    <w:rsid w:val="00AB6A90"/>
    <w:rsid w:val="00AB6AD6"/>
    <w:rsid w:val="00AB6AD8"/>
    <w:rsid w:val="00AB6B93"/>
    <w:rsid w:val="00AB6BB6"/>
    <w:rsid w:val="00AB6BF5"/>
    <w:rsid w:val="00AB6C35"/>
    <w:rsid w:val="00AB6CF0"/>
    <w:rsid w:val="00AB6CFD"/>
    <w:rsid w:val="00AB6DA7"/>
    <w:rsid w:val="00AB6ED0"/>
    <w:rsid w:val="00AB6EE2"/>
    <w:rsid w:val="00AB705D"/>
    <w:rsid w:val="00AB7069"/>
    <w:rsid w:val="00AB70FF"/>
    <w:rsid w:val="00AB710C"/>
    <w:rsid w:val="00AB71DF"/>
    <w:rsid w:val="00AB7211"/>
    <w:rsid w:val="00AB7226"/>
    <w:rsid w:val="00AB72BF"/>
    <w:rsid w:val="00AB72DB"/>
    <w:rsid w:val="00AB7325"/>
    <w:rsid w:val="00AB73E3"/>
    <w:rsid w:val="00AB73F4"/>
    <w:rsid w:val="00AB7609"/>
    <w:rsid w:val="00AB764F"/>
    <w:rsid w:val="00AB76A6"/>
    <w:rsid w:val="00AB76EC"/>
    <w:rsid w:val="00AB7743"/>
    <w:rsid w:val="00AB7862"/>
    <w:rsid w:val="00AB7962"/>
    <w:rsid w:val="00AB79A9"/>
    <w:rsid w:val="00AB7A43"/>
    <w:rsid w:val="00AB7A46"/>
    <w:rsid w:val="00AB7A6A"/>
    <w:rsid w:val="00AB7AFE"/>
    <w:rsid w:val="00AB7DEB"/>
    <w:rsid w:val="00AB7E7E"/>
    <w:rsid w:val="00AB7EA2"/>
    <w:rsid w:val="00AB7EB3"/>
    <w:rsid w:val="00AC011A"/>
    <w:rsid w:val="00AC0158"/>
    <w:rsid w:val="00AC0185"/>
    <w:rsid w:val="00AC0188"/>
    <w:rsid w:val="00AC01C4"/>
    <w:rsid w:val="00AC01CB"/>
    <w:rsid w:val="00AC0252"/>
    <w:rsid w:val="00AC036C"/>
    <w:rsid w:val="00AC047A"/>
    <w:rsid w:val="00AC0514"/>
    <w:rsid w:val="00AC0522"/>
    <w:rsid w:val="00AC0549"/>
    <w:rsid w:val="00AC0551"/>
    <w:rsid w:val="00AC0561"/>
    <w:rsid w:val="00AC0583"/>
    <w:rsid w:val="00AC05BB"/>
    <w:rsid w:val="00AC05D5"/>
    <w:rsid w:val="00AC065D"/>
    <w:rsid w:val="00AC0744"/>
    <w:rsid w:val="00AC075B"/>
    <w:rsid w:val="00AC07D8"/>
    <w:rsid w:val="00AC0834"/>
    <w:rsid w:val="00AC0884"/>
    <w:rsid w:val="00AC091E"/>
    <w:rsid w:val="00AC0950"/>
    <w:rsid w:val="00AC0973"/>
    <w:rsid w:val="00AC0997"/>
    <w:rsid w:val="00AC0A3D"/>
    <w:rsid w:val="00AC0AD7"/>
    <w:rsid w:val="00AC0B6E"/>
    <w:rsid w:val="00AC0B91"/>
    <w:rsid w:val="00AC0BA4"/>
    <w:rsid w:val="00AC0CE1"/>
    <w:rsid w:val="00AC0DAF"/>
    <w:rsid w:val="00AC0DB2"/>
    <w:rsid w:val="00AC0DB6"/>
    <w:rsid w:val="00AC0EBB"/>
    <w:rsid w:val="00AC0ECF"/>
    <w:rsid w:val="00AC0F2A"/>
    <w:rsid w:val="00AC1291"/>
    <w:rsid w:val="00AC1295"/>
    <w:rsid w:val="00AC131F"/>
    <w:rsid w:val="00AC13C3"/>
    <w:rsid w:val="00AC1431"/>
    <w:rsid w:val="00AC145B"/>
    <w:rsid w:val="00AC146F"/>
    <w:rsid w:val="00AC148C"/>
    <w:rsid w:val="00AC14D4"/>
    <w:rsid w:val="00AC15A4"/>
    <w:rsid w:val="00AC1602"/>
    <w:rsid w:val="00AC1621"/>
    <w:rsid w:val="00AC1644"/>
    <w:rsid w:val="00AC164B"/>
    <w:rsid w:val="00AC16FE"/>
    <w:rsid w:val="00AC1755"/>
    <w:rsid w:val="00AC17EC"/>
    <w:rsid w:val="00AC1800"/>
    <w:rsid w:val="00AC1820"/>
    <w:rsid w:val="00AC18B4"/>
    <w:rsid w:val="00AC192F"/>
    <w:rsid w:val="00AC1997"/>
    <w:rsid w:val="00AC1B36"/>
    <w:rsid w:val="00AC1BD9"/>
    <w:rsid w:val="00AC1C3E"/>
    <w:rsid w:val="00AC1C78"/>
    <w:rsid w:val="00AC1C90"/>
    <w:rsid w:val="00AC1C9A"/>
    <w:rsid w:val="00AC1CA5"/>
    <w:rsid w:val="00AC1CD1"/>
    <w:rsid w:val="00AC1D7E"/>
    <w:rsid w:val="00AC1E1C"/>
    <w:rsid w:val="00AC1E23"/>
    <w:rsid w:val="00AC1E5B"/>
    <w:rsid w:val="00AC1ED0"/>
    <w:rsid w:val="00AC1F3C"/>
    <w:rsid w:val="00AC1FC4"/>
    <w:rsid w:val="00AC2092"/>
    <w:rsid w:val="00AC21B2"/>
    <w:rsid w:val="00AC21ED"/>
    <w:rsid w:val="00AC225D"/>
    <w:rsid w:val="00AC22B0"/>
    <w:rsid w:val="00AC22C9"/>
    <w:rsid w:val="00AC2426"/>
    <w:rsid w:val="00AC244C"/>
    <w:rsid w:val="00AC24EF"/>
    <w:rsid w:val="00AC2528"/>
    <w:rsid w:val="00AC25B4"/>
    <w:rsid w:val="00AC25CC"/>
    <w:rsid w:val="00AC2603"/>
    <w:rsid w:val="00AC263A"/>
    <w:rsid w:val="00AC2670"/>
    <w:rsid w:val="00AC268E"/>
    <w:rsid w:val="00AC26C3"/>
    <w:rsid w:val="00AC276D"/>
    <w:rsid w:val="00AC2840"/>
    <w:rsid w:val="00AC28C7"/>
    <w:rsid w:val="00AC29AA"/>
    <w:rsid w:val="00AC29C5"/>
    <w:rsid w:val="00AC2A4A"/>
    <w:rsid w:val="00AC2A97"/>
    <w:rsid w:val="00AC2D04"/>
    <w:rsid w:val="00AC2D14"/>
    <w:rsid w:val="00AC2D53"/>
    <w:rsid w:val="00AC2D9F"/>
    <w:rsid w:val="00AC2F3B"/>
    <w:rsid w:val="00AC3014"/>
    <w:rsid w:val="00AC303D"/>
    <w:rsid w:val="00AC3056"/>
    <w:rsid w:val="00AC30A6"/>
    <w:rsid w:val="00AC30B2"/>
    <w:rsid w:val="00AC310F"/>
    <w:rsid w:val="00AC3118"/>
    <w:rsid w:val="00AC3132"/>
    <w:rsid w:val="00AC3230"/>
    <w:rsid w:val="00AC324B"/>
    <w:rsid w:val="00AC3257"/>
    <w:rsid w:val="00AC32BA"/>
    <w:rsid w:val="00AC3361"/>
    <w:rsid w:val="00AC33C7"/>
    <w:rsid w:val="00AC33C9"/>
    <w:rsid w:val="00AC3495"/>
    <w:rsid w:val="00AC34AC"/>
    <w:rsid w:val="00AC35C8"/>
    <w:rsid w:val="00AC35F0"/>
    <w:rsid w:val="00AC36AA"/>
    <w:rsid w:val="00AC36B4"/>
    <w:rsid w:val="00AC36D4"/>
    <w:rsid w:val="00AC36F0"/>
    <w:rsid w:val="00AC3732"/>
    <w:rsid w:val="00AC3735"/>
    <w:rsid w:val="00AC3956"/>
    <w:rsid w:val="00AC3A2C"/>
    <w:rsid w:val="00AC3C36"/>
    <w:rsid w:val="00AC3D2E"/>
    <w:rsid w:val="00AC3D30"/>
    <w:rsid w:val="00AC3D4F"/>
    <w:rsid w:val="00AC3E9B"/>
    <w:rsid w:val="00AC3EF9"/>
    <w:rsid w:val="00AC3F0C"/>
    <w:rsid w:val="00AC3F25"/>
    <w:rsid w:val="00AC3F57"/>
    <w:rsid w:val="00AC3F94"/>
    <w:rsid w:val="00AC4042"/>
    <w:rsid w:val="00AC40B8"/>
    <w:rsid w:val="00AC40D9"/>
    <w:rsid w:val="00AC41EF"/>
    <w:rsid w:val="00AC4266"/>
    <w:rsid w:val="00AC436A"/>
    <w:rsid w:val="00AC43C3"/>
    <w:rsid w:val="00AC43CB"/>
    <w:rsid w:val="00AC449C"/>
    <w:rsid w:val="00AC45CF"/>
    <w:rsid w:val="00AC45E1"/>
    <w:rsid w:val="00AC4612"/>
    <w:rsid w:val="00AC466E"/>
    <w:rsid w:val="00AC468A"/>
    <w:rsid w:val="00AC469F"/>
    <w:rsid w:val="00AC46A0"/>
    <w:rsid w:val="00AC46C4"/>
    <w:rsid w:val="00AC46C6"/>
    <w:rsid w:val="00AC46E5"/>
    <w:rsid w:val="00AC4834"/>
    <w:rsid w:val="00AC4890"/>
    <w:rsid w:val="00AC48AF"/>
    <w:rsid w:val="00AC48B4"/>
    <w:rsid w:val="00AC48C0"/>
    <w:rsid w:val="00AC48C3"/>
    <w:rsid w:val="00AC48E5"/>
    <w:rsid w:val="00AC48E7"/>
    <w:rsid w:val="00AC49F6"/>
    <w:rsid w:val="00AC4A63"/>
    <w:rsid w:val="00AC4AC9"/>
    <w:rsid w:val="00AC4ADF"/>
    <w:rsid w:val="00AC4BD6"/>
    <w:rsid w:val="00AC4C28"/>
    <w:rsid w:val="00AC4C30"/>
    <w:rsid w:val="00AC4C33"/>
    <w:rsid w:val="00AC4C4C"/>
    <w:rsid w:val="00AC4C61"/>
    <w:rsid w:val="00AC4C82"/>
    <w:rsid w:val="00AC4CC1"/>
    <w:rsid w:val="00AC4D24"/>
    <w:rsid w:val="00AC4D2F"/>
    <w:rsid w:val="00AC4E07"/>
    <w:rsid w:val="00AC4E0E"/>
    <w:rsid w:val="00AC4EF7"/>
    <w:rsid w:val="00AC4FC2"/>
    <w:rsid w:val="00AC5019"/>
    <w:rsid w:val="00AC5022"/>
    <w:rsid w:val="00AC5071"/>
    <w:rsid w:val="00AC50E9"/>
    <w:rsid w:val="00AC5115"/>
    <w:rsid w:val="00AC5182"/>
    <w:rsid w:val="00AC519E"/>
    <w:rsid w:val="00AC51A8"/>
    <w:rsid w:val="00AC51D4"/>
    <w:rsid w:val="00AC5231"/>
    <w:rsid w:val="00AC5281"/>
    <w:rsid w:val="00AC52A3"/>
    <w:rsid w:val="00AC5332"/>
    <w:rsid w:val="00AC53D2"/>
    <w:rsid w:val="00AC54E7"/>
    <w:rsid w:val="00AC552A"/>
    <w:rsid w:val="00AC565D"/>
    <w:rsid w:val="00AC5678"/>
    <w:rsid w:val="00AC568F"/>
    <w:rsid w:val="00AC5746"/>
    <w:rsid w:val="00AC5761"/>
    <w:rsid w:val="00AC578A"/>
    <w:rsid w:val="00AC5872"/>
    <w:rsid w:val="00AC59AE"/>
    <w:rsid w:val="00AC59BC"/>
    <w:rsid w:val="00AC59D5"/>
    <w:rsid w:val="00AC5A3B"/>
    <w:rsid w:val="00AC5A66"/>
    <w:rsid w:val="00AC5ABE"/>
    <w:rsid w:val="00AC5B08"/>
    <w:rsid w:val="00AC5BBD"/>
    <w:rsid w:val="00AC5BD5"/>
    <w:rsid w:val="00AC5C0B"/>
    <w:rsid w:val="00AC5C23"/>
    <w:rsid w:val="00AC5C27"/>
    <w:rsid w:val="00AC5C36"/>
    <w:rsid w:val="00AC5C4C"/>
    <w:rsid w:val="00AC5CC8"/>
    <w:rsid w:val="00AC5D07"/>
    <w:rsid w:val="00AC5D31"/>
    <w:rsid w:val="00AC5D37"/>
    <w:rsid w:val="00AC5D86"/>
    <w:rsid w:val="00AC5DEA"/>
    <w:rsid w:val="00AC5EE5"/>
    <w:rsid w:val="00AC5F6D"/>
    <w:rsid w:val="00AC5F9C"/>
    <w:rsid w:val="00AC601B"/>
    <w:rsid w:val="00AC60E2"/>
    <w:rsid w:val="00AC6148"/>
    <w:rsid w:val="00AC6159"/>
    <w:rsid w:val="00AC6224"/>
    <w:rsid w:val="00AC62E2"/>
    <w:rsid w:val="00AC6311"/>
    <w:rsid w:val="00AC6354"/>
    <w:rsid w:val="00AC63C5"/>
    <w:rsid w:val="00AC6445"/>
    <w:rsid w:val="00AC6496"/>
    <w:rsid w:val="00AC64BC"/>
    <w:rsid w:val="00AC64F1"/>
    <w:rsid w:val="00AC6565"/>
    <w:rsid w:val="00AC6594"/>
    <w:rsid w:val="00AC66BD"/>
    <w:rsid w:val="00AC675F"/>
    <w:rsid w:val="00AC67A2"/>
    <w:rsid w:val="00AC67B2"/>
    <w:rsid w:val="00AC67C4"/>
    <w:rsid w:val="00AC67C6"/>
    <w:rsid w:val="00AC67F5"/>
    <w:rsid w:val="00AC6936"/>
    <w:rsid w:val="00AC6A09"/>
    <w:rsid w:val="00AC6A5D"/>
    <w:rsid w:val="00AC6ABF"/>
    <w:rsid w:val="00AC6AC2"/>
    <w:rsid w:val="00AC6B35"/>
    <w:rsid w:val="00AC6B54"/>
    <w:rsid w:val="00AC6C6B"/>
    <w:rsid w:val="00AC6D86"/>
    <w:rsid w:val="00AC6DA3"/>
    <w:rsid w:val="00AC6DE0"/>
    <w:rsid w:val="00AC6E0B"/>
    <w:rsid w:val="00AC6E0F"/>
    <w:rsid w:val="00AC6E77"/>
    <w:rsid w:val="00AC6EB6"/>
    <w:rsid w:val="00AC704A"/>
    <w:rsid w:val="00AC7152"/>
    <w:rsid w:val="00AC7184"/>
    <w:rsid w:val="00AC719C"/>
    <w:rsid w:val="00AC71B4"/>
    <w:rsid w:val="00AC71B8"/>
    <w:rsid w:val="00AC72AF"/>
    <w:rsid w:val="00AC72B0"/>
    <w:rsid w:val="00AC72C5"/>
    <w:rsid w:val="00AC72F0"/>
    <w:rsid w:val="00AC72F8"/>
    <w:rsid w:val="00AC731B"/>
    <w:rsid w:val="00AC7323"/>
    <w:rsid w:val="00AC733B"/>
    <w:rsid w:val="00AC736D"/>
    <w:rsid w:val="00AC7383"/>
    <w:rsid w:val="00AC73B9"/>
    <w:rsid w:val="00AC73D9"/>
    <w:rsid w:val="00AC73EA"/>
    <w:rsid w:val="00AC74AB"/>
    <w:rsid w:val="00AC74D9"/>
    <w:rsid w:val="00AC7515"/>
    <w:rsid w:val="00AC7542"/>
    <w:rsid w:val="00AC75C4"/>
    <w:rsid w:val="00AC7634"/>
    <w:rsid w:val="00AC76BE"/>
    <w:rsid w:val="00AC776F"/>
    <w:rsid w:val="00AC789B"/>
    <w:rsid w:val="00AC799A"/>
    <w:rsid w:val="00AC7A09"/>
    <w:rsid w:val="00AC7A9D"/>
    <w:rsid w:val="00AC7B4A"/>
    <w:rsid w:val="00AC7BB6"/>
    <w:rsid w:val="00AC7BD3"/>
    <w:rsid w:val="00AC7C08"/>
    <w:rsid w:val="00AC7C98"/>
    <w:rsid w:val="00AC7DC2"/>
    <w:rsid w:val="00AC7DD2"/>
    <w:rsid w:val="00AC7E0A"/>
    <w:rsid w:val="00AC7E1D"/>
    <w:rsid w:val="00AC7E3B"/>
    <w:rsid w:val="00AC7E95"/>
    <w:rsid w:val="00AC7F83"/>
    <w:rsid w:val="00AC7F86"/>
    <w:rsid w:val="00AC7FD5"/>
    <w:rsid w:val="00AC7FDF"/>
    <w:rsid w:val="00AC7FE8"/>
    <w:rsid w:val="00AD0097"/>
    <w:rsid w:val="00AD0254"/>
    <w:rsid w:val="00AD02AF"/>
    <w:rsid w:val="00AD02E1"/>
    <w:rsid w:val="00AD0310"/>
    <w:rsid w:val="00AD0403"/>
    <w:rsid w:val="00AD043A"/>
    <w:rsid w:val="00AD0578"/>
    <w:rsid w:val="00AD0580"/>
    <w:rsid w:val="00AD05A6"/>
    <w:rsid w:val="00AD0657"/>
    <w:rsid w:val="00AD0696"/>
    <w:rsid w:val="00AD0844"/>
    <w:rsid w:val="00AD0858"/>
    <w:rsid w:val="00AD088E"/>
    <w:rsid w:val="00AD0900"/>
    <w:rsid w:val="00AD09DF"/>
    <w:rsid w:val="00AD09FC"/>
    <w:rsid w:val="00AD0A5E"/>
    <w:rsid w:val="00AD0B00"/>
    <w:rsid w:val="00AD0B46"/>
    <w:rsid w:val="00AD0B57"/>
    <w:rsid w:val="00AD0BDD"/>
    <w:rsid w:val="00AD0BF7"/>
    <w:rsid w:val="00AD0C18"/>
    <w:rsid w:val="00AD0C27"/>
    <w:rsid w:val="00AD0C2B"/>
    <w:rsid w:val="00AD0C51"/>
    <w:rsid w:val="00AD0C6F"/>
    <w:rsid w:val="00AD0C81"/>
    <w:rsid w:val="00AD0CDD"/>
    <w:rsid w:val="00AD0CF5"/>
    <w:rsid w:val="00AD0D3B"/>
    <w:rsid w:val="00AD0FDA"/>
    <w:rsid w:val="00AD0FE4"/>
    <w:rsid w:val="00AD1003"/>
    <w:rsid w:val="00AD1007"/>
    <w:rsid w:val="00AD101A"/>
    <w:rsid w:val="00AD1031"/>
    <w:rsid w:val="00AD10AC"/>
    <w:rsid w:val="00AD1109"/>
    <w:rsid w:val="00AD1124"/>
    <w:rsid w:val="00AD11F1"/>
    <w:rsid w:val="00AD1335"/>
    <w:rsid w:val="00AD1388"/>
    <w:rsid w:val="00AD13C7"/>
    <w:rsid w:val="00AD1450"/>
    <w:rsid w:val="00AD148A"/>
    <w:rsid w:val="00AD1552"/>
    <w:rsid w:val="00AD158E"/>
    <w:rsid w:val="00AD15C5"/>
    <w:rsid w:val="00AD15DE"/>
    <w:rsid w:val="00AD1630"/>
    <w:rsid w:val="00AD1702"/>
    <w:rsid w:val="00AD1874"/>
    <w:rsid w:val="00AD18D8"/>
    <w:rsid w:val="00AD18FD"/>
    <w:rsid w:val="00AD19B9"/>
    <w:rsid w:val="00AD19C6"/>
    <w:rsid w:val="00AD1A88"/>
    <w:rsid w:val="00AD1AC6"/>
    <w:rsid w:val="00AD1B85"/>
    <w:rsid w:val="00AD1DEB"/>
    <w:rsid w:val="00AD1E53"/>
    <w:rsid w:val="00AD1EDF"/>
    <w:rsid w:val="00AD1F1E"/>
    <w:rsid w:val="00AD1F59"/>
    <w:rsid w:val="00AD1F6B"/>
    <w:rsid w:val="00AD1FD4"/>
    <w:rsid w:val="00AD2001"/>
    <w:rsid w:val="00AD208B"/>
    <w:rsid w:val="00AD20C8"/>
    <w:rsid w:val="00AD20E2"/>
    <w:rsid w:val="00AD210A"/>
    <w:rsid w:val="00AD2121"/>
    <w:rsid w:val="00AD214F"/>
    <w:rsid w:val="00AD217A"/>
    <w:rsid w:val="00AD224B"/>
    <w:rsid w:val="00AD2256"/>
    <w:rsid w:val="00AD22E4"/>
    <w:rsid w:val="00AD234C"/>
    <w:rsid w:val="00AD247B"/>
    <w:rsid w:val="00AD259D"/>
    <w:rsid w:val="00AD25A2"/>
    <w:rsid w:val="00AD2676"/>
    <w:rsid w:val="00AD2686"/>
    <w:rsid w:val="00AD271C"/>
    <w:rsid w:val="00AD2860"/>
    <w:rsid w:val="00AD2891"/>
    <w:rsid w:val="00AD2892"/>
    <w:rsid w:val="00AD290B"/>
    <w:rsid w:val="00AD29B0"/>
    <w:rsid w:val="00AD2A1B"/>
    <w:rsid w:val="00AD2A30"/>
    <w:rsid w:val="00AD2AF9"/>
    <w:rsid w:val="00AD2B23"/>
    <w:rsid w:val="00AD2B34"/>
    <w:rsid w:val="00AD2BE5"/>
    <w:rsid w:val="00AD2BFC"/>
    <w:rsid w:val="00AD2C8D"/>
    <w:rsid w:val="00AD2C98"/>
    <w:rsid w:val="00AD2DBA"/>
    <w:rsid w:val="00AD2DEB"/>
    <w:rsid w:val="00AD2E60"/>
    <w:rsid w:val="00AD2ED3"/>
    <w:rsid w:val="00AD2F72"/>
    <w:rsid w:val="00AD2FD8"/>
    <w:rsid w:val="00AD2FE3"/>
    <w:rsid w:val="00AD303C"/>
    <w:rsid w:val="00AD3065"/>
    <w:rsid w:val="00AD308A"/>
    <w:rsid w:val="00AD30DE"/>
    <w:rsid w:val="00AD312F"/>
    <w:rsid w:val="00AD31EE"/>
    <w:rsid w:val="00AD3253"/>
    <w:rsid w:val="00AD32C3"/>
    <w:rsid w:val="00AD3324"/>
    <w:rsid w:val="00AD33D8"/>
    <w:rsid w:val="00AD33E6"/>
    <w:rsid w:val="00AD33F4"/>
    <w:rsid w:val="00AD3410"/>
    <w:rsid w:val="00AD3457"/>
    <w:rsid w:val="00AD3465"/>
    <w:rsid w:val="00AD3571"/>
    <w:rsid w:val="00AD359A"/>
    <w:rsid w:val="00AD35DB"/>
    <w:rsid w:val="00AD3624"/>
    <w:rsid w:val="00AD3645"/>
    <w:rsid w:val="00AD368A"/>
    <w:rsid w:val="00AD36DB"/>
    <w:rsid w:val="00AD36EA"/>
    <w:rsid w:val="00AD37D4"/>
    <w:rsid w:val="00AD3808"/>
    <w:rsid w:val="00AD380E"/>
    <w:rsid w:val="00AD3906"/>
    <w:rsid w:val="00AD3913"/>
    <w:rsid w:val="00AD3980"/>
    <w:rsid w:val="00AD3981"/>
    <w:rsid w:val="00AD39E4"/>
    <w:rsid w:val="00AD3A21"/>
    <w:rsid w:val="00AD3AAB"/>
    <w:rsid w:val="00AD3B1C"/>
    <w:rsid w:val="00AD3BA0"/>
    <w:rsid w:val="00AD3C38"/>
    <w:rsid w:val="00AD3CDB"/>
    <w:rsid w:val="00AD3D21"/>
    <w:rsid w:val="00AD3D3E"/>
    <w:rsid w:val="00AD3E72"/>
    <w:rsid w:val="00AD3E8E"/>
    <w:rsid w:val="00AD3EBA"/>
    <w:rsid w:val="00AD3EDA"/>
    <w:rsid w:val="00AD3F29"/>
    <w:rsid w:val="00AD3F73"/>
    <w:rsid w:val="00AD3F7D"/>
    <w:rsid w:val="00AD3F84"/>
    <w:rsid w:val="00AD404A"/>
    <w:rsid w:val="00AD40FC"/>
    <w:rsid w:val="00AD41DD"/>
    <w:rsid w:val="00AD420B"/>
    <w:rsid w:val="00AD42BE"/>
    <w:rsid w:val="00AD43A3"/>
    <w:rsid w:val="00AD43E6"/>
    <w:rsid w:val="00AD448D"/>
    <w:rsid w:val="00AD44C1"/>
    <w:rsid w:val="00AD44D4"/>
    <w:rsid w:val="00AD44DC"/>
    <w:rsid w:val="00AD4605"/>
    <w:rsid w:val="00AD464F"/>
    <w:rsid w:val="00AD4671"/>
    <w:rsid w:val="00AD46D8"/>
    <w:rsid w:val="00AD47FD"/>
    <w:rsid w:val="00AD4816"/>
    <w:rsid w:val="00AD499D"/>
    <w:rsid w:val="00AD4A49"/>
    <w:rsid w:val="00AD4B75"/>
    <w:rsid w:val="00AD4B89"/>
    <w:rsid w:val="00AD4B8D"/>
    <w:rsid w:val="00AD4BDD"/>
    <w:rsid w:val="00AD4BF9"/>
    <w:rsid w:val="00AD4C0C"/>
    <w:rsid w:val="00AD4C92"/>
    <w:rsid w:val="00AD4CB1"/>
    <w:rsid w:val="00AD4D18"/>
    <w:rsid w:val="00AD4D80"/>
    <w:rsid w:val="00AD4DB0"/>
    <w:rsid w:val="00AD4E0E"/>
    <w:rsid w:val="00AD4E7F"/>
    <w:rsid w:val="00AD4EAC"/>
    <w:rsid w:val="00AD4EC8"/>
    <w:rsid w:val="00AD4FBC"/>
    <w:rsid w:val="00AD4FDB"/>
    <w:rsid w:val="00AD5027"/>
    <w:rsid w:val="00AD513F"/>
    <w:rsid w:val="00AD5154"/>
    <w:rsid w:val="00AD5157"/>
    <w:rsid w:val="00AD51BC"/>
    <w:rsid w:val="00AD51C0"/>
    <w:rsid w:val="00AD51C7"/>
    <w:rsid w:val="00AD51E7"/>
    <w:rsid w:val="00AD535E"/>
    <w:rsid w:val="00AD5362"/>
    <w:rsid w:val="00AD53B9"/>
    <w:rsid w:val="00AD53C9"/>
    <w:rsid w:val="00AD550D"/>
    <w:rsid w:val="00AD578E"/>
    <w:rsid w:val="00AD57EF"/>
    <w:rsid w:val="00AD5804"/>
    <w:rsid w:val="00AD584E"/>
    <w:rsid w:val="00AD589D"/>
    <w:rsid w:val="00AD58A0"/>
    <w:rsid w:val="00AD58A5"/>
    <w:rsid w:val="00AD591F"/>
    <w:rsid w:val="00AD5971"/>
    <w:rsid w:val="00AD5A9D"/>
    <w:rsid w:val="00AD5B6A"/>
    <w:rsid w:val="00AD5B72"/>
    <w:rsid w:val="00AD5C7D"/>
    <w:rsid w:val="00AD5CBA"/>
    <w:rsid w:val="00AD5CE4"/>
    <w:rsid w:val="00AD5CEF"/>
    <w:rsid w:val="00AD5CF3"/>
    <w:rsid w:val="00AD5DF4"/>
    <w:rsid w:val="00AD5F86"/>
    <w:rsid w:val="00AD5F9F"/>
    <w:rsid w:val="00AD6018"/>
    <w:rsid w:val="00AD6060"/>
    <w:rsid w:val="00AD6226"/>
    <w:rsid w:val="00AD6238"/>
    <w:rsid w:val="00AD6316"/>
    <w:rsid w:val="00AD633B"/>
    <w:rsid w:val="00AD6389"/>
    <w:rsid w:val="00AD63DD"/>
    <w:rsid w:val="00AD6444"/>
    <w:rsid w:val="00AD6527"/>
    <w:rsid w:val="00AD65C5"/>
    <w:rsid w:val="00AD66B5"/>
    <w:rsid w:val="00AD673A"/>
    <w:rsid w:val="00AD67A0"/>
    <w:rsid w:val="00AD67AD"/>
    <w:rsid w:val="00AD67F2"/>
    <w:rsid w:val="00AD6803"/>
    <w:rsid w:val="00AD683B"/>
    <w:rsid w:val="00AD683D"/>
    <w:rsid w:val="00AD6842"/>
    <w:rsid w:val="00AD684C"/>
    <w:rsid w:val="00AD6857"/>
    <w:rsid w:val="00AD696F"/>
    <w:rsid w:val="00AD69A6"/>
    <w:rsid w:val="00AD6A2D"/>
    <w:rsid w:val="00AD6A4D"/>
    <w:rsid w:val="00AD6A62"/>
    <w:rsid w:val="00AD6A68"/>
    <w:rsid w:val="00AD6ADD"/>
    <w:rsid w:val="00AD6ADE"/>
    <w:rsid w:val="00AD6C44"/>
    <w:rsid w:val="00AD6C9A"/>
    <w:rsid w:val="00AD6CC1"/>
    <w:rsid w:val="00AD6CF8"/>
    <w:rsid w:val="00AD6DAA"/>
    <w:rsid w:val="00AD6DD7"/>
    <w:rsid w:val="00AD6DFA"/>
    <w:rsid w:val="00AD6E08"/>
    <w:rsid w:val="00AD6E34"/>
    <w:rsid w:val="00AD6ED7"/>
    <w:rsid w:val="00AD6EDB"/>
    <w:rsid w:val="00AD6F17"/>
    <w:rsid w:val="00AD6F22"/>
    <w:rsid w:val="00AD700E"/>
    <w:rsid w:val="00AD70CD"/>
    <w:rsid w:val="00AD7138"/>
    <w:rsid w:val="00AD71AE"/>
    <w:rsid w:val="00AD71F5"/>
    <w:rsid w:val="00AD723F"/>
    <w:rsid w:val="00AD72D3"/>
    <w:rsid w:val="00AD731B"/>
    <w:rsid w:val="00AD7374"/>
    <w:rsid w:val="00AD7497"/>
    <w:rsid w:val="00AD74FE"/>
    <w:rsid w:val="00AD7576"/>
    <w:rsid w:val="00AD7578"/>
    <w:rsid w:val="00AD75A9"/>
    <w:rsid w:val="00AD7614"/>
    <w:rsid w:val="00AD7663"/>
    <w:rsid w:val="00AD769F"/>
    <w:rsid w:val="00AD77BF"/>
    <w:rsid w:val="00AD7839"/>
    <w:rsid w:val="00AD7855"/>
    <w:rsid w:val="00AD7863"/>
    <w:rsid w:val="00AD7864"/>
    <w:rsid w:val="00AD786E"/>
    <w:rsid w:val="00AD78CF"/>
    <w:rsid w:val="00AD7963"/>
    <w:rsid w:val="00AD7A86"/>
    <w:rsid w:val="00AD7A90"/>
    <w:rsid w:val="00AD7AF6"/>
    <w:rsid w:val="00AD7B52"/>
    <w:rsid w:val="00AD7B8B"/>
    <w:rsid w:val="00AD7BB8"/>
    <w:rsid w:val="00AD7CBD"/>
    <w:rsid w:val="00AD7CE8"/>
    <w:rsid w:val="00AD7D1A"/>
    <w:rsid w:val="00AD7D7A"/>
    <w:rsid w:val="00AD7DA1"/>
    <w:rsid w:val="00AD7DE8"/>
    <w:rsid w:val="00AD7E86"/>
    <w:rsid w:val="00AD7ED1"/>
    <w:rsid w:val="00AD7ED4"/>
    <w:rsid w:val="00AD7F38"/>
    <w:rsid w:val="00AD7F3F"/>
    <w:rsid w:val="00AD7F77"/>
    <w:rsid w:val="00AD7F8D"/>
    <w:rsid w:val="00AD7FA4"/>
    <w:rsid w:val="00AD7FAE"/>
    <w:rsid w:val="00AD7FE7"/>
    <w:rsid w:val="00ADECB0"/>
    <w:rsid w:val="00AE002C"/>
    <w:rsid w:val="00AE0171"/>
    <w:rsid w:val="00AE0173"/>
    <w:rsid w:val="00AE019F"/>
    <w:rsid w:val="00AE0263"/>
    <w:rsid w:val="00AE02A2"/>
    <w:rsid w:val="00AE02B0"/>
    <w:rsid w:val="00AE032B"/>
    <w:rsid w:val="00AE0336"/>
    <w:rsid w:val="00AE0351"/>
    <w:rsid w:val="00AE035C"/>
    <w:rsid w:val="00AE036B"/>
    <w:rsid w:val="00AE04BF"/>
    <w:rsid w:val="00AE04C3"/>
    <w:rsid w:val="00AE0596"/>
    <w:rsid w:val="00AE05C8"/>
    <w:rsid w:val="00AE060D"/>
    <w:rsid w:val="00AE064E"/>
    <w:rsid w:val="00AE0780"/>
    <w:rsid w:val="00AE079C"/>
    <w:rsid w:val="00AE07C3"/>
    <w:rsid w:val="00AE07E0"/>
    <w:rsid w:val="00AE085C"/>
    <w:rsid w:val="00AE0864"/>
    <w:rsid w:val="00AE08CA"/>
    <w:rsid w:val="00AE090F"/>
    <w:rsid w:val="00AE0993"/>
    <w:rsid w:val="00AE09B9"/>
    <w:rsid w:val="00AE0A01"/>
    <w:rsid w:val="00AE0A71"/>
    <w:rsid w:val="00AE0ADE"/>
    <w:rsid w:val="00AE0AEB"/>
    <w:rsid w:val="00AE0BD7"/>
    <w:rsid w:val="00AE0C4B"/>
    <w:rsid w:val="00AE0E36"/>
    <w:rsid w:val="00AE0EE3"/>
    <w:rsid w:val="00AE0F01"/>
    <w:rsid w:val="00AE107E"/>
    <w:rsid w:val="00AE10A0"/>
    <w:rsid w:val="00AE10C3"/>
    <w:rsid w:val="00AE10FE"/>
    <w:rsid w:val="00AE1228"/>
    <w:rsid w:val="00AE1231"/>
    <w:rsid w:val="00AE1314"/>
    <w:rsid w:val="00AE1330"/>
    <w:rsid w:val="00AE13CD"/>
    <w:rsid w:val="00AE142A"/>
    <w:rsid w:val="00AE1588"/>
    <w:rsid w:val="00AE15AE"/>
    <w:rsid w:val="00AE15EF"/>
    <w:rsid w:val="00AE1605"/>
    <w:rsid w:val="00AE1681"/>
    <w:rsid w:val="00AE16DA"/>
    <w:rsid w:val="00AE16E5"/>
    <w:rsid w:val="00AE174E"/>
    <w:rsid w:val="00AE1844"/>
    <w:rsid w:val="00AE1849"/>
    <w:rsid w:val="00AE187B"/>
    <w:rsid w:val="00AE18A0"/>
    <w:rsid w:val="00AE18DD"/>
    <w:rsid w:val="00AE1901"/>
    <w:rsid w:val="00AE19B5"/>
    <w:rsid w:val="00AE19C8"/>
    <w:rsid w:val="00AE1B1C"/>
    <w:rsid w:val="00AE1B1E"/>
    <w:rsid w:val="00AE1B22"/>
    <w:rsid w:val="00AE1B4B"/>
    <w:rsid w:val="00AE1BF7"/>
    <w:rsid w:val="00AE1C61"/>
    <w:rsid w:val="00AE1C8B"/>
    <w:rsid w:val="00AE1CA8"/>
    <w:rsid w:val="00AE1F7C"/>
    <w:rsid w:val="00AE205E"/>
    <w:rsid w:val="00AE2075"/>
    <w:rsid w:val="00AE21D0"/>
    <w:rsid w:val="00AE222A"/>
    <w:rsid w:val="00AE22C6"/>
    <w:rsid w:val="00AE22FA"/>
    <w:rsid w:val="00AE23D2"/>
    <w:rsid w:val="00AE243A"/>
    <w:rsid w:val="00AE24E7"/>
    <w:rsid w:val="00AE2581"/>
    <w:rsid w:val="00AE25AF"/>
    <w:rsid w:val="00AE25FF"/>
    <w:rsid w:val="00AE263E"/>
    <w:rsid w:val="00AE2746"/>
    <w:rsid w:val="00AE27BB"/>
    <w:rsid w:val="00AE27E1"/>
    <w:rsid w:val="00AE2849"/>
    <w:rsid w:val="00AE2853"/>
    <w:rsid w:val="00AE2984"/>
    <w:rsid w:val="00AE2B8C"/>
    <w:rsid w:val="00AE2BF5"/>
    <w:rsid w:val="00AE2C57"/>
    <w:rsid w:val="00AE2C71"/>
    <w:rsid w:val="00AE2CFA"/>
    <w:rsid w:val="00AE2D60"/>
    <w:rsid w:val="00AE2DB8"/>
    <w:rsid w:val="00AE2DD4"/>
    <w:rsid w:val="00AE2E80"/>
    <w:rsid w:val="00AE2F38"/>
    <w:rsid w:val="00AE2FD4"/>
    <w:rsid w:val="00AE2FFB"/>
    <w:rsid w:val="00AE3082"/>
    <w:rsid w:val="00AE3134"/>
    <w:rsid w:val="00AE31DA"/>
    <w:rsid w:val="00AE31FB"/>
    <w:rsid w:val="00AE3241"/>
    <w:rsid w:val="00AE3267"/>
    <w:rsid w:val="00AE32EC"/>
    <w:rsid w:val="00AE3367"/>
    <w:rsid w:val="00AE3420"/>
    <w:rsid w:val="00AE3443"/>
    <w:rsid w:val="00AE3514"/>
    <w:rsid w:val="00AE35DE"/>
    <w:rsid w:val="00AE35FC"/>
    <w:rsid w:val="00AE36A3"/>
    <w:rsid w:val="00AE36C3"/>
    <w:rsid w:val="00AE3753"/>
    <w:rsid w:val="00AE3788"/>
    <w:rsid w:val="00AE380A"/>
    <w:rsid w:val="00AE3827"/>
    <w:rsid w:val="00AE3864"/>
    <w:rsid w:val="00AE3964"/>
    <w:rsid w:val="00AE39CE"/>
    <w:rsid w:val="00AE39D2"/>
    <w:rsid w:val="00AE3A3F"/>
    <w:rsid w:val="00AE3AB9"/>
    <w:rsid w:val="00AE3B3D"/>
    <w:rsid w:val="00AE3BBB"/>
    <w:rsid w:val="00AE3BDD"/>
    <w:rsid w:val="00AE3BEA"/>
    <w:rsid w:val="00AE3C33"/>
    <w:rsid w:val="00AE3C66"/>
    <w:rsid w:val="00AE3CD9"/>
    <w:rsid w:val="00AE3CDB"/>
    <w:rsid w:val="00AE3DCA"/>
    <w:rsid w:val="00AE3EBA"/>
    <w:rsid w:val="00AE3F39"/>
    <w:rsid w:val="00AE3F4D"/>
    <w:rsid w:val="00AE3FF4"/>
    <w:rsid w:val="00AE4024"/>
    <w:rsid w:val="00AE4066"/>
    <w:rsid w:val="00AE40F5"/>
    <w:rsid w:val="00AE419E"/>
    <w:rsid w:val="00AE41E9"/>
    <w:rsid w:val="00AE420A"/>
    <w:rsid w:val="00AE4221"/>
    <w:rsid w:val="00AE42F4"/>
    <w:rsid w:val="00AE4368"/>
    <w:rsid w:val="00AE43A8"/>
    <w:rsid w:val="00AE4437"/>
    <w:rsid w:val="00AE444E"/>
    <w:rsid w:val="00AE453E"/>
    <w:rsid w:val="00AE4668"/>
    <w:rsid w:val="00AE466D"/>
    <w:rsid w:val="00AE4713"/>
    <w:rsid w:val="00AE471D"/>
    <w:rsid w:val="00AE4732"/>
    <w:rsid w:val="00AE47ED"/>
    <w:rsid w:val="00AE48C9"/>
    <w:rsid w:val="00AE48D4"/>
    <w:rsid w:val="00AE4944"/>
    <w:rsid w:val="00AE4B12"/>
    <w:rsid w:val="00AE4B94"/>
    <w:rsid w:val="00AE4BBB"/>
    <w:rsid w:val="00AE4BCB"/>
    <w:rsid w:val="00AE4C50"/>
    <w:rsid w:val="00AE4C5F"/>
    <w:rsid w:val="00AE4C9F"/>
    <w:rsid w:val="00AE4CDB"/>
    <w:rsid w:val="00AE4D22"/>
    <w:rsid w:val="00AE4E6D"/>
    <w:rsid w:val="00AE4EA7"/>
    <w:rsid w:val="00AE4F3E"/>
    <w:rsid w:val="00AE4F51"/>
    <w:rsid w:val="00AE4FDA"/>
    <w:rsid w:val="00AE5082"/>
    <w:rsid w:val="00AE50DA"/>
    <w:rsid w:val="00AE512B"/>
    <w:rsid w:val="00AE524A"/>
    <w:rsid w:val="00AE5356"/>
    <w:rsid w:val="00AE5364"/>
    <w:rsid w:val="00AE53C3"/>
    <w:rsid w:val="00AE540F"/>
    <w:rsid w:val="00AE5463"/>
    <w:rsid w:val="00AE546C"/>
    <w:rsid w:val="00AE54F3"/>
    <w:rsid w:val="00AE55F3"/>
    <w:rsid w:val="00AE5660"/>
    <w:rsid w:val="00AE56E0"/>
    <w:rsid w:val="00AE5827"/>
    <w:rsid w:val="00AE58A8"/>
    <w:rsid w:val="00AE58DF"/>
    <w:rsid w:val="00AE58E0"/>
    <w:rsid w:val="00AE596C"/>
    <w:rsid w:val="00AE5997"/>
    <w:rsid w:val="00AE5ACE"/>
    <w:rsid w:val="00AE5AF1"/>
    <w:rsid w:val="00AE5CFF"/>
    <w:rsid w:val="00AE5D0D"/>
    <w:rsid w:val="00AE5D3B"/>
    <w:rsid w:val="00AE5D62"/>
    <w:rsid w:val="00AE5D8F"/>
    <w:rsid w:val="00AE5D98"/>
    <w:rsid w:val="00AE5E2A"/>
    <w:rsid w:val="00AE5E6C"/>
    <w:rsid w:val="00AE5EC5"/>
    <w:rsid w:val="00AE5ED5"/>
    <w:rsid w:val="00AE5F4B"/>
    <w:rsid w:val="00AE5FB1"/>
    <w:rsid w:val="00AE5FDC"/>
    <w:rsid w:val="00AE6053"/>
    <w:rsid w:val="00AE6061"/>
    <w:rsid w:val="00AE60F7"/>
    <w:rsid w:val="00AE61D2"/>
    <w:rsid w:val="00AE6206"/>
    <w:rsid w:val="00AE624E"/>
    <w:rsid w:val="00AE628C"/>
    <w:rsid w:val="00AE6321"/>
    <w:rsid w:val="00AE644C"/>
    <w:rsid w:val="00AE649D"/>
    <w:rsid w:val="00AE6554"/>
    <w:rsid w:val="00AE65A3"/>
    <w:rsid w:val="00AE65D0"/>
    <w:rsid w:val="00AE6674"/>
    <w:rsid w:val="00AE66E0"/>
    <w:rsid w:val="00AE6791"/>
    <w:rsid w:val="00AE6804"/>
    <w:rsid w:val="00AE693F"/>
    <w:rsid w:val="00AE6998"/>
    <w:rsid w:val="00AE69E2"/>
    <w:rsid w:val="00AE6A1A"/>
    <w:rsid w:val="00AE6A2C"/>
    <w:rsid w:val="00AE6A4B"/>
    <w:rsid w:val="00AE6A4F"/>
    <w:rsid w:val="00AE6AF4"/>
    <w:rsid w:val="00AE6B16"/>
    <w:rsid w:val="00AE6B71"/>
    <w:rsid w:val="00AE6C00"/>
    <w:rsid w:val="00AE6C1A"/>
    <w:rsid w:val="00AE6C3B"/>
    <w:rsid w:val="00AE6C4F"/>
    <w:rsid w:val="00AE6CF3"/>
    <w:rsid w:val="00AE6CFD"/>
    <w:rsid w:val="00AE6D61"/>
    <w:rsid w:val="00AE6DC6"/>
    <w:rsid w:val="00AE6DEE"/>
    <w:rsid w:val="00AE6E50"/>
    <w:rsid w:val="00AE6E58"/>
    <w:rsid w:val="00AE6EEB"/>
    <w:rsid w:val="00AE6F17"/>
    <w:rsid w:val="00AE6F19"/>
    <w:rsid w:val="00AE6F33"/>
    <w:rsid w:val="00AE6F37"/>
    <w:rsid w:val="00AE6FB6"/>
    <w:rsid w:val="00AE7043"/>
    <w:rsid w:val="00AE7045"/>
    <w:rsid w:val="00AE70C6"/>
    <w:rsid w:val="00AE7120"/>
    <w:rsid w:val="00AE7286"/>
    <w:rsid w:val="00AE72DA"/>
    <w:rsid w:val="00AE7366"/>
    <w:rsid w:val="00AE7420"/>
    <w:rsid w:val="00AE7479"/>
    <w:rsid w:val="00AE74A8"/>
    <w:rsid w:val="00AE756B"/>
    <w:rsid w:val="00AE757E"/>
    <w:rsid w:val="00AE7611"/>
    <w:rsid w:val="00AE7614"/>
    <w:rsid w:val="00AE761A"/>
    <w:rsid w:val="00AE7665"/>
    <w:rsid w:val="00AE7668"/>
    <w:rsid w:val="00AE76B4"/>
    <w:rsid w:val="00AE76CF"/>
    <w:rsid w:val="00AE7706"/>
    <w:rsid w:val="00AE7738"/>
    <w:rsid w:val="00AE78DC"/>
    <w:rsid w:val="00AE78F1"/>
    <w:rsid w:val="00AE791E"/>
    <w:rsid w:val="00AE7A03"/>
    <w:rsid w:val="00AE7A77"/>
    <w:rsid w:val="00AE7AB3"/>
    <w:rsid w:val="00AE7BE2"/>
    <w:rsid w:val="00AE7CD7"/>
    <w:rsid w:val="00AE7CF8"/>
    <w:rsid w:val="00AE7D2D"/>
    <w:rsid w:val="00AE7E67"/>
    <w:rsid w:val="00AE7F39"/>
    <w:rsid w:val="00AE7FC5"/>
    <w:rsid w:val="00AE7FF3"/>
    <w:rsid w:val="00AF0194"/>
    <w:rsid w:val="00AF01D3"/>
    <w:rsid w:val="00AF01EA"/>
    <w:rsid w:val="00AF0268"/>
    <w:rsid w:val="00AF028E"/>
    <w:rsid w:val="00AF02E0"/>
    <w:rsid w:val="00AF03B3"/>
    <w:rsid w:val="00AF0433"/>
    <w:rsid w:val="00AF0456"/>
    <w:rsid w:val="00AF0536"/>
    <w:rsid w:val="00AF057A"/>
    <w:rsid w:val="00AF057C"/>
    <w:rsid w:val="00AF05B5"/>
    <w:rsid w:val="00AF062B"/>
    <w:rsid w:val="00AF0737"/>
    <w:rsid w:val="00AF0738"/>
    <w:rsid w:val="00AF0810"/>
    <w:rsid w:val="00AF0859"/>
    <w:rsid w:val="00AF088B"/>
    <w:rsid w:val="00AF0895"/>
    <w:rsid w:val="00AF08D5"/>
    <w:rsid w:val="00AF08D6"/>
    <w:rsid w:val="00AF08F9"/>
    <w:rsid w:val="00AF091C"/>
    <w:rsid w:val="00AF0A5C"/>
    <w:rsid w:val="00AF0B2B"/>
    <w:rsid w:val="00AF0B33"/>
    <w:rsid w:val="00AF0B5E"/>
    <w:rsid w:val="00AF0B68"/>
    <w:rsid w:val="00AF0D76"/>
    <w:rsid w:val="00AF0EE1"/>
    <w:rsid w:val="00AF0F65"/>
    <w:rsid w:val="00AF103F"/>
    <w:rsid w:val="00AF10A6"/>
    <w:rsid w:val="00AF10EB"/>
    <w:rsid w:val="00AF1135"/>
    <w:rsid w:val="00AF1147"/>
    <w:rsid w:val="00AF1241"/>
    <w:rsid w:val="00AF1281"/>
    <w:rsid w:val="00AF12E9"/>
    <w:rsid w:val="00AF1330"/>
    <w:rsid w:val="00AF135C"/>
    <w:rsid w:val="00AF13C9"/>
    <w:rsid w:val="00AF140C"/>
    <w:rsid w:val="00AF14EF"/>
    <w:rsid w:val="00AF153C"/>
    <w:rsid w:val="00AF1592"/>
    <w:rsid w:val="00AF1595"/>
    <w:rsid w:val="00AF15EF"/>
    <w:rsid w:val="00AF1756"/>
    <w:rsid w:val="00AF1785"/>
    <w:rsid w:val="00AF178C"/>
    <w:rsid w:val="00AF17F7"/>
    <w:rsid w:val="00AF1864"/>
    <w:rsid w:val="00AF189E"/>
    <w:rsid w:val="00AF1947"/>
    <w:rsid w:val="00AF196B"/>
    <w:rsid w:val="00AF1989"/>
    <w:rsid w:val="00AF1A28"/>
    <w:rsid w:val="00AF1A2E"/>
    <w:rsid w:val="00AF1B67"/>
    <w:rsid w:val="00AF1BD6"/>
    <w:rsid w:val="00AF1C2B"/>
    <w:rsid w:val="00AF1C9B"/>
    <w:rsid w:val="00AF1D93"/>
    <w:rsid w:val="00AF1DA6"/>
    <w:rsid w:val="00AF1DD6"/>
    <w:rsid w:val="00AF1E05"/>
    <w:rsid w:val="00AF1E25"/>
    <w:rsid w:val="00AF1E2F"/>
    <w:rsid w:val="00AF1E87"/>
    <w:rsid w:val="00AF1EAA"/>
    <w:rsid w:val="00AF1EC4"/>
    <w:rsid w:val="00AF1F79"/>
    <w:rsid w:val="00AF2040"/>
    <w:rsid w:val="00AF209E"/>
    <w:rsid w:val="00AF20B5"/>
    <w:rsid w:val="00AF2238"/>
    <w:rsid w:val="00AF227F"/>
    <w:rsid w:val="00AF22BA"/>
    <w:rsid w:val="00AF2336"/>
    <w:rsid w:val="00AF24B6"/>
    <w:rsid w:val="00AF24C6"/>
    <w:rsid w:val="00AF250D"/>
    <w:rsid w:val="00AF2540"/>
    <w:rsid w:val="00AF256F"/>
    <w:rsid w:val="00AF263A"/>
    <w:rsid w:val="00AF2674"/>
    <w:rsid w:val="00AF26C0"/>
    <w:rsid w:val="00AF26D0"/>
    <w:rsid w:val="00AF26E4"/>
    <w:rsid w:val="00AF274A"/>
    <w:rsid w:val="00AF2751"/>
    <w:rsid w:val="00AF2763"/>
    <w:rsid w:val="00AF276C"/>
    <w:rsid w:val="00AF28A5"/>
    <w:rsid w:val="00AF28CB"/>
    <w:rsid w:val="00AF2904"/>
    <w:rsid w:val="00AF291F"/>
    <w:rsid w:val="00AF294B"/>
    <w:rsid w:val="00AF2989"/>
    <w:rsid w:val="00AF29A7"/>
    <w:rsid w:val="00AF2A0A"/>
    <w:rsid w:val="00AF2AF1"/>
    <w:rsid w:val="00AF2B4A"/>
    <w:rsid w:val="00AF2B59"/>
    <w:rsid w:val="00AF2BE9"/>
    <w:rsid w:val="00AF2C7B"/>
    <w:rsid w:val="00AF2D3E"/>
    <w:rsid w:val="00AF2DB1"/>
    <w:rsid w:val="00AF2DB3"/>
    <w:rsid w:val="00AF2DD7"/>
    <w:rsid w:val="00AF2E39"/>
    <w:rsid w:val="00AF2EBF"/>
    <w:rsid w:val="00AF2F1D"/>
    <w:rsid w:val="00AF2F29"/>
    <w:rsid w:val="00AF2FA6"/>
    <w:rsid w:val="00AF2FD5"/>
    <w:rsid w:val="00AF305B"/>
    <w:rsid w:val="00AF309A"/>
    <w:rsid w:val="00AF30A5"/>
    <w:rsid w:val="00AF30BE"/>
    <w:rsid w:val="00AF3105"/>
    <w:rsid w:val="00AF3126"/>
    <w:rsid w:val="00AF3172"/>
    <w:rsid w:val="00AF3206"/>
    <w:rsid w:val="00AF3218"/>
    <w:rsid w:val="00AF325D"/>
    <w:rsid w:val="00AF32DD"/>
    <w:rsid w:val="00AF3307"/>
    <w:rsid w:val="00AF3323"/>
    <w:rsid w:val="00AF3391"/>
    <w:rsid w:val="00AF3403"/>
    <w:rsid w:val="00AF3493"/>
    <w:rsid w:val="00AF350B"/>
    <w:rsid w:val="00AF35BF"/>
    <w:rsid w:val="00AF3679"/>
    <w:rsid w:val="00AF367B"/>
    <w:rsid w:val="00AF36BD"/>
    <w:rsid w:val="00AF36FE"/>
    <w:rsid w:val="00AF3767"/>
    <w:rsid w:val="00AF3840"/>
    <w:rsid w:val="00AF3854"/>
    <w:rsid w:val="00AF38B1"/>
    <w:rsid w:val="00AF38E2"/>
    <w:rsid w:val="00AF3A13"/>
    <w:rsid w:val="00AF3A47"/>
    <w:rsid w:val="00AF3CC4"/>
    <w:rsid w:val="00AF3D78"/>
    <w:rsid w:val="00AF3EAA"/>
    <w:rsid w:val="00AF3EBF"/>
    <w:rsid w:val="00AF3EE7"/>
    <w:rsid w:val="00AF3F38"/>
    <w:rsid w:val="00AF3F48"/>
    <w:rsid w:val="00AF3F5F"/>
    <w:rsid w:val="00AF3F94"/>
    <w:rsid w:val="00AF3FCB"/>
    <w:rsid w:val="00AF3FDB"/>
    <w:rsid w:val="00AF3FF3"/>
    <w:rsid w:val="00AF4000"/>
    <w:rsid w:val="00AF40CB"/>
    <w:rsid w:val="00AF40F0"/>
    <w:rsid w:val="00AF410C"/>
    <w:rsid w:val="00AF4113"/>
    <w:rsid w:val="00AF4174"/>
    <w:rsid w:val="00AF418A"/>
    <w:rsid w:val="00AF4197"/>
    <w:rsid w:val="00AF4314"/>
    <w:rsid w:val="00AF4335"/>
    <w:rsid w:val="00AF4359"/>
    <w:rsid w:val="00AF43B0"/>
    <w:rsid w:val="00AF43B9"/>
    <w:rsid w:val="00AF4417"/>
    <w:rsid w:val="00AF445F"/>
    <w:rsid w:val="00AF4495"/>
    <w:rsid w:val="00AF455E"/>
    <w:rsid w:val="00AF45A7"/>
    <w:rsid w:val="00AF45AD"/>
    <w:rsid w:val="00AF45F9"/>
    <w:rsid w:val="00AF460E"/>
    <w:rsid w:val="00AF46AB"/>
    <w:rsid w:val="00AF46BC"/>
    <w:rsid w:val="00AF46E8"/>
    <w:rsid w:val="00AF472A"/>
    <w:rsid w:val="00AF4749"/>
    <w:rsid w:val="00AF475A"/>
    <w:rsid w:val="00AF47FF"/>
    <w:rsid w:val="00AF49DE"/>
    <w:rsid w:val="00AF49EB"/>
    <w:rsid w:val="00AF4A7F"/>
    <w:rsid w:val="00AF4C12"/>
    <w:rsid w:val="00AF4C17"/>
    <w:rsid w:val="00AF4CCD"/>
    <w:rsid w:val="00AF4D71"/>
    <w:rsid w:val="00AF4D88"/>
    <w:rsid w:val="00AF4F84"/>
    <w:rsid w:val="00AF4F9A"/>
    <w:rsid w:val="00AF4FB9"/>
    <w:rsid w:val="00AF521E"/>
    <w:rsid w:val="00AF531C"/>
    <w:rsid w:val="00AF5422"/>
    <w:rsid w:val="00AF542A"/>
    <w:rsid w:val="00AF5530"/>
    <w:rsid w:val="00AF5541"/>
    <w:rsid w:val="00AF55E0"/>
    <w:rsid w:val="00AF55E2"/>
    <w:rsid w:val="00AF567D"/>
    <w:rsid w:val="00AF5740"/>
    <w:rsid w:val="00AF582E"/>
    <w:rsid w:val="00AF584B"/>
    <w:rsid w:val="00AF5905"/>
    <w:rsid w:val="00AF59D3"/>
    <w:rsid w:val="00AF59D4"/>
    <w:rsid w:val="00AF5A53"/>
    <w:rsid w:val="00AF5AA0"/>
    <w:rsid w:val="00AF5B0D"/>
    <w:rsid w:val="00AF5BC7"/>
    <w:rsid w:val="00AF5BE6"/>
    <w:rsid w:val="00AF5BE8"/>
    <w:rsid w:val="00AF5BF1"/>
    <w:rsid w:val="00AF5C0B"/>
    <w:rsid w:val="00AF5CDC"/>
    <w:rsid w:val="00AF5D1A"/>
    <w:rsid w:val="00AF5D1B"/>
    <w:rsid w:val="00AF5ECD"/>
    <w:rsid w:val="00AF5F6A"/>
    <w:rsid w:val="00AF5F96"/>
    <w:rsid w:val="00AF6158"/>
    <w:rsid w:val="00AF6173"/>
    <w:rsid w:val="00AF6204"/>
    <w:rsid w:val="00AF62C1"/>
    <w:rsid w:val="00AF631E"/>
    <w:rsid w:val="00AF6322"/>
    <w:rsid w:val="00AF6330"/>
    <w:rsid w:val="00AF63AD"/>
    <w:rsid w:val="00AF63BC"/>
    <w:rsid w:val="00AF63F7"/>
    <w:rsid w:val="00AF641B"/>
    <w:rsid w:val="00AF6623"/>
    <w:rsid w:val="00AF6693"/>
    <w:rsid w:val="00AF673F"/>
    <w:rsid w:val="00AF674B"/>
    <w:rsid w:val="00AF680F"/>
    <w:rsid w:val="00AF681E"/>
    <w:rsid w:val="00AF688E"/>
    <w:rsid w:val="00AF68BD"/>
    <w:rsid w:val="00AF696F"/>
    <w:rsid w:val="00AF6A15"/>
    <w:rsid w:val="00AF6A30"/>
    <w:rsid w:val="00AF6ACC"/>
    <w:rsid w:val="00AF6B92"/>
    <w:rsid w:val="00AF6C02"/>
    <w:rsid w:val="00AF6C7C"/>
    <w:rsid w:val="00AF6CB2"/>
    <w:rsid w:val="00AF6CE6"/>
    <w:rsid w:val="00AF6CE8"/>
    <w:rsid w:val="00AF6DB2"/>
    <w:rsid w:val="00AF6DDA"/>
    <w:rsid w:val="00AF6E33"/>
    <w:rsid w:val="00AF6EC4"/>
    <w:rsid w:val="00AF6F1C"/>
    <w:rsid w:val="00AF6F21"/>
    <w:rsid w:val="00AF7074"/>
    <w:rsid w:val="00AF70AE"/>
    <w:rsid w:val="00AF70B5"/>
    <w:rsid w:val="00AF7189"/>
    <w:rsid w:val="00AF71AE"/>
    <w:rsid w:val="00AF7239"/>
    <w:rsid w:val="00AF723A"/>
    <w:rsid w:val="00AF725E"/>
    <w:rsid w:val="00AF72C9"/>
    <w:rsid w:val="00AF72EF"/>
    <w:rsid w:val="00AF7426"/>
    <w:rsid w:val="00AF7541"/>
    <w:rsid w:val="00AF754F"/>
    <w:rsid w:val="00AF75CF"/>
    <w:rsid w:val="00AF77EB"/>
    <w:rsid w:val="00AF7827"/>
    <w:rsid w:val="00AF7879"/>
    <w:rsid w:val="00AF793E"/>
    <w:rsid w:val="00AF796B"/>
    <w:rsid w:val="00AF79A2"/>
    <w:rsid w:val="00AF79D7"/>
    <w:rsid w:val="00AF79F8"/>
    <w:rsid w:val="00AF7A89"/>
    <w:rsid w:val="00AF7B39"/>
    <w:rsid w:val="00AF7B8C"/>
    <w:rsid w:val="00AF7C49"/>
    <w:rsid w:val="00AF7C60"/>
    <w:rsid w:val="00AF7CC7"/>
    <w:rsid w:val="00AF7DA0"/>
    <w:rsid w:val="00AF7E94"/>
    <w:rsid w:val="00AF7EA8"/>
    <w:rsid w:val="00AF7EF3"/>
    <w:rsid w:val="00AF7F7D"/>
    <w:rsid w:val="00B0001A"/>
    <w:rsid w:val="00B00061"/>
    <w:rsid w:val="00B00065"/>
    <w:rsid w:val="00B000C2"/>
    <w:rsid w:val="00B000F2"/>
    <w:rsid w:val="00B0010B"/>
    <w:rsid w:val="00B0015F"/>
    <w:rsid w:val="00B001EC"/>
    <w:rsid w:val="00B00296"/>
    <w:rsid w:val="00B002DC"/>
    <w:rsid w:val="00B00353"/>
    <w:rsid w:val="00B0036C"/>
    <w:rsid w:val="00B0039E"/>
    <w:rsid w:val="00B003D9"/>
    <w:rsid w:val="00B00447"/>
    <w:rsid w:val="00B00467"/>
    <w:rsid w:val="00B004AD"/>
    <w:rsid w:val="00B00501"/>
    <w:rsid w:val="00B0057B"/>
    <w:rsid w:val="00B005AC"/>
    <w:rsid w:val="00B00720"/>
    <w:rsid w:val="00B007C5"/>
    <w:rsid w:val="00B007EE"/>
    <w:rsid w:val="00B00880"/>
    <w:rsid w:val="00B008A8"/>
    <w:rsid w:val="00B0091A"/>
    <w:rsid w:val="00B00946"/>
    <w:rsid w:val="00B00956"/>
    <w:rsid w:val="00B00A89"/>
    <w:rsid w:val="00B00B24"/>
    <w:rsid w:val="00B00BA0"/>
    <w:rsid w:val="00B00BD9"/>
    <w:rsid w:val="00B00C4D"/>
    <w:rsid w:val="00B00CD5"/>
    <w:rsid w:val="00B00CDD"/>
    <w:rsid w:val="00B00D81"/>
    <w:rsid w:val="00B00DA3"/>
    <w:rsid w:val="00B00DB1"/>
    <w:rsid w:val="00B00DEE"/>
    <w:rsid w:val="00B00E0D"/>
    <w:rsid w:val="00B00EC5"/>
    <w:rsid w:val="00B00F78"/>
    <w:rsid w:val="00B01090"/>
    <w:rsid w:val="00B01160"/>
    <w:rsid w:val="00B011D8"/>
    <w:rsid w:val="00B011FF"/>
    <w:rsid w:val="00B01231"/>
    <w:rsid w:val="00B01273"/>
    <w:rsid w:val="00B013DD"/>
    <w:rsid w:val="00B01400"/>
    <w:rsid w:val="00B01416"/>
    <w:rsid w:val="00B014BE"/>
    <w:rsid w:val="00B01587"/>
    <w:rsid w:val="00B015EF"/>
    <w:rsid w:val="00B0169B"/>
    <w:rsid w:val="00B016A0"/>
    <w:rsid w:val="00B016AB"/>
    <w:rsid w:val="00B016DD"/>
    <w:rsid w:val="00B01744"/>
    <w:rsid w:val="00B0177C"/>
    <w:rsid w:val="00B017D2"/>
    <w:rsid w:val="00B017E7"/>
    <w:rsid w:val="00B01805"/>
    <w:rsid w:val="00B01850"/>
    <w:rsid w:val="00B0185B"/>
    <w:rsid w:val="00B018D3"/>
    <w:rsid w:val="00B01B23"/>
    <w:rsid w:val="00B01CF5"/>
    <w:rsid w:val="00B01EC1"/>
    <w:rsid w:val="00B01ED9"/>
    <w:rsid w:val="00B01F15"/>
    <w:rsid w:val="00B01F4B"/>
    <w:rsid w:val="00B01F9F"/>
    <w:rsid w:val="00B02072"/>
    <w:rsid w:val="00B02090"/>
    <w:rsid w:val="00B020BB"/>
    <w:rsid w:val="00B0211C"/>
    <w:rsid w:val="00B02121"/>
    <w:rsid w:val="00B0215A"/>
    <w:rsid w:val="00B021D6"/>
    <w:rsid w:val="00B02231"/>
    <w:rsid w:val="00B022A1"/>
    <w:rsid w:val="00B023AD"/>
    <w:rsid w:val="00B02446"/>
    <w:rsid w:val="00B02796"/>
    <w:rsid w:val="00B027B9"/>
    <w:rsid w:val="00B02895"/>
    <w:rsid w:val="00B02896"/>
    <w:rsid w:val="00B0290C"/>
    <w:rsid w:val="00B02999"/>
    <w:rsid w:val="00B029D9"/>
    <w:rsid w:val="00B029E2"/>
    <w:rsid w:val="00B02AAB"/>
    <w:rsid w:val="00B02AC8"/>
    <w:rsid w:val="00B02AE5"/>
    <w:rsid w:val="00B02B39"/>
    <w:rsid w:val="00B02B8C"/>
    <w:rsid w:val="00B02BEF"/>
    <w:rsid w:val="00B02BF6"/>
    <w:rsid w:val="00B02C09"/>
    <w:rsid w:val="00B02C45"/>
    <w:rsid w:val="00B02D81"/>
    <w:rsid w:val="00B02E0F"/>
    <w:rsid w:val="00B02E65"/>
    <w:rsid w:val="00B02E9F"/>
    <w:rsid w:val="00B03030"/>
    <w:rsid w:val="00B03060"/>
    <w:rsid w:val="00B0310A"/>
    <w:rsid w:val="00B03140"/>
    <w:rsid w:val="00B03144"/>
    <w:rsid w:val="00B0315F"/>
    <w:rsid w:val="00B03160"/>
    <w:rsid w:val="00B0318F"/>
    <w:rsid w:val="00B03239"/>
    <w:rsid w:val="00B03243"/>
    <w:rsid w:val="00B03288"/>
    <w:rsid w:val="00B032AB"/>
    <w:rsid w:val="00B032B6"/>
    <w:rsid w:val="00B032C6"/>
    <w:rsid w:val="00B0337B"/>
    <w:rsid w:val="00B03390"/>
    <w:rsid w:val="00B03409"/>
    <w:rsid w:val="00B035C6"/>
    <w:rsid w:val="00B0380F"/>
    <w:rsid w:val="00B03866"/>
    <w:rsid w:val="00B03871"/>
    <w:rsid w:val="00B03875"/>
    <w:rsid w:val="00B0388C"/>
    <w:rsid w:val="00B0390C"/>
    <w:rsid w:val="00B03927"/>
    <w:rsid w:val="00B0397F"/>
    <w:rsid w:val="00B039E1"/>
    <w:rsid w:val="00B03AB9"/>
    <w:rsid w:val="00B03B12"/>
    <w:rsid w:val="00B03B7A"/>
    <w:rsid w:val="00B03C55"/>
    <w:rsid w:val="00B03CF1"/>
    <w:rsid w:val="00B03DDD"/>
    <w:rsid w:val="00B03DEA"/>
    <w:rsid w:val="00B03EE7"/>
    <w:rsid w:val="00B03F0C"/>
    <w:rsid w:val="00B03F2D"/>
    <w:rsid w:val="00B03FDF"/>
    <w:rsid w:val="00B03FF4"/>
    <w:rsid w:val="00B0403D"/>
    <w:rsid w:val="00B04042"/>
    <w:rsid w:val="00B04078"/>
    <w:rsid w:val="00B040B7"/>
    <w:rsid w:val="00B042AB"/>
    <w:rsid w:val="00B0433F"/>
    <w:rsid w:val="00B04372"/>
    <w:rsid w:val="00B043C0"/>
    <w:rsid w:val="00B04667"/>
    <w:rsid w:val="00B0467B"/>
    <w:rsid w:val="00B04681"/>
    <w:rsid w:val="00B0469C"/>
    <w:rsid w:val="00B04725"/>
    <w:rsid w:val="00B0477B"/>
    <w:rsid w:val="00B047CF"/>
    <w:rsid w:val="00B047F6"/>
    <w:rsid w:val="00B0481F"/>
    <w:rsid w:val="00B04830"/>
    <w:rsid w:val="00B04862"/>
    <w:rsid w:val="00B048E8"/>
    <w:rsid w:val="00B049D6"/>
    <w:rsid w:val="00B04A3E"/>
    <w:rsid w:val="00B04AEE"/>
    <w:rsid w:val="00B04B42"/>
    <w:rsid w:val="00B04B65"/>
    <w:rsid w:val="00B04BDC"/>
    <w:rsid w:val="00B04BE1"/>
    <w:rsid w:val="00B04C38"/>
    <w:rsid w:val="00B04C49"/>
    <w:rsid w:val="00B04CD3"/>
    <w:rsid w:val="00B04DE2"/>
    <w:rsid w:val="00B04EDF"/>
    <w:rsid w:val="00B04F47"/>
    <w:rsid w:val="00B04F64"/>
    <w:rsid w:val="00B0507E"/>
    <w:rsid w:val="00B05135"/>
    <w:rsid w:val="00B0516E"/>
    <w:rsid w:val="00B051BB"/>
    <w:rsid w:val="00B0522F"/>
    <w:rsid w:val="00B05283"/>
    <w:rsid w:val="00B052A6"/>
    <w:rsid w:val="00B052E6"/>
    <w:rsid w:val="00B0533E"/>
    <w:rsid w:val="00B05355"/>
    <w:rsid w:val="00B05381"/>
    <w:rsid w:val="00B05460"/>
    <w:rsid w:val="00B054CD"/>
    <w:rsid w:val="00B054FA"/>
    <w:rsid w:val="00B05506"/>
    <w:rsid w:val="00B05565"/>
    <w:rsid w:val="00B05591"/>
    <w:rsid w:val="00B055D6"/>
    <w:rsid w:val="00B055F3"/>
    <w:rsid w:val="00B0562E"/>
    <w:rsid w:val="00B056D1"/>
    <w:rsid w:val="00B056F9"/>
    <w:rsid w:val="00B05700"/>
    <w:rsid w:val="00B0576C"/>
    <w:rsid w:val="00B0579A"/>
    <w:rsid w:val="00B0587B"/>
    <w:rsid w:val="00B05885"/>
    <w:rsid w:val="00B05972"/>
    <w:rsid w:val="00B059FD"/>
    <w:rsid w:val="00B05B3D"/>
    <w:rsid w:val="00B05B73"/>
    <w:rsid w:val="00B05C11"/>
    <w:rsid w:val="00B05CFB"/>
    <w:rsid w:val="00B05D05"/>
    <w:rsid w:val="00B05D1C"/>
    <w:rsid w:val="00B05D29"/>
    <w:rsid w:val="00B05D39"/>
    <w:rsid w:val="00B05D6A"/>
    <w:rsid w:val="00B05DD2"/>
    <w:rsid w:val="00B05DEE"/>
    <w:rsid w:val="00B05EBB"/>
    <w:rsid w:val="00B05EF8"/>
    <w:rsid w:val="00B05F22"/>
    <w:rsid w:val="00B05F25"/>
    <w:rsid w:val="00B05F29"/>
    <w:rsid w:val="00B05F3E"/>
    <w:rsid w:val="00B05F52"/>
    <w:rsid w:val="00B05F94"/>
    <w:rsid w:val="00B05FFA"/>
    <w:rsid w:val="00B0606F"/>
    <w:rsid w:val="00B0612C"/>
    <w:rsid w:val="00B06149"/>
    <w:rsid w:val="00B061C6"/>
    <w:rsid w:val="00B061D8"/>
    <w:rsid w:val="00B06241"/>
    <w:rsid w:val="00B06289"/>
    <w:rsid w:val="00B0628A"/>
    <w:rsid w:val="00B063F6"/>
    <w:rsid w:val="00B0642B"/>
    <w:rsid w:val="00B06598"/>
    <w:rsid w:val="00B0661D"/>
    <w:rsid w:val="00B06636"/>
    <w:rsid w:val="00B06799"/>
    <w:rsid w:val="00B0679A"/>
    <w:rsid w:val="00B067C1"/>
    <w:rsid w:val="00B06821"/>
    <w:rsid w:val="00B068E7"/>
    <w:rsid w:val="00B069A8"/>
    <w:rsid w:val="00B069D1"/>
    <w:rsid w:val="00B069E8"/>
    <w:rsid w:val="00B06A24"/>
    <w:rsid w:val="00B06A7B"/>
    <w:rsid w:val="00B06AB4"/>
    <w:rsid w:val="00B06AF6"/>
    <w:rsid w:val="00B06B16"/>
    <w:rsid w:val="00B06B2E"/>
    <w:rsid w:val="00B06B49"/>
    <w:rsid w:val="00B06BB9"/>
    <w:rsid w:val="00B06D66"/>
    <w:rsid w:val="00B06DAF"/>
    <w:rsid w:val="00B06DF4"/>
    <w:rsid w:val="00B06E87"/>
    <w:rsid w:val="00B06F52"/>
    <w:rsid w:val="00B06F60"/>
    <w:rsid w:val="00B06F6F"/>
    <w:rsid w:val="00B071DA"/>
    <w:rsid w:val="00B07225"/>
    <w:rsid w:val="00B07229"/>
    <w:rsid w:val="00B0722E"/>
    <w:rsid w:val="00B07292"/>
    <w:rsid w:val="00B072AB"/>
    <w:rsid w:val="00B07358"/>
    <w:rsid w:val="00B07401"/>
    <w:rsid w:val="00B0743B"/>
    <w:rsid w:val="00B07558"/>
    <w:rsid w:val="00B07592"/>
    <w:rsid w:val="00B075C0"/>
    <w:rsid w:val="00B076C2"/>
    <w:rsid w:val="00B076C8"/>
    <w:rsid w:val="00B07717"/>
    <w:rsid w:val="00B07746"/>
    <w:rsid w:val="00B0774D"/>
    <w:rsid w:val="00B0791D"/>
    <w:rsid w:val="00B079AD"/>
    <w:rsid w:val="00B079C6"/>
    <w:rsid w:val="00B079E8"/>
    <w:rsid w:val="00B07A19"/>
    <w:rsid w:val="00B07B19"/>
    <w:rsid w:val="00B07B53"/>
    <w:rsid w:val="00B07BCC"/>
    <w:rsid w:val="00B07BE8"/>
    <w:rsid w:val="00B07CAE"/>
    <w:rsid w:val="00B07D1F"/>
    <w:rsid w:val="00B07D26"/>
    <w:rsid w:val="00B07D2C"/>
    <w:rsid w:val="00B07E2D"/>
    <w:rsid w:val="00B07F19"/>
    <w:rsid w:val="00B07F82"/>
    <w:rsid w:val="00B07F98"/>
    <w:rsid w:val="00B07FA0"/>
    <w:rsid w:val="00B10000"/>
    <w:rsid w:val="00B10083"/>
    <w:rsid w:val="00B100E3"/>
    <w:rsid w:val="00B10180"/>
    <w:rsid w:val="00B101D1"/>
    <w:rsid w:val="00B10233"/>
    <w:rsid w:val="00B1023D"/>
    <w:rsid w:val="00B10269"/>
    <w:rsid w:val="00B10275"/>
    <w:rsid w:val="00B10285"/>
    <w:rsid w:val="00B102F4"/>
    <w:rsid w:val="00B1033F"/>
    <w:rsid w:val="00B103A5"/>
    <w:rsid w:val="00B10480"/>
    <w:rsid w:val="00B104F1"/>
    <w:rsid w:val="00B10510"/>
    <w:rsid w:val="00B10559"/>
    <w:rsid w:val="00B105D0"/>
    <w:rsid w:val="00B105D5"/>
    <w:rsid w:val="00B105D7"/>
    <w:rsid w:val="00B1060D"/>
    <w:rsid w:val="00B10654"/>
    <w:rsid w:val="00B10671"/>
    <w:rsid w:val="00B1069B"/>
    <w:rsid w:val="00B106C7"/>
    <w:rsid w:val="00B1071C"/>
    <w:rsid w:val="00B10792"/>
    <w:rsid w:val="00B107B0"/>
    <w:rsid w:val="00B10808"/>
    <w:rsid w:val="00B10810"/>
    <w:rsid w:val="00B108BB"/>
    <w:rsid w:val="00B108C4"/>
    <w:rsid w:val="00B10911"/>
    <w:rsid w:val="00B109A5"/>
    <w:rsid w:val="00B109FC"/>
    <w:rsid w:val="00B10A7F"/>
    <w:rsid w:val="00B10A8E"/>
    <w:rsid w:val="00B10B3F"/>
    <w:rsid w:val="00B10B55"/>
    <w:rsid w:val="00B10B8E"/>
    <w:rsid w:val="00B10C27"/>
    <w:rsid w:val="00B10C4E"/>
    <w:rsid w:val="00B10C77"/>
    <w:rsid w:val="00B10CA8"/>
    <w:rsid w:val="00B10CEB"/>
    <w:rsid w:val="00B10CFD"/>
    <w:rsid w:val="00B10D04"/>
    <w:rsid w:val="00B10D31"/>
    <w:rsid w:val="00B10D4D"/>
    <w:rsid w:val="00B10D94"/>
    <w:rsid w:val="00B10DE7"/>
    <w:rsid w:val="00B10DE9"/>
    <w:rsid w:val="00B10DF9"/>
    <w:rsid w:val="00B10F14"/>
    <w:rsid w:val="00B10F17"/>
    <w:rsid w:val="00B110DF"/>
    <w:rsid w:val="00B1139E"/>
    <w:rsid w:val="00B11474"/>
    <w:rsid w:val="00B11484"/>
    <w:rsid w:val="00B114A5"/>
    <w:rsid w:val="00B11525"/>
    <w:rsid w:val="00B1155E"/>
    <w:rsid w:val="00B115A0"/>
    <w:rsid w:val="00B11673"/>
    <w:rsid w:val="00B117B0"/>
    <w:rsid w:val="00B1180E"/>
    <w:rsid w:val="00B1187C"/>
    <w:rsid w:val="00B118CD"/>
    <w:rsid w:val="00B119A7"/>
    <w:rsid w:val="00B119FF"/>
    <w:rsid w:val="00B11A0D"/>
    <w:rsid w:val="00B11A16"/>
    <w:rsid w:val="00B11A79"/>
    <w:rsid w:val="00B11C2B"/>
    <w:rsid w:val="00B11C8B"/>
    <w:rsid w:val="00B11CAB"/>
    <w:rsid w:val="00B11D35"/>
    <w:rsid w:val="00B11DC2"/>
    <w:rsid w:val="00B11DEB"/>
    <w:rsid w:val="00B11F63"/>
    <w:rsid w:val="00B12003"/>
    <w:rsid w:val="00B12032"/>
    <w:rsid w:val="00B120A2"/>
    <w:rsid w:val="00B120A5"/>
    <w:rsid w:val="00B120F7"/>
    <w:rsid w:val="00B1210F"/>
    <w:rsid w:val="00B121B3"/>
    <w:rsid w:val="00B12317"/>
    <w:rsid w:val="00B123AE"/>
    <w:rsid w:val="00B123F3"/>
    <w:rsid w:val="00B1243B"/>
    <w:rsid w:val="00B12499"/>
    <w:rsid w:val="00B124EA"/>
    <w:rsid w:val="00B124ED"/>
    <w:rsid w:val="00B12553"/>
    <w:rsid w:val="00B125A8"/>
    <w:rsid w:val="00B125B6"/>
    <w:rsid w:val="00B125D0"/>
    <w:rsid w:val="00B125F6"/>
    <w:rsid w:val="00B1261B"/>
    <w:rsid w:val="00B12674"/>
    <w:rsid w:val="00B126C8"/>
    <w:rsid w:val="00B1277C"/>
    <w:rsid w:val="00B127B7"/>
    <w:rsid w:val="00B12873"/>
    <w:rsid w:val="00B128E2"/>
    <w:rsid w:val="00B1294C"/>
    <w:rsid w:val="00B129AE"/>
    <w:rsid w:val="00B129FE"/>
    <w:rsid w:val="00B12A00"/>
    <w:rsid w:val="00B12A13"/>
    <w:rsid w:val="00B12A60"/>
    <w:rsid w:val="00B12A84"/>
    <w:rsid w:val="00B12B20"/>
    <w:rsid w:val="00B12B71"/>
    <w:rsid w:val="00B12B82"/>
    <w:rsid w:val="00B12C03"/>
    <w:rsid w:val="00B12CC7"/>
    <w:rsid w:val="00B12D05"/>
    <w:rsid w:val="00B12D74"/>
    <w:rsid w:val="00B12E49"/>
    <w:rsid w:val="00B12E5F"/>
    <w:rsid w:val="00B12E66"/>
    <w:rsid w:val="00B12EE4"/>
    <w:rsid w:val="00B131C3"/>
    <w:rsid w:val="00B131F4"/>
    <w:rsid w:val="00B132A2"/>
    <w:rsid w:val="00B132CA"/>
    <w:rsid w:val="00B132EB"/>
    <w:rsid w:val="00B13384"/>
    <w:rsid w:val="00B1349C"/>
    <w:rsid w:val="00B135BF"/>
    <w:rsid w:val="00B1365B"/>
    <w:rsid w:val="00B1367D"/>
    <w:rsid w:val="00B136CC"/>
    <w:rsid w:val="00B1371B"/>
    <w:rsid w:val="00B1379D"/>
    <w:rsid w:val="00B13821"/>
    <w:rsid w:val="00B1386C"/>
    <w:rsid w:val="00B138A8"/>
    <w:rsid w:val="00B138AA"/>
    <w:rsid w:val="00B138C5"/>
    <w:rsid w:val="00B138D3"/>
    <w:rsid w:val="00B138D5"/>
    <w:rsid w:val="00B13948"/>
    <w:rsid w:val="00B13950"/>
    <w:rsid w:val="00B13962"/>
    <w:rsid w:val="00B139C5"/>
    <w:rsid w:val="00B139FA"/>
    <w:rsid w:val="00B13AFA"/>
    <w:rsid w:val="00B13C4D"/>
    <w:rsid w:val="00B13C88"/>
    <w:rsid w:val="00B13C93"/>
    <w:rsid w:val="00B13CF4"/>
    <w:rsid w:val="00B13D30"/>
    <w:rsid w:val="00B13D3B"/>
    <w:rsid w:val="00B13D6D"/>
    <w:rsid w:val="00B13D74"/>
    <w:rsid w:val="00B13E62"/>
    <w:rsid w:val="00B13FFC"/>
    <w:rsid w:val="00B1403B"/>
    <w:rsid w:val="00B140C0"/>
    <w:rsid w:val="00B14169"/>
    <w:rsid w:val="00B141B4"/>
    <w:rsid w:val="00B141E9"/>
    <w:rsid w:val="00B1423D"/>
    <w:rsid w:val="00B14253"/>
    <w:rsid w:val="00B14261"/>
    <w:rsid w:val="00B142BF"/>
    <w:rsid w:val="00B1436A"/>
    <w:rsid w:val="00B14510"/>
    <w:rsid w:val="00B14546"/>
    <w:rsid w:val="00B1458A"/>
    <w:rsid w:val="00B145DA"/>
    <w:rsid w:val="00B1478F"/>
    <w:rsid w:val="00B1482C"/>
    <w:rsid w:val="00B1483A"/>
    <w:rsid w:val="00B14915"/>
    <w:rsid w:val="00B14970"/>
    <w:rsid w:val="00B149A3"/>
    <w:rsid w:val="00B14A97"/>
    <w:rsid w:val="00B14B3F"/>
    <w:rsid w:val="00B14C28"/>
    <w:rsid w:val="00B14D36"/>
    <w:rsid w:val="00B14D65"/>
    <w:rsid w:val="00B14DAA"/>
    <w:rsid w:val="00B14DCD"/>
    <w:rsid w:val="00B14DFD"/>
    <w:rsid w:val="00B14E84"/>
    <w:rsid w:val="00B14E97"/>
    <w:rsid w:val="00B14ECE"/>
    <w:rsid w:val="00B14F36"/>
    <w:rsid w:val="00B14FB6"/>
    <w:rsid w:val="00B14FFE"/>
    <w:rsid w:val="00B15002"/>
    <w:rsid w:val="00B150D9"/>
    <w:rsid w:val="00B1511C"/>
    <w:rsid w:val="00B1513F"/>
    <w:rsid w:val="00B15256"/>
    <w:rsid w:val="00B153F1"/>
    <w:rsid w:val="00B153F6"/>
    <w:rsid w:val="00B1540C"/>
    <w:rsid w:val="00B154EE"/>
    <w:rsid w:val="00B154FE"/>
    <w:rsid w:val="00B15573"/>
    <w:rsid w:val="00B155D2"/>
    <w:rsid w:val="00B15624"/>
    <w:rsid w:val="00B15660"/>
    <w:rsid w:val="00B1566B"/>
    <w:rsid w:val="00B1566F"/>
    <w:rsid w:val="00B156E7"/>
    <w:rsid w:val="00B15731"/>
    <w:rsid w:val="00B158E7"/>
    <w:rsid w:val="00B15987"/>
    <w:rsid w:val="00B159F1"/>
    <w:rsid w:val="00B15AFB"/>
    <w:rsid w:val="00B15B06"/>
    <w:rsid w:val="00B15BBD"/>
    <w:rsid w:val="00B15C21"/>
    <w:rsid w:val="00B15C4B"/>
    <w:rsid w:val="00B15D45"/>
    <w:rsid w:val="00B15E18"/>
    <w:rsid w:val="00B15E35"/>
    <w:rsid w:val="00B15ECC"/>
    <w:rsid w:val="00B15F11"/>
    <w:rsid w:val="00B15F4C"/>
    <w:rsid w:val="00B15F5E"/>
    <w:rsid w:val="00B15F7D"/>
    <w:rsid w:val="00B160BB"/>
    <w:rsid w:val="00B160DC"/>
    <w:rsid w:val="00B16142"/>
    <w:rsid w:val="00B161A0"/>
    <w:rsid w:val="00B1620C"/>
    <w:rsid w:val="00B1631C"/>
    <w:rsid w:val="00B164F0"/>
    <w:rsid w:val="00B164FE"/>
    <w:rsid w:val="00B1654D"/>
    <w:rsid w:val="00B16575"/>
    <w:rsid w:val="00B1658F"/>
    <w:rsid w:val="00B16649"/>
    <w:rsid w:val="00B16705"/>
    <w:rsid w:val="00B16750"/>
    <w:rsid w:val="00B16761"/>
    <w:rsid w:val="00B16810"/>
    <w:rsid w:val="00B16848"/>
    <w:rsid w:val="00B1687F"/>
    <w:rsid w:val="00B169CD"/>
    <w:rsid w:val="00B169D8"/>
    <w:rsid w:val="00B16A35"/>
    <w:rsid w:val="00B16ACA"/>
    <w:rsid w:val="00B16AD7"/>
    <w:rsid w:val="00B16B96"/>
    <w:rsid w:val="00B16C33"/>
    <w:rsid w:val="00B16C3F"/>
    <w:rsid w:val="00B16D15"/>
    <w:rsid w:val="00B16DA3"/>
    <w:rsid w:val="00B16E54"/>
    <w:rsid w:val="00B16ECC"/>
    <w:rsid w:val="00B16EEB"/>
    <w:rsid w:val="00B16EED"/>
    <w:rsid w:val="00B16F0B"/>
    <w:rsid w:val="00B16F46"/>
    <w:rsid w:val="00B16F7D"/>
    <w:rsid w:val="00B17028"/>
    <w:rsid w:val="00B1707E"/>
    <w:rsid w:val="00B170B3"/>
    <w:rsid w:val="00B17120"/>
    <w:rsid w:val="00B1715F"/>
    <w:rsid w:val="00B171B9"/>
    <w:rsid w:val="00B17201"/>
    <w:rsid w:val="00B17273"/>
    <w:rsid w:val="00B174AF"/>
    <w:rsid w:val="00B174F6"/>
    <w:rsid w:val="00B175AE"/>
    <w:rsid w:val="00B17613"/>
    <w:rsid w:val="00B1761D"/>
    <w:rsid w:val="00B17649"/>
    <w:rsid w:val="00B1765C"/>
    <w:rsid w:val="00B1769A"/>
    <w:rsid w:val="00B176D5"/>
    <w:rsid w:val="00B176F0"/>
    <w:rsid w:val="00B17709"/>
    <w:rsid w:val="00B17724"/>
    <w:rsid w:val="00B17741"/>
    <w:rsid w:val="00B17796"/>
    <w:rsid w:val="00B17799"/>
    <w:rsid w:val="00B177E0"/>
    <w:rsid w:val="00B17833"/>
    <w:rsid w:val="00B1789D"/>
    <w:rsid w:val="00B178FE"/>
    <w:rsid w:val="00B1790D"/>
    <w:rsid w:val="00B17928"/>
    <w:rsid w:val="00B17A41"/>
    <w:rsid w:val="00B17B9B"/>
    <w:rsid w:val="00B17BB0"/>
    <w:rsid w:val="00B17BDA"/>
    <w:rsid w:val="00B17BE2"/>
    <w:rsid w:val="00B17BFE"/>
    <w:rsid w:val="00B17CC8"/>
    <w:rsid w:val="00B17CDC"/>
    <w:rsid w:val="00B17D40"/>
    <w:rsid w:val="00B17D89"/>
    <w:rsid w:val="00B17DF3"/>
    <w:rsid w:val="00B17EA5"/>
    <w:rsid w:val="00B17FDA"/>
    <w:rsid w:val="00B20063"/>
    <w:rsid w:val="00B200B2"/>
    <w:rsid w:val="00B200BC"/>
    <w:rsid w:val="00B201EA"/>
    <w:rsid w:val="00B2022C"/>
    <w:rsid w:val="00B20258"/>
    <w:rsid w:val="00B202AC"/>
    <w:rsid w:val="00B202BD"/>
    <w:rsid w:val="00B20338"/>
    <w:rsid w:val="00B2035D"/>
    <w:rsid w:val="00B20373"/>
    <w:rsid w:val="00B203D5"/>
    <w:rsid w:val="00B20443"/>
    <w:rsid w:val="00B20559"/>
    <w:rsid w:val="00B205D0"/>
    <w:rsid w:val="00B206F4"/>
    <w:rsid w:val="00B20758"/>
    <w:rsid w:val="00B207DB"/>
    <w:rsid w:val="00B208A8"/>
    <w:rsid w:val="00B20948"/>
    <w:rsid w:val="00B2095D"/>
    <w:rsid w:val="00B20980"/>
    <w:rsid w:val="00B20AAA"/>
    <w:rsid w:val="00B20AF1"/>
    <w:rsid w:val="00B20BDB"/>
    <w:rsid w:val="00B20C31"/>
    <w:rsid w:val="00B20C8D"/>
    <w:rsid w:val="00B20CA9"/>
    <w:rsid w:val="00B20E65"/>
    <w:rsid w:val="00B20EB4"/>
    <w:rsid w:val="00B20FA5"/>
    <w:rsid w:val="00B20FAB"/>
    <w:rsid w:val="00B20FE5"/>
    <w:rsid w:val="00B210FE"/>
    <w:rsid w:val="00B211A7"/>
    <w:rsid w:val="00B211BE"/>
    <w:rsid w:val="00B21360"/>
    <w:rsid w:val="00B2137A"/>
    <w:rsid w:val="00B213F2"/>
    <w:rsid w:val="00B21408"/>
    <w:rsid w:val="00B2146B"/>
    <w:rsid w:val="00B21479"/>
    <w:rsid w:val="00B21548"/>
    <w:rsid w:val="00B21593"/>
    <w:rsid w:val="00B215C1"/>
    <w:rsid w:val="00B217AB"/>
    <w:rsid w:val="00B217AE"/>
    <w:rsid w:val="00B217C9"/>
    <w:rsid w:val="00B21873"/>
    <w:rsid w:val="00B21891"/>
    <w:rsid w:val="00B218C9"/>
    <w:rsid w:val="00B2193F"/>
    <w:rsid w:val="00B21975"/>
    <w:rsid w:val="00B21980"/>
    <w:rsid w:val="00B2199D"/>
    <w:rsid w:val="00B219AA"/>
    <w:rsid w:val="00B219C8"/>
    <w:rsid w:val="00B21A47"/>
    <w:rsid w:val="00B21C2C"/>
    <w:rsid w:val="00B21CA3"/>
    <w:rsid w:val="00B21D00"/>
    <w:rsid w:val="00B21D4E"/>
    <w:rsid w:val="00B21D5E"/>
    <w:rsid w:val="00B21D7C"/>
    <w:rsid w:val="00B21DC6"/>
    <w:rsid w:val="00B21DC7"/>
    <w:rsid w:val="00B21DF8"/>
    <w:rsid w:val="00B21E0E"/>
    <w:rsid w:val="00B21E10"/>
    <w:rsid w:val="00B21E82"/>
    <w:rsid w:val="00B21E89"/>
    <w:rsid w:val="00B21EFD"/>
    <w:rsid w:val="00B21F29"/>
    <w:rsid w:val="00B21F76"/>
    <w:rsid w:val="00B21F83"/>
    <w:rsid w:val="00B22020"/>
    <w:rsid w:val="00B22081"/>
    <w:rsid w:val="00B2218B"/>
    <w:rsid w:val="00B221C2"/>
    <w:rsid w:val="00B221E0"/>
    <w:rsid w:val="00B2223E"/>
    <w:rsid w:val="00B222A9"/>
    <w:rsid w:val="00B22355"/>
    <w:rsid w:val="00B2236A"/>
    <w:rsid w:val="00B22381"/>
    <w:rsid w:val="00B22390"/>
    <w:rsid w:val="00B223ED"/>
    <w:rsid w:val="00B22471"/>
    <w:rsid w:val="00B22486"/>
    <w:rsid w:val="00B224F8"/>
    <w:rsid w:val="00B225A6"/>
    <w:rsid w:val="00B225E5"/>
    <w:rsid w:val="00B225FD"/>
    <w:rsid w:val="00B22641"/>
    <w:rsid w:val="00B2264E"/>
    <w:rsid w:val="00B22669"/>
    <w:rsid w:val="00B2266C"/>
    <w:rsid w:val="00B228DD"/>
    <w:rsid w:val="00B2290D"/>
    <w:rsid w:val="00B2294C"/>
    <w:rsid w:val="00B22996"/>
    <w:rsid w:val="00B22A61"/>
    <w:rsid w:val="00B22AC4"/>
    <w:rsid w:val="00B22BF2"/>
    <w:rsid w:val="00B22C03"/>
    <w:rsid w:val="00B22C21"/>
    <w:rsid w:val="00B22C2B"/>
    <w:rsid w:val="00B22C8B"/>
    <w:rsid w:val="00B22D78"/>
    <w:rsid w:val="00B22D91"/>
    <w:rsid w:val="00B22DB4"/>
    <w:rsid w:val="00B22DE3"/>
    <w:rsid w:val="00B22DEE"/>
    <w:rsid w:val="00B22EAB"/>
    <w:rsid w:val="00B22F21"/>
    <w:rsid w:val="00B22F2F"/>
    <w:rsid w:val="00B22F43"/>
    <w:rsid w:val="00B22FDC"/>
    <w:rsid w:val="00B2308A"/>
    <w:rsid w:val="00B230E3"/>
    <w:rsid w:val="00B231BD"/>
    <w:rsid w:val="00B2326B"/>
    <w:rsid w:val="00B232C7"/>
    <w:rsid w:val="00B232CF"/>
    <w:rsid w:val="00B232D6"/>
    <w:rsid w:val="00B233AB"/>
    <w:rsid w:val="00B233D5"/>
    <w:rsid w:val="00B233D9"/>
    <w:rsid w:val="00B233E7"/>
    <w:rsid w:val="00B23476"/>
    <w:rsid w:val="00B236FD"/>
    <w:rsid w:val="00B23728"/>
    <w:rsid w:val="00B237E5"/>
    <w:rsid w:val="00B23807"/>
    <w:rsid w:val="00B2391C"/>
    <w:rsid w:val="00B23A31"/>
    <w:rsid w:val="00B23B57"/>
    <w:rsid w:val="00B23BAB"/>
    <w:rsid w:val="00B23C32"/>
    <w:rsid w:val="00B23C77"/>
    <w:rsid w:val="00B23CED"/>
    <w:rsid w:val="00B23F3E"/>
    <w:rsid w:val="00B23F6F"/>
    <w:rsid w:val="00B23F85"/>
    <w:rsid w:val="00B23FF6"/>
    <w:rsid w:val="00B24072"/>
    <w:rsid w:val="00B240EC"/>
    <w:rsid w:val="00B24145"/>
    <w:rsid w:val="00B24159"/>
    <w:rsid w:val="00B24237"/>
    <w:rsid w:val="00B24277"/>
    <w:rsid w:val="00B24301"/>
    <w:rsid w:val="00B24405"/>
    <w:rsid w:val="00B24474"/>
    <w:rsid w:val="00B244C2"/>
    <w:rsid w:val="00B24613"/>
    <w:rsid w:val="00B24726"/>
    <w:rsid w:val="00B24956"/>
    <w:rsid w:val="00B24A67"/>
    <w:rsid w:val="00B24A81"/>
    <w:rsid w:val="00B24B4F"/>
    <w:rsid w:val="00B24B78"/>
    <w:rsid w:val="00B24B8B"/>
    <w:rsid w:val="00B24CA8"/>
    <w:rsid w:val="00B24D08"/>
    <w:rsid w:val="00B24F7F"/>
    <w:rsid w:val="00B250E9"/>
    <w:rsid w:val="00B25113"/>
    <w:rsid w:val="00B25163"/>
    <w:rsid w:val="00B251D1"/>
    <w:rsid w:val="00B251EC"/>
    <w:rsid w:val="00B25246"/>
    <w:rsid w:val="00B25249"/>
    <w:rsid w:val="00B2525B"/>
    <w:rsid w:val="00B252B4"/>
    <w:rsid w:val="00B254FA"/>
    <w:rsid w:val="00B25512"/>
    <w:rsid w:val="00B255B6"/>
    <w:rsid w:val="00B25646"/>
    <w:rsid w:val="00B256D4"/>
    <w:rsid w:val="00B256E8"/>
    <w:rsid w:val="00B256FB"/>
    <w:rsid w:val="00B25702"/>
    <w:rsid w:val="00B25733"/>
    <w:rsid w:val="00B25744"/>
    <w:rsid w:val="00B25760"/>
    <w:rsid w:val="00B257F1"/>
    <w:rsid w:val="00B25882"/>
    <w:rsid w:val="00B25938"/>
    <w:rsid w:val="00B25939"/>
    <w:rsid w:val="00B25953"/>
    <w:rsid w:val="00B25981"/>
    <w:rsid w:val="00B2598E"/>
    <w:rsid w:val="00B259B5"/>
    <w:rsid w:val="00B259FC"/>
    <w:rsid w:val="00B25AF4"/>
    <w:rsid w:val="00B25B18"/>
    <w:rsid w:val="00B25B9F"/>
    <w:rsid w:val="00B25BB6"/>
    <w:rsid w:val="00B25C4A"/>
    <w:rsid w:val="00B25EBF"/>
    <w:rsid w:val="00B25ED3"/>
    <w:rsid w:val="00B25EEE"/>
    <w:rsid w:val="00B25F50"/>
    <w:rsid w:val="00B25F64"/>
    <w:rsid w:val="00B26020"/>
    <w:rsid w:val="00B2603F"/>
    <w:rsid w:val="00B260BB"/>
    <w:rsid w:val="00B260FF"/>
    <w:rsid w:val="00B26152"/>
    <w:rsid w:val="00B26181"/>
    <w:rsid w:val="00B26184"/>
    <w:rsid w:val="00B261A4"/>
    <w:rsid w:val="00B2624E"/>
    <w:rsid w:val="00B26302"/>
    <w:rsid w:val="00B2641D"/>
    <w:rsid w:val="00B26425"/>
    <w:rsid w:val="00B26508"/>
    <w:rsid w:val="00B2659C"/>
    <w:rsid w:val="00B266DE"/>
    <w:rsid w:val="00B26704"/>
    <w:rsid w:val="00B26731"/>
    <w:rsid w:val="00B267F6"/>
    <w:rsid w:val="00B26800"/>
    <w:rsid w:val="00B2690D"/>
    <w:rsid w:val="00B26A1B"/>
    <w:rsid w:val="00B26A7F"/>
    <w:rsid w:val="00B26AA1"/>
    <w:rsid w:val="00B26B0B"/>
    <w:rsid w:val="00B26B74"/>
    <w:rsid w:val="00B26B9B"/>
    <w:rsid w:val="00B26BD1"/>
    <w:rsid w:val="00B26C18"/>
    <w:rsid w:val="00B26C22"/>
    <w:rsid w:val="00B26C41"/>
    <w:rsid w:val="00B26C68"/>
    <w:rsid w:val="00B26D71"/>
    <w:rsid w:val="00B26E3D"/>
    <w:rsid w:val="00B26E8E"/>
    <w:rsid w:val="00B26F3C"/>
    <w:rsid w:val="00B26F7C"/>
    <w:rsid w:val="00B26FF8"/>
    <w:rsid w:val="00B270B4"/>
    <w:rsid w:val="00B2710A"/>
    <w:rsid w:val="00B27136"/>
    <w:rsid w:val="00B27166"/>
    <w:rsid w:val="00B271F8"/>
    <w:rsid w:val="00B27253"/>
    <w:rsid w:val="00B2727B"/>
    <w:rsid w:val="00B272E3"/>
    <w:rsid w:val="00B27320"/>
    <w:rsid w:val="00B27362"/>
    <w:rsid w:val="00B275A2"/>
    <w:rsid w:val="00B275E2"/>
    <w:rsid w:val="00B2771F"/>
    <w:rsid w:val="00B27796"/>
    <w:rsid w:val="00B2779E"/>
    <w:rsid w:val="00B27843"/>
    <w:rsid w:val="00B27849"/>
    <w:rsid w:val="00B27875"/>
    <w:rsid w:val="00B2789B"/>
    <w:rsid w:val="00B27901"/>
    <w:rsid w:val="00B27902"/>
    <w:rsid w:val="00B2792A"/>
    <w:rsid w:val="00B27959"/>
    <w:rsid w:val="00B27A00"/>
    <w:rsid w:val="00B27A57"/>
    <w:rsid w:val="00B27AC9"/>
    <w:rsid w:val="00B27ACB"/>
    <w:rsid w:val="00B27AEE"/>
    <w:rsid w:val="00B27B2F"/>
    <w:rsid w:val="00B27B3B"/>
    <w:rsid w:val="00B27C30"/>
    <w:rsid w:val="00B27C3D"/>
    <w:rsid w:val="00B27CE9"/>
    <w:rsid w:val="00B27D27"/>
    <w:rsid w:val="00B27D4D"/>
    <w:rsid w:val="00B27DCC"/>
    <w:rsid w:val="00B27DF8"/>
    <w:rsid w:val="00B27E5E"/>
    <w:rsid w:val="00B27E7C"/>
    <w:rsid w:val="00B27EE8"/>
    <w:rsid w:val="00B27EF8"/>
    <w:rsid w:val="00B27F01"/>
    <w:rsid w:val="00B27F03"/>
    <w:rsid w:val="00B27F5F"/>
    <w:rsid w:val="00B27F8B"/>
    <w:rsid w:val="00B30073"/>
    <w:rsid w:val="00B30121"/>
    <w:rsid w:val="00B3026C"/>
    <w:rsid w:val="00B3032B"/>
    <w:rsid w:val="00B303D4"/>
    <w:rsid w:val="00B303DD"/>
    <w:rsid w:val="00B303EB"/>
    <w:rsid w:val="00B303EE"/>
    <w:rsid w:val="00B30426"/>
    <w:rsid w:val="00B305E0"/>
    <w:rsid w:val="00B305E7"/>
    <w:rsid w:val="00B30645"/>
    <w:rsid w:val="00B306F5"/>
    <w:rsid w:val="00B3071E"/>
    <w:rsid w:val="00B3082F"/>
    <w:rsid w:val="00B30884"/>
    <w:rsid w:val="00B30899"/>
    <w:rsid w:val="00B3089A"/>
    <w:rsid w:val="00B309AF"/>
    <w:rsid w:val="00B30A4B"/>
    <w:rsid w:val="00B30A6C"/>
    <w:rsid w:val="00B30AA2"/>
    <w:rsid w:val="00B30AFE"/>
    <w:rsid w:val="00B30B3E"/>
    <w:rsid w:val="00B30B52"/>
    <w:rsid w:val="00B30B5D"/>
    <w:rsid w:val="00B30BD2"/>
    <w:rsid w:val="00B30C31"/>
    <w:rsid w:val="00B30CA3"/>
    <w:rsid w:val="00B30D52"/>
    <w:rsid w:val="00B30D92"/>
    <w:rsid w:val="00B30DE5"/>
    <w:rsid w:val="00B30E12"/>
    <w:rsid w:val="00B30E21"/>
    <w:rsid w:val="00B30F34"/>
    <w:rsid w:val="00B30FC2"/>
    <w:rsid w:val="00B31071"/>
    <w:rsid w:val="00B3113C"/>
    <w:rsid w:val="00B31142"/>
    <w:rsid w:val="00B311D0"/>
    <w:rsid w:val="00B3121E"/>
    <w:rsid w:val="00B3124A"/>
    <w:rsid w:val="00B31270"/>
    <w:rsid w:val="00B313E8"/>
    <w:rsid w:val="00B3140C"/>
    <w:rsid w:val="00B31516"/>
    <w:rsid w:val="00B31526"/>
    <w:rsid w:val="00B315F8"/>
    <w:rsid w:val="00B31605"/>
    <w:rsid w:val="00B31688"/>
    <w:rsid w:val="00B316A2"/>
    <w:rsid w:val="00B316D9"/>
    <w:rsid w:val="00B316E0"/>
    <w:rsid w:val="00B31743"/>
    <w:rsid w:val="00B3174B"/>
    <w:rsid w:val="00B31761"/>
    <w:rsid w:val="00B31850"/>
    <w:rsid w:val="00B31868"/>
    <w:rsid w:val="00B31893"/>
    <w:rsid w:val="00B318C4"/>
    <w:rsid w:val="00B31982"/>
    <w:rsid w:val="00B319DA"/>
    <w:rsid w:val="00B319EB"/>
    <w:rsid w:val="00B31BAE"/>
    <w:rsid w:val="00B31BAF"/>
    <w:rsid w:val="00B31C18"/>
    <w:rsid w:val="00B31C31"/>
    <w:rsid w:val="00B31C9F"/>
    <w:rsid w:val="00B31CA8"/>
    <w:rsid w:val="00B31DC1"/>
    <w:rsid w:val="00B31DDA"/>
    <w:rsid w:val="00B31E5B"/>
    <w:rsid w:val="00B31EBA"/>
    <w:rsid w:val="00B31F8A"/>
    <w:rsid w:val="00B31FCA"/>
    <w:rsid w:val="00B31FE7"/>
    <w:rsid w:val="00B32016"/>
    <w:rsid w:val="00B320BD"/>
    <w:rsid w:val="00B32125"/>
    <w:rsid w:val="00B3217C"/>
    <w:rsid w:val="00B3219E"/>
    <w:rsid w:val="00B32299"/>
    <w:rsid w:val="00B322E5"/>
    <w:rsid w:val="00B322F7"/>
    <w:rsid w:val="00B3235C"/>
    <w:rsid w:val="00B323D1"/>
    <w:rsid w:val="00B323FB"/>
    <w:rsid w:val="00B32454"/>
    <w:rsid w:val="00B32466"/>
    <w:rsid w:val="00B325C4"/>
    <w:rsid w:val="00B3260F"/>
    <w:rsid w:val="00B3265A"/>
    <w:rsid w:val="00B326AD"/>
    <w:rsid w:val="00B326BD"/>
    <w:rsid w:val="00B3278A"/>
    <w:rsid w:val="00B3283B"/>
    <w:rsid w:val="00B328A3"/>
    <w:rsid w:val="00B328CB"/>
    <w:rsid w:val="00B32945"/>
    <w:rsid w:val="00B32965"/>
    <w:rsid w:val="00B329E8"/>
    <w:rsid w:val="00B32A1A"/>
    <w:rsid w:val="00B32A47"/>
    <w:rsid w:val="00B32A90"/>
    <w:rsid w:val="00B32A97"/>
    <w:rsid w:val="00B32AA5"/>
    <w:rsid w:val="00B32BFD"/>
    <w:rsid w:val="00B32C87"/>
    <w:rsid w:val="00B32CAA"/>
    <w:rsid w:val="00B32CF8"/>
    <w:rsid w:val="00B32DC9"/>
    <w:rsid w:val="00B32E23"/>
    <w:rsid w:val="00B32E3A"/>
    <w:rsid w:val="00B32E8B"/>
    <w:rsid w:val="00B32F2D"/>
    <w:rsid w:val="00B32F2F"/>
    <w:rsid w:val="00B32F47"/>
    <w:rsid w:val="00B32F78"/>
    <w:rsid w:val="00B330CB"/>
    <w:rsid w:val="00B33109"/>
    <w:rsid w:val="00B3310E"/>
    <w:rsid w:val="00B33177"/>
    <w:rsid w:val="00B331B2"/>
    <w:rsid w:val="00B331B5"/>
    <w:rsid w:val="00B331B7"/>
    <w:rsid w:val="00B332FF"/>
    <w:rsid w:val="00B33346"/>
    <w:rsid w:val="00B333A3"/>
    <w:rsid w:val="00B333AC"/>
    <w:rsid w:val="00B333E2"/>
    <w:rsid w:val="00B335CC"/>
    <w:rsid w:val="00B336E0"/>
    <w:rsid w:val="00B33752"/>
    <w:rsid w:val="00B33754"/>
    <w:rsid w:val="00B337C7"/>
    <w:rsid w:val="00B33840"/>
    <w:rsid w:val="00B33886"/>
    <w:rsid w:val="00B338CD"/>
    <w:rsid w:val="00B339F1"/>
    <w:rsid w:val="00B33A2E"/>
    <w:rsid w:val="00B33AA6"/>
    <w:rsid w:val="00B33AB8"/>
    <w:rsid w:val="00B33B66"/>
    <w:rsid w:val="00B33BC0"/>
    <w:rsid w:val="00B33C0B"/>
    <w:rsid w:val="00B33C10"/>
    <w:rsid w:val="00B33CFD"/>
    <w:rsid w:val="00B33D51"/>
    <w:rsid w:val="00B33D56"/>
    <w:rsid w:val="00B33D8E"/>
    <w:rsid w:val="00B33E15"/>
    <w:rsid w:val="00B33EC5"/>
    <w:rsid w:val="00B33F4F"/>
    <w:rsid w:val="00B33F54"/>
    <w:rsid w:val="00B33F84"/>
    <w:rsid w:val="00B33F97"/>
    <w:rsid w:val="00B3405E"/>
    <w:rsid w:val="00B340AC"/>
    <w:rsid w:val="00B34100"/>
    <w:rsid w:val="00B341C2"/>
    <w:rsid w:val="00B34241"/>
    <w:rsid w:val="00B34245"/>
    <w:rsid w:val="00B34359"/>
    <w:rsid w:val="00B343BB"/>
    <w:rsid w:val="00B343DF"/>
    <w:rsid w:val="00B343FB"/>
    <w:rsid w:val="00B343FF"/>
    <w:rsid w:val="00B344B2"/>
    <w:rsid w:val="00B3450B"/>
    <w:rsid w:val="00B34511"/>
    <w:rsid w:val="00B34589"/>
    <w:rsid w:val="00B345F2"/>
    <w:rsid w:val="00B3464D"/>
    <w:rsid w:val="00B346B5"/>
    <w:rsid w:val="00B347FB"/>
    <w:rsid w:val="00B34857"/>
    <w:rsid w:val="00B3489F"/>
    <w:rsid w:val="00B348D6"/>
    <w:rsid w:val="00B34902"/>
    <w:rsid w:val="00B34979"/>
    <w:rsid w:val="00B34A1D"/>
    <w:rsid w:val="00B34A94"/>
    <w:rsid w:val="00B34AF6"/>
    <w:rsid w:val="00B34BCC"/>
    <w:rsid w:val="00B34BE6"/>
    <w:rsid w:val="00B34C76"/>
    <w:rsid w:val="00B34C7E"/>
    <w:rsid w:val="00B34D16"/>
    <w:rsid w:val="00B34D21"/>
    <w:rsid w:val="00B34D2E"/>
    <w:rsid w:val="00B34D37"/>
    <w:rsid w:val="00B34D5D"/>
    <w:rsid w:val="00B34D7D"/>
    <w:rsid w:val="00B34DE8"/>
    <w:rsid w:val="00B34E44"/>
    <w:rsid w:val="00B34EF9"/>
    <w:rsid w:val="00B34F70"/>
    <w:rsid w:val="00B34F85"/>
    <w:rsid w:val="00B34F98"/>
    <w:rsid w:val="00B34FAD"/>
    <w:rsid w:val="00B34FB4"/>
    <w:rsid w:val="00B34FE1"/>
    <w:rsid w:val="00B3500E"/>
    <w:rsid w:val="00B35024"/>
    <w:rsid w:val="00B350A4"/>
    <w:rsid w:val="00B3517D"/>
    <w:rsid w:val="00B351AA"/>
    <w:rsid w:val="00B35277"/>
    <w:rsid w:val="00B35284"/>
    <w:rsid w:val="00B352E3"/>
    <w:rsid w:val="00B35373"/>
    <w:rsid w:val="00B353C9"/>
    <w:rsid w:val="00B353EC"/>
    <w:rsid w:val="00B35493"/>
    <w:rsid w:val="00B354A7"/>
    <w:rsid w:val="00B354B3"/>
    <w:rsid w:val="00B354D3"/>
    <w:rsid w:val="00B3550B"/>
    <w:rsid w:val="00B355BB"/>
    <w:rsid w:val="00B3563B"/>
    <w:rsid w:val="00B356BC"/>
    <w:rsid w:val="00B356EA"/>
    <w:rsid w:val="00B356F3"/>
    <w:rsid w:val="00B35737"/>
    <w:rsid w:val="00B3573D"/>
    <w:rsid w:val="00B357C9"/>
    <w:rsid w:val="00B3584A"/>
    <w:rsid w:val="00B35A36"/>
    <w:rsid w:val="00B35C1D"/>
    <w:rsid w:val="00B35C48"/>
    <w:rsid w:val="00B35C66"/>
    <w:rsid w:val="00B35C8E"/>
    <w:rsid w:val="00B35CB8"/>
    <w:rsid w:val="00B35CEF"/>
    <w:rsid w:val="00B35CF5"/>
    <w:rsid w:val="00B35D8C"/>
    <w:rsid w:val="00B35E12"/>
    <w:rsid w:val="00B35E64"/>
    <w:rsid w:val="00B35EFE"/>
    <w:rsid w:val="00B35F76"/>
    <w:rsid w:val="00B35FB6"/>
    <w:rsid w:val="00B3600E"/>
    <w:rsid w:val="00B36199"/>
    <w:rsid w:val="00B36244"/>
    <w:rsid w:val="00B362B0"/>
    <w:rsid w:val="00B362E5"/>
    <w:rsid w:val="00B36347"/>
    <w:rsid w:val="00B363D9"/>
    <w:rsid w:val="00B364C0"/>
    <w:rsid w:val="00B365F9"/>
    <w:rsid w:val="00B36632"/>
    <w:rsid w:val="00B3664C"/>
    <w:rsid w:val="00B366B2"/>
    <w:rsid w:val="00B366E2"/>
    <w:rsid w:val="00B36742"/>
    <w:rsid w:val="00B367BC"/>
    <w:rsid w:val="00B36850"/>
    <w:rsid w:val="00B369E0"/>
    <w:rsid w:val="00B36A63"/>
    <w:rsid w:val="00B36BB2"/>
    <w:rsid w:val="00B36C1C"/>
    <w:rsid w:val="00B36C4E"/>
    <w:rsid w:val="00B36C53"/>
    <w:rsid w:val="00B36C80"/>
    <w:rsid w:val="00B36D54"/>
    <w:rsid w:val="00B36E3B"/>
    <w:rsid w:val="00B36EE0"/>
    <w:rsid w:val="00B36F8B"/>
    <w:rsid w:val="00B36FF1"/>
    <w:rsid w:val="00B36FF6"/>
    <w:rsid w:val="00B37016"/>
    <w:rsid w:val="00B3704B"/>
    <w:rsid w:val="00B37076"/>
    <w:rsid w:val="00B37150"/>
    <w:rsid w:val="00B3717E"/>
    <w:rsid w:val="00B371B8"/>
    <w:rsid w:val="00B372A3"/>
    <w:rsid w:val="00B3731A"/>
    <w:rsid w:val="00B3733F"/>
    <w:rsid w:val="00B373DE"/>
    <w:rsid w:val="00B3741C"/>
    <w:rsid w:val="00B37432"/>
    <w:rsid w:val="00B3744E"/>
    <w:rsid w:val="00B3745E"/>
    <w:rsid w:val="00B374A7"/>
    <w:rsid w:val="00B374B2"/>
    <w:rsid w:val="00B374D8"/>
    <w:rsid w:val="00B375AC"/>
    <w:rsid w:val="00B375E1"/>
    <w:rsid w:val="00B3761E"/>
    <w:rsid w:val="00B37633"/>
    <w:rsid w:val="00B3765E"/>
    <w:rsid w:val="00B3766F"/>
    <w:rsid w:val="00B376F7"/>
    <w:rsid w:val="00B37768"/>
    <w:rsid w:val="00B377C9"/>
    <w:rsid w:val="00B37811"/>
    <w:rsid w:val="00B37848"/>
    <w:rsid w:val="00B37851"/>
    <w:rsid w:val="00B37867"/>
    <w:rsid w:val="00B378B9"/>
    <w:rsid w:val="00B378FE"/>
    <w:rsid w:val="00B37938"/>
    <w:rsid w:val="00B37990"/>
    <w:rsid w:val="00B379D7"/>
    <w:rsid w:val="00B379E7"/>
    <w:rsid w:val="00B37A54"/>
    <w:rsid w:val="00B37AC2"/>
    <w:rsid w:val="00B37AF2"/>
    <w:rsid w:val="00B37B03"/>
    <w:rsid w:val="00B37B3E"/>
    <w:rsid w:val="00B37BAA"/>
    <w:rsid w:val="00B37BF9"/>
    <w:rsid w:val="00B37CFD"/>
    <w:rsid w:val="00B37D83"/>
    <w:rsid w:val="00B37D88"/>
    <w:rsid w:val="00B37E70"/>
    <w:rsid w:val="00B37E7E"/>
    <w:rsid w:val="00B37E9E"/>
    <w:rsid w:val="00B37EBC"/>
    <w:rsid w:val="00B37F44"/>
    <w:rsid w:val="00B37F88"/>
    <w:rsid w:val="00B37FDB"/>
    <w:rsid w:val="00B40103"/>
    <w:rsid w:val="00B40152"/>
    <w:rsid w:val="00B40193"/>
    <w:rsid w:val="00B401E6"/>
    <w:rsid w:val="00B40220"/>
    <w:rsid w:val="00B40268"/>
    <w:rsid w:val="00B40291"/>
    <w:rsid w:val="00B4031C"/>
    <w:rsid w:val="00B4036D"/>
    <w:rsid w:val="00B4039B"/>
    <w:rsid w:val="00B403C9"/>
    <w:rsid w:val="00B404A9"/>
    <w:rsid w:val="00B404DD"/>
    <w:rsid w:val="00B404F7"/>
    <w:rsid w:val="00B40563"/>
    <w:rsid w:val="00B4059B"/>
    <w:rsid w:val="00B405D9"/>
    <w:rsid w:val="00B405E8"/>
    <w:rsid w:val="00B4062B"/>
    <w:rsid w:val="00B40634"/>
    <w:rsid w:val="00B4063B"/>
    <w:rsid w:val="00B40659"/>
    <w:rsid w:val="00B406B9"/>
    <w:rsid w:val="00B406F2"/>
    <w:rsid w:val="00B40725"/>
    <w:rsid w:val="00B40758"/>
    <w:rsid w:val="00B40801"/>
    <w:rsid w:val="00B4091F"/>
    <w:rsid w:val="00B40932"/>
    <w:rsid w:val="00B409CC"/>
    <w:rsid w:val="00B40A5C"/>
    <w:rsid w:val="00B40AE0"/>
    <w:rsid w:val="00B40AE6"/>
    <w:rsid w:val="00B40C62"/>
    <w:rsid w:val="00B40CAC"/>
    <w:rsid w:val="00B40CAD"/>
    <w:rsid w:val="00B40D57"/>
    <w:rsid w:val="00B40D68"/>
    <w:rsid w:val="00B40D75"/>
    <w:rsid w:val="00B40DCB"/>
    <w:rsid w:val="00B40E11"/>
    <w:rsid w:val="00B40E2F"/>
    <w:rsid w:val="00B40E47"/>
    <w:rsid w:val="00B40EDE"/>
    <w:rsid w:val="00B40F31"/>
    <w:rsid w:val="00B40F35"/>
    <w:rsid w:val="00B41050"/>
    <w:rsid w:val="00B41198"/>
    <w:rsid w:val="00B411AE"/>
    <w:rsid w:val="00B411F6"/>
    <w:rsid w:val="00B41331"/>
    <w:rsid w:val="00B413A4"/>
    <w:rsid w:val="00B41402"/>
    <w:rsid w:val="00B41432"/>
    <w:rsid w:val="00B41435"/>
    <w:rsid w:val="00B41464"/>
    <w:rsid w:val="00B41506"/>
    <w:rsid w:val="00B4152F"/>
    <w:rsid w:val="00B4158B"/>
    <w:rsid w:val="00B41633"/>
    <w:rsid w:val="00B4163F"/>
    <w:rsid w:val="00B41640"/>
    <w:rsid w:val="00B41692"/>
    <w:rsid w:val="00B416FB"/>
    <w:rsid w:val="00B4175A"/>
    <w:rsid w:val="00B4179E"/>
    <w:rsid w:val="00B417F4"/>
    <w:rsid w:val="00B4189D"/>
    <w:rsid w:val="00B41908"/>
    <w:rsid w:val="00B41B8D"/>
    <w:rsid w:val="00B41C30"/>
    <w:rsid w:val="00B41D05"/>
    <w:rsid w:val="00B41D2D"/>
    <w:rsid w:val="00B41D81"/>
    <w:rsid w:val="00B41ECF"/>
    <w:rsid w:val="00B41FD8"/>
    <w:rsid w:val="00B42030"/>
    <w:rsid w:val="00B42065"/>
    <w:rsid w:val="00B420A6"/>
    <w:rsid w:val="00B420F9"/>
    <w:rsid w:val="00B4215B"/>
    <w:rsid w:val="00B4216F"/>
    <w:rsid w:val="00B4220F"/>
    <w:rsid w:val="00B4237A"/>
    <w:rsid w:val="00B425AD"/>
    <w:rsid w:val="00B42632"/>
    <w:rsid w:val="00B42657"/>
    <w:rsid w:val="00B426F8"/>
    <w:rsid w:val="00B426FA"/>
    <w:rsid w:val="00B4279E"/>
    <w:rsid w:val="00B427A5"/>
    <w:rsid w:val="00B427CC"/>
    <w:rsid w:val="00B427ED"/>
    <w:rsid w:val="00B4294E"/>
    <w:rsid w:val="00B42A3E"/>
    <w:rsid w:val="00B42A76"/>
    <w:rsid w:val="00B42ADF"/>
    <w:rsid w:val="00B42B45"/>
    <w:rsid w:val="00B42BA1"/>
    <w:rsid w:val="00B42BE3"/>
    <w:rsid w:val="00B42C2C"/>
    <w:rsid w:val="00B42CCC"/>
    <w:rsid w:val="00B42D05"/>
    <w:rsid w:val="00B42D52"/>
    <w:rsid w:val="00B42D55"/>
    <w:rsid w:val="00B42DEE"/>
    <w:rsid w:val="00B42E57"/>
    <w:rsid w:val="00B42F0B"/>
    <w:rsid w:val="00B42F78"/>
    <w:rsid w:val="00B42F9B"/>
    <w:rsid w:val="00B42FF8"/>
    <w:rsid w:val="00B43058"/>
    <w:rsid w:val="00B43088"/>
    <w:rsid w:val="00B430D9"/>
    <w:rsid w:val="00B43112"/>
    <w:rsid w:val="00B43221"/>
    <w:rsid w:val="00B4322C"/>
    <w:rsid w:val="00B43230"/>
    <w:rsid w:val="00B4323B"/>
    <w:rsid w:val="00B433B0"/>
    <w:rsid w:val="00B433F7"/>
    <w:rsid w:val="00B4342A"/>
    <w:rsid w:val="00B4363B"/>
    <w:rsid w:val="00B436A3"/>
    <w:rsid w:val="00B4373C"/>
    <w:rsid w:val="00B437A1"/>
    <w:rsid w:val="00B438F5"/>
    <w:rsid w:val="00B4393B"/>
    <w:rsid w:val="00B43940"/>
    <w:rsid w:val="00B439D0"/>
    <w:rsid w:val="00B43AC3"/>
    <w:rsid w:val="00B43B68"/>
    <w:rsid w:val="00B43BF7"/>
    <w:rsid w:val="00B43CAB"/>
    <w:rsid w:val="00B43CDB"/>
    <w:rsid w:val="00B43D18"/>
    <w:rsid w:val="00B43D87"/>
    <w:rsid w:val="00B43DAE"/>
    <w:rsid w:val="00B43DDB"/>
    <w:rsid w:val="00B43DF7"/>
    <w:rsid w:val="00B43F14"/>
    <w:rsid w:val="00B43F46"/>
    <w:rsid w:val="00B4403C"/>
    <w:rsid w:val="00B44078"/>
    <w:rsid w:val="00B44096"/>
    <w:rsid w:val="00B44113"/>
    <w:rsid w:val="00B4412F"/>
    <w:rsid w:val="00B44158"/>
    <w:rsid w:val="00B44256"/>
    <w:rsid w:val="00B442C3"/>
    <w:rsid w:val="00B44324"/>
    <w:rsid w:val="00B443D7"/>
    <w:rsid w:val="00B44408"/>
    <w:rsid w:val="00B44430"/>
    <w:rsid w:val="00B4444F"/>
    <w:rsid w:val="00B44451"/>
    <w:rsid w:val="00B4455B"/>
    <w:rsid w:val="00B44594"/>
    <w:rsid w:val="00B445BD"/>
    <w:rsid w:val="00B44694"/>
    <w:rsid w:val="00B4469C"/>
    <w:rsid w:val="00B4470B"/>
    <w:rsid w:val="00B447D2"/>
    <w:rsid w:val="00B44838"/>
    <w:rsid w:val="00B44928"/>
    <w:rsid w:val="00B4494F"/>
    <w:rsid w:val="00B449E9"/>
    <w:rsid w:val="00B44AB6"/>
    <w:rsid w:val="00B44AD1"/>
    <w:rsid w:val="00B44B1E"/>
    <w:rsid w:val="00B44BC8"/>
    <w:rsid w:val="00B44BCD"/>
    <w:rsid w:val="00B44C49"/>
    <w:rsid w:val="00B44C52"/>
    <w:rsid w:val="00B44C90"/>
    <w:rsid w:val="00B44CB1"/>
    <w:rsid w:val="00B44D3D"/>
    <w:rsid w:val="00B44D5D"/>
    <w:rsid w:val="00B44DEE"/>
    <w:rsid w:val="00B44E60"/>
    <w:rsid w:val="00B44E8B"/>
    <w:rsid w:val="00B45067"/>
    <w:rsid w:val="00B450A1"/>
    <w:rsid w:val="00B450D2"/>
    <w:rsid w:val="00B450E3"/>
    <w:rsid w:val="00B4513C"/>
    <w:rsid w:val="00B45188"/>
    <w:rsid w:val="00B451B0"/>
    <w:rsid w:val="00B45214"/>
    <w:rsid w:val="00B45269"/>
    <w:rsid w:val="00B4528F"/>
    <w:rsid w:val="00B452AB"/>
    <w:rsid w:val="00B45375"/>
    <w:rsid w:val="00B453B1"/>
    <w:rsid w:val="00B453D2"/>
    <w:rsid w:val="00B45433"/>
    <w:rsid w:val="00B45458"/>
    <w:rsid w:val="00B45483"/>
    <w:rsid w:val="00B45501"/>
    <w:rsid w:val="00B4557D"/>
    <w:rsid w:val="00B455A9"/>
    <w:rsid w:val="00B455D7"/>
    <w:rsid w:val="00B455EB"/>
    <w:rsid w:val="00B4565F"/>
    <w:rsid w:val="00B4566B"/>
    <w:rsid w:val="00B45699"/>
    <w:rsid w:val="00B456A8"/>
    <w:rsid w:val="00B4574B"/>
    <w:rsid w:val="00B45789"/>
    <w:rsid w:val="00B457D5"/>
    <w:rsid w:val="00B45863"/>
    <w:rsid w:val="00B45864"/>
    <w:rsid w:val="00B4587E"/>
    <w:rsid w:val="00B459FA"/>
    <w:rsid w:val="00B45A29"/>
    <w:rsid w:val="00B45AD1"/>
    <w:rsid w:val="00B45AEE"/>
    <w:rsid w:val="00B45B25"/>
    <w:rsid w:val="00B45BC2"/>
    <w:rsid w:val="00B45BEB"/>
    <w:rsid w:val="00B45C8E"/>
    <w:rsid w:val="00B45C99"/>
    <w:rsid w:val="00B45E5C"/>
    <w:rsid w:val="00B45E66"/>
    <w:rsid w:val="00B45EEA"/>
    <w:rsid w:val="00B45F16"/>
    <w:rsid w:val="00B45F6C"/>
    <w:rsid w:val="00B45FB1"/>
    <w:rsid w:val="00B46070"/>
    <w:rsid w:val="00B46099"/>
    <w:rsid w:val="00B46115"/>
    <w:rsid w:val="00B461DF"/>
    <w:rsid w:val="00B4629A"/>
    <w:rsid w:val="00B462C2"/>
    <w:rsid w:val="00B46336"/>
    <w:rsid w:val="00B46393"/>
    <w:rsid w:val="00B463B9"/>
    <w:rsid w:val="00B46487"/>
    <w:rsid w:val="00B464F7"/>
    <w:rsid w:val="00B46512"/>
    <w:rsid w:val="00B46629"/>
    <w:rsid w:val="00B46641"/>
    <w:rsid w:val="00B46649"/>
    <w:rsid w:val="00B466E5"/>
    <w:rsid w:val="00B46718"/>
    <w:rsid w:val="00B4676D"/>
    <w:rsid w:val="00B46775"/>
    <w:rsid w:val="00B4679C"/>
    <w:rsid w:val="00B4687B"/>
    <w:rsid w:val="00B468C6"/>
    <w:rsid w:val="00B46930"/>
    <w:rsid w:val="00B46A06"/>
    <w:rsid w:val="00B46A36"/>
    <w:rsid w:val="00B46A51"/>
    <w:rsid w:val="00B46A53"/>
    <w:rsid w:val="00B46A75"/>
    <w:rsid w:val="00B46ABC"/>
    <w:rsid w:val="00B46B39"/>
    <w:rsid w:val="00B46BAA"/>
    <w:rsid w:val="00B46CAC"/>
    <w:rsid w:val="00B46D16"/>
    <w:rsid w:val="00B46D5A"/>
    <w:rsid w:val="00B46D85"/>
    <w:rsid w:val="00B46DEC"/>
    <w:rsid w:val="00B46E7D"/>
    <w:rsid w:val="00B46EAC"/>
    <w:rsid w:val="00B46EDB"/>
    <w:rsid w:val="00B46EF9"/>
    <w:rsid w:val="00B46F2A"/>
    <w:rsid w:val="00B46F96"/>
    <w:rsid w:val="00B46F9D"/>
    <w:rsid w:val="00B4705A"/>
    <w:rsid w:val="00B47082"/>
    <w:rsid w:val="00B4709E"/>
    <w:rsid w:val="00B470ED"/>
    <w:rsid w:val="00B4714E"/>
    <w:rsid w:val="00B47196"/>
    <w:rsid w:val="00B47209"/>
    <w:rsid w:val="00B47267"/>
    <w:rsid w:val="00B47278"/>
    <w:rsid w:val="00B47289"/>
    <w:rsid w:val="00B4730D"/>
    <w:rsid w:val="00B473D1"/>
    <w:rsid w:val="00B474B7"/>
    <w:rsid w:val="00B4753A"/>
    <w:rsid w:val="00B47554"/>
    <w:rsid w:val="00B4755E"/>
    <w:rsid w:val="00B4759A"/>
    <w:rsid w:val="00B47635"/>
    <w:rsid w:val="00B47770"/>
    <w:rsid w:val="00B4784B"/>
    <w:rsid w:val="00B4790C"/>
    <w:rsid w:val="00B47917"/>
    <w:rsid w:val="00B4794B"/>
    <w:rsid w:val="00B47963"/>
    <w:rsid w:val="00B479AA"/>
    <w:rsid w:val="00B479EE"/>
    <w:rsid w:val="00B47BE7"/>
    <w:rsid w:val="00B47CA8"/>
    <w:rsid w:val="00B47CB6"/>
    <w:rsid w:val="00B47DA2"/>
    <w:rsid w:val="00B47E5F"/>
    <w:rsid w:val="00B47F34"/>
    <w:rsid w:val="00B47F76"/>
    <w:rsid w:val="00B5001A"/>
    <w:rsid w:val="00B50066"/>
    <w:rsid w:val="00B50160"/>
    <w:rsid w:val="00B50186"/>
    <w:rsid w:val="00B501C3"/>
    <w:rsid w:val="00B502CF"/>
    <w:rsid w:val="00B50351"/>
    <w:rsid w:val="00B5035E"/>
    <w:rsid w:val="00B50384"/>
    <w:rsid w:val="00B50461"/>
    <w:rsid w:val="00B5052F"/>
    <w:rsid w:val="00B5065E"/>
    <w:rsid w:val="00B50669"/>
    <w:rsid w:val="00B506CA"/>
    <w:rsid w:val="00B506D5"/>
    <w:rsid w:val="00B507AC"/>
    <w:rsid w:val="00B507B3"/>
    <w:rsid w:val="00B5085B"/>
    <w:rsid w:val="00B50896"/>
    <w:rsid w:val="00B50901"/>
    <w:rsid w:val="00B50987"/>
    <w:rsid w:val="00B50A27"/>
    <w:rsid w:val="00B50A92"/>
    <w:rsid w:val="00B50B5D"/>
    <w:rsid w:val="00B50BD1"/>
    <w:rsid w:val="00B50BD2"/>
    <w:rsid w:val="00B50BEE"/>
    <w:rsid w:val="00B50CD1"/>
    <w:rsid w:val="00B50D41"/>
    <w:rsid w:val="00B50DB7"/>
    <w:rsid w:val="00B50F13"/>
    <w:rsid w:val="00B50F58"/>
    <w:rsid w:val="00B51052"/>
    <w:rsid w:val="00B510F8"/>
    <w:rsid w:val="00B5113E"/>
    <w:rsid w:val="00B5117F"/>
    <w:rsid w:val="00B511A8"/>
    <w:rsid w:val="00B511B4"/>
    <w:rsid w:val="00B51353"/>
    <w:rsid w:val="00B513ED"/>
    <w:rsid w:val="00B513F6"/>
    <w:rsid w:val="00B5140F"/>
    <w:rsid w:val="00B51435"/>
    <w:rsid w:val="00B514F9"/>
    <w:rsid w:val="00B51673"/>
    <w:rsid w:val="00B516B3"/>
    <w:rsid w:val="00B517B4"/>
    <w:rsid w:val="00B518A4"/>
    <w:rsid w:val="00B5191C"/>
    <w:rsid w:val="00B5195A"/>
    <w:rsid w:val="00B51979"/>
    <w:rsid w:val="00B5198E"/>
    <w:rsid w:val="00B51A7D"/>
    <w:rsid w:val="00B51ADA"/>
    <w:rsid w:val="00B51AFC"/>
    <w:rsid w:val="00B51C43"/>
    <w:rsid w:val="00B51C57"/>
    <w:rsid w:val="00B51C97"/>
    <w:rsid w:val="00B51D04"/>
    <w:rsid w:val="00B51D36"/>
    <w:rsid w:val="00B51D73"/>
    <w:rsid w:val="00B51D82"/>
    <w:rsid w:val="00B51F44"/>
    <w:rsid w:val="00B51F5B"/>
    <w:rsid w:val="00B51F63"/>
    <w:rsid w:val="00B51FAC"/>
    <w:rsid w:val="00B51FFC"/>
    <w:rsid w:val="00B5206E"/>
    <w:rsid w:val="00B520CF"/>
    <w:rsid w:val="00B520FB"/>
    <w:rsid w:val="00B52139"/>
    <w:rsid w:val="00B5215F"/>
    <w:rsid w:val="00B522CA"/>
    <w:rsid w:val="00B522D3"/>
    <w:rsid w:val="00B523AC"/>
    <w:rsid w:val="00B5240F"/>
    <w:rsid w:val="00B524F0"/>
    <w:rsid w:val="00B524FA"/>
    <w:rsid w:val="00B52545"/>
    <w:rsid w:val="00B52584"/>
    <w:rsid w:val="00B525D4"/>
    <w:rsid w:val="00B525F3"/>
    <w:rsid w:val="00B5267A"/>
    <w:rsid w:val="00B526D2"/>
    <w:rsid w:val="00B52730"/>
    <w:rsid w:val="00B528CA"/>
    <w:rsid w:val="00B52915"/>
    <w:rsid w:val="00B529BE"/>
    <w:rsid w:val="00B529FA"/>
    <w:rsid w:val="00B52A9A"/>
    <w:rsid w:val="00B52B37"/>
    <w:rsid w:val="00B52B3F"/>
    <w:rsid w:val="00B52B94"/>
    <w:rsid w:val="00B52C53"/>
    <w:rsid w:val="00B52CC2"/>
    <w:rsid w:val="00B52CCE"/>
    <w:rsid w:val="00B52D74"/>
    <w:rsid w:val="00B52D97"/>
    <w:rsid w:val="00B52E1E"/>
    <w:rsid w:val="00B52E6E"/>
    <w:rsid w:val="00B52F4C"/>
    <w:rsid w:val="00B52FD4"/>
    <w:rsid w:val="00B52FF0"/>
    <w:rsid w:val="00B5309E"/>
    <w:rsid w:val="00B530E3"/>
    <w:rsid w:val="00B531A5"/>
    <w:rsid w:val="00B531F0"/>
    <w:rsid w:val="00B532AB"/>
    <w:rsid w:val="00B53500"/>
    <w:rsid w:val="00B535A5"/>
    <w:rsid w:val="00B5361D"/>
    <w:rsid w:val="00B53651"/>
    <w:rsid w:val="00B536EC"/>
    <w:rsid w:val="00B53717"/>
    <w:rsid w:val="00B53762"/>
    <w:rsid w:val="00B537CE"/>
    <w:rsid w:val="00B538BC"/>
    <w:rsid w:val="00B53992"/>
    <w:rsid w:val="00B539AD"/>
    <w:rsid w:val="00B539ED"/>
    <w:rsid w:val="00B53AF4"/>
    <w:rsid w:val="00B53B54"/>
    <w:rsid w:val="00B53B5C"/>
    <w:rsid w:val="00B53B7B"/>
    <w:rsid w:val="00B53B84"/>
    <w:rsid w:val="00B53BF9"/>
    <w:rsid w:val="00B53C8E"/>
    <w:rsid w:val="00B53CDD"/>
    <w:rsid w:val="00B53CF1"/>
    <w:rsid w:val="00B53DED"/>
    <w:rsid w:val="00B53E17"/>
    <w:rsid w:val="00B53EA7"/>
    <w:rsid w:val="00B53F07"/>
    <w:rsid w:val="00B53F9B"/>
    <w:rsid w:val="00B54044"/>
    <w:rsid w:val="00B5408F"/>
    <w:rsid w:val="00B54169"/>
    <w:rsid w:val="00B54247"/>
    <w:rsid w:val="00B5424A"/>
    <w:rsid w:val="00B54292"/>
    <w:rsid w:val="00B5433B"/>
    <w:rsid w:val="00B543A9"/>
    <w:rsid w:val="00B5444C"/>
    <w:rsid w:val="00B54468"/>
    <w:rsid w:val="00B54493"/>
    <w:rsid w:val="00B544FD"/>
    <w:rsid w:val="00B5450B"/>
    <w:rsid w:val="00B5453F"/>
    <w:rsid w:val="00B545C4"/>
    <w:rsid w:val="00B545D8"/>
    <w:rsid w:val="00B5466A"/>
    <w:rsid w:val="00B546F5"/>
    <w:rsid w:val="00B5470A"/>
    <w:rsid w:val="00B54729"/>
    <w:rsid w:val="00B5473B"/>
    <w:rsid w:val="00B547CB"/>
    <w:rsid w:val="00B547CE"/>
    <w:rsid w:val="00B54960"/>
    <w:rsid w:val="00B54A7E"/>
    <w:rsid w:val="00B54AB7"/>
    <w:rsid w:val="00B54B45"/>
    <w:rsid w:val="00B54B58"/>
    <w:rsid w:val="00B54BE4"/>
    <w:rsid w:val="00B54CD8"/>
    <w:rsid w:val="00B54D8D"/>
    <w:rsid w:val="00B54E01"/>
    <w:rsid w:val="00B54E55"/>
    <w:rsid w:val="00B54ECD"/>
    <w:rsid w:val="00B54ED0"/>
    <w:rsid w:val="00B54EE3"/>
    <w:rsid w:val="00B54EEC"/>
    <w:rsid w:val="00B54F00"/>
    <w:rsid w:val="00B54FB4"/>
    <w:rsid w:val="00B54FB5"/>
    <w:rsid w:val="00B54FF6"/>
    <w:rsid w:val="00B5504E"/>
    <w:rsid w:val="00B5508E"/>
    <w:rsid w:val="00B550A6"/>
    <w:rsid w:val="00B55154"/>
    <w:rsid w:val="00B552AA"/>
    <w:rsid w:val="00B553E5"/>
    <w:rsid w:val="00B5542A"/>
    <w:rsid w:val="00B55451"/>
    <w:rsid w:val="00B554F2"/>
    <w:rsid w:val="00B5558A"/>
    <w:rsid w:val="00B555D8"/>
    <w:rsid w:val="00B5563F"/>
    <w:rsid w:val="00B55642"/>
    <w:rsid w:val="00B556E1"/>
    <w:rsid w:val="00B556EC"/>
    <w:rsid w:val="00B55715"/>
    <w:rsid w:val="00B5574B"/>
    <w:rsid w:val="00B55778"/>
    <w:rsid w:val="00B557EA"/>
    <w:rsid w:val="00B55871"/>
    <w:rsid w:val="00B5590B"/>
    <w:rsid w:val="00B55931"/>
    <w:rsid w:val="00B55987"/>
    <w:rsid w:val="00B55A38"/>
    <w:rsid w:val="00B55A6B"/>
    <w:rsid w:val="00B55AB0"/>
    <w:rsid w:val="00B55AE9"/>
    <w:rsid w:val="00B55C1A"/>
    <w:rsid w:val="00B55C4D"/>
    <w:rsid w:val="00B55C77"/>
    <w:rsid w:val="00B55CF8"/>
    <w:rsid w:val="00B55D73"/>
    <w:rsid w:val="00B55E00"/>
    <w:rsid w:val="00B55EB2"/>
    <w:rsid w:val="00B55EF5"/>
    <w:rsid w:val="00B55FED"/>
    <w:rsid w:val="00B56176"/>
    <w:rsid w:val="00B561BF"/>
    <w:rsid w:val="00B5621F"/>
    <w:rsid w:val="00B562CB"/>
    <w:rsid w:val="00B56337"/>
    <w:rsid w:val="00B5644C"/>
    <w:rsid w:val="00B56524"/>
    <w:rsid w:val="00B565B2"/>
    <w:rsid w:val="00B56656"/>
    <w:rsid w:val="00B56662"/>
    <w:rsid w:val="00B566A7"/>
    <w:rsid w:val="00B567B9"/>
    <w:rsid w:val="00B567EB"/>
    <w:rsid w:val="00B567F8"/>
    <w:rsid w:val="00B56892"/>
    <w:rsid w:val="00B56A18"/>
    <w:rsid w:val="00B56BD9"/>
    <w:rsid w:val="00B56D13"/>
    <w:rsid w:val="00B56D26"/>
    <w:rsid w:val="00B56D3D"/>
    <w:rsid w:val="00B56DCE"/>
    <w:rsid w:val="00B56EE2"/>
    <w:rsid w:val="00B56EF3"/>
    <w:rsid w:val="00B56F24"/>
    <w:rsid w:val="00B56FEF"/>
    <w:rsid w:val="00B56FF0"/>
    <w:rsid w:val="00B57038"/>
    <w:rsid w:val="00B57039"/>
    <w:rsid w:val="00B57047"/>
    <w:rsid w:val="00B5714D"/>
    <w:rsid w:val="00B5722C"/>
    <w:rsid w:val="00B57272"/>
    <w:rsid w:val="00B5735D"/>
    <w:rsid w:val="00B57381"/>
    <w:rsid w:val="00B573A8"/>
    <w:rsid w:val="00B573EF"/>
    <w:rsid w:val="00B5742A"/>
    <w:rsid w:val="00B5743C"/>
    <w:rsid w:val="00B5755F"/>
    <w:rsid w:val="00B57584"/>
    <w:rsid w:val="00B575B9"/>
    <w:rsid w:val="00B575E2"/>
    <w:rsid w:val="00B5765C"/>
    <w:rsid w:val="00B576E1"/>
    <w:rsid w:val="00B576EF"/>
    <w:rsid w:val="00B5770A"/>
    <w:rsid w:val="00B5773F"/>
    <w:rsid w:val="00B57765"/>
    <w:rsid w:val="00B578AE"/>
    <w:rsid w:val="00B579CC"/>
    <w:rsid w:val="00B579CF"/>
    <w:rsid w:val="00B579DB"/>
    <w:rsid w:val="00B579F1"/>
    <w:rsid w:val="00B57A8B"/>
    <w:rsid w:val="00B57AAD"/>
    <w:rsid w:val="00B57AC1"/>
    <w:rsid w:val="00B57AE6"/>
    <w:rsid w:val="00B57BA6"/>
    <w:rsid w:val="00B57C4E"/>
    <w:rsid w:val="00B57D07"/>
    <w:rsid w:val="00B57D37"/>
    <w:rsid w:val="00B57D56"/>
    <w:rsid w:val="00B57DCB"/>
    <w:rsid w:val="00B57E56"/>
    <w:rsid w:val="00B57EC6"/>
    <w:rsid w:val="00B57ECD"/>
    <w:rsid w:val="00B57EF8"/>
    <w:rsid w:val="00B57F1C"/>
    <w:rsid w:val="00B57F3F"/>
    <w:rsid w:val="00B57F42"/>
    <w:rsid w:val="00B57FCC"/>
    <w:rsid w:val="00B60068"/>
    <w:rsid w:val="00B600DE"/>
    <w:rsid w:val="00B600E2"/>
    <w:rsid w:val="00B60110"/>
    <w:rsid w:val="00B6017E"/>
    <w:rsid w:val="00B60187"/>
    <w:rsid w:val="00B6019C"/>
    <w:rsid w:val="00B601A1"/>
    <w:rsid w:val="00B601E8"/>
    <w:rsid w:val="00B60281"/>
    <w:rsid w:val="00B60358"/>
    <w:rsid w:val="00B603F1"/>
    <w:rsid w:val="00B603FD"/>
    <w:rsid w:val="00B60411"/>
    <w:rsid w:val="00B6043D"/>
    <w:rsid w:val="00B6046C"/>
    <w:rsid w:val="00B60478"/>
    <w:rsid w:val="00B60530"/>
    <w:rsid w:val="00B6056A"/>
    <w:rsid w:val="00B60598"/>
    <w:rsid w:val="00B60669"/>
    <w:rsid w:val="00B60670"/>
    <w:rsid w:val="00B606C2"/>
    <w:rsid w:val="00B606C6"/>
    <w:rsid w:val="00B60760"/>
    <w:rsid w:val="00B607C5"/>
    <w:rsid w:val="00B60859"/>
    <w:rsid w:val="00B60981"/>
    <w:rsid w:val="00B60C34"/>
    <w:rsid w:val="00B60CB3"/>
    <w:rsid w:val="00B60EB4"/>
    <w:rsid w:val="00B60EBA"/>
    <w:rsid w:val="00B60FB5"/>
    <w:rsid w:val="00B60FE3"/>
    <w:rsid w:val="00B61046"/>
    <w:rsid w:val="00B61048"/>
    <w:rsid w:val="00B61070"/>
    <w:rsid w:val="00B610E5"/>
    <w:rsid w:val="00B61110"/>
    <w:rsid w:val="00B61312"/>
    <w:rsid w:val="00B61313"/>
    <w:rsid w:val="00B613CA"/>
    <w:rsid w:val="00B614A2"/>
    <w:rsid w:val="00B6165C"/>
    <w:rsid w:val="00B6165F"/>
    <w:rsid w:val="00B6166B"/>
    <w:rsid w:val="00B6171A"/>
    <w:rsid w:val="00B61730"/>
    <w:rsid w:val="00B6174E"/>
    <w:rsid w:val="00B6179F"/>
    <w:rsid w:val="00B617AA"/>
    <w:rsid w:val="00B617B0"/>
    <w:rsid w:val="00B617C0"/>
    <w:rsid w:val="00B61823"/>
    <w:rsid w:val="00B618F6"/>
    <w:rsid w:val="00B6195D"/>
    <w:rsid w:val="00B6199E"/>
    <w:rsid w:val="00B619D3"/>
    <w:rsid w:val="00B61A15"/>
    <w:rsid w:val="00B61B09"/>
    <w:rsid w:val="00B61B55"/>
    <w:rsid w:val="00B61B78"/>
    <w:rsid w:val="00B61BBD"/>
    <w:rsid w:val="00B61C0D"/>
    <w:rsid w:val="00B61C63"/>
    <w:rsid w:val="00B61C72"/>
    <w:rsid w:val="00B61D01"/>
    <w:rsid w:val="00B61D42"/>
    <w:rsid w:val="00B61D48"/>
    <w:rsid w:val="00B61E38"/>
    <w:rsid w:val="00B61EB7"/>
    <w:rsid w:val="00B61EFC"/>
    <w:rsid w:val="00B61F11"/>
    <w:rsid w:val="00B61FB5"/>
    <w:rsid w:val="00B61FBF"/>
    <w:rsid w:val="00B620A7"/>
    <w:rsid w:val="00B621DA"/>
    <w:rsid w:val="00B622B4"/>
    <w:rsid w:val="00B622E0"/>
    <w:rsid w:val="00B62306"/>
    <w:rsid w:val="00B62318"/>
    <w:rsid w:val="00B6231E"/>
    <w:rsid w:val="00B6238F"/>
    <w:rsid w:val="00B623AC"/>
    <w:rsid w:val="00B623C8"/>
    <w:rsid w:val="00B623CF"/>
    <w:rsid w:val="00B6251A"/>
    <w:rsid w:val="00B6251F"/>
    <w:rsid w:val="00B62700"/>
    <w:rsid w:val="00B62761"/>
    <w:rsid w:val="00B627C5"/>
    <w:rsid w:val="00B627EA"/>
    <w:rsid w:val="00B62835"/>
    <w:rsid w:val="00B629E0"/>
    <w:rsid w:val="00B62A09"/>
    <w:rsid w:val="00B62A9D"/>
    <w:rsid w:val="00B62B00"/>
    <w:rsid w:val="00B62C34"/>
    <w:rsid w:val="00B62C3A"/>
    <w:rsid w:val="00B62C5B"/>
    <w:rsid w:val="00B62C93"/>
    <w:rsid w:val="00B62D83"/>
    <w:rsid w:val="00B62DC3"/>
    <w:rsid w:val="00B62DCB"/>
    <w:rsid w:val="00B62DDB"/>
    <w:rsid w:val="00B62DE2"/>
    <w:rsid w:val="00B62E14"/>
    <w:rsid w:val="00B62E95"/>
    <w:rsid w:val="00B62EC6"/>
    <w:rsid w:val="00B62EF2"/>
    <w:rsid w:val="00B62FBC"/>
    <w:rsid w:val="00B63005"/>
    <w:rsid w:val="00B63021"/>
    <w:rsid w:val="00B63054"/>
    <w:rsid w:val="00B630A0"/>
    <w:rsid w:val="00B63143"/>
    <w:rsid w:val="00B63185"/>
    <w:rsid w:val="00B6318C"/>
    <w:rsid w:val="00B63227"/>
    <w:rsid w:val="00B63246"/>
    <w:rsid w:val="00B63293"/>
    <w:rsid w:val="00B6329D"/>
    <w:rsid w:val="00B632E3"/>
    <w:rsid w:val="00B632FC"/>
    <w:rsid w:val="00B633C7"/>
    <w:rsid w:val="00B6342D"/>
    <w:rsid w:val="00B63486"/>
    <w:rsid w:val="00B63495"/>
    <w:rsid w:val="00B6351B"/>
    <w:rsid w:val="00B635F7"/>
    <w:rsid w:val="00B6369B"/>
    <w:rsid w:val="00B63776"/>
    <w:rsid w:val="00B6377A"/>
    <w:rsid w:val="00B63794"/>
    <w:rsid w:val="00B637D3"/>
    <w:rsid w:val="00B63864"/>
    <w:rsid w:val="00B63865"/>
    <w:rsid w:val="00B638C0"/>
    <w:rsid w:val="00B638D4"/>
    <w:rsid w:val="00B638DF"/>
    <w:rsid w:val="00B63969"/>
    <w:rsid w:val="00B6398A"/>
    <w:rsid w:val="00B639A8"/>
    <w:rsid w:val="00B639CF"/>
    <w:rsid w:val="00B63A06"/>
    <w:rsid w:val="00B63A3D"/>
    <w:rsid w:val="00B63AD2"/>
    <w:rsid w:val="00B63BE5"/>
    <w:rsid w:val="00B63C1E"/>
    <w:rsid w:val="00B63D1F"/>
    <w:rsid w:val="00B63D55"/>
    <w:rsid w:val="00B63D8E"/>
    <w:rsid w:val="00B63E4B"/>
    <w:rsid w:val="00B63E61"/>
    <w:rsid w:val="00B63E6E"/>
    <w:rsid w:val="00B63E82"/>
    <w:rsid w:val="00B63F9A"/>
    <w:rsid w:val="00B6403D"/>
    <w:rsid w:val="00B64059"/>
    <w:rsid w:val="00B640FB"/>
    <w:rsid w:val="00B64121"/>
    <w:rsid w:val="00B64127"/>
    <w:rsid w:val="00B641C3"/>
    <w:rsid w:val="00B64306"/>
    <w:rsid w:val="00B64436"/>
    <w:rsid w:val="00B644BD"/>
    <w:rsid w:val="00B644E0"/>
    <w:rsid w:val="00B64534"/>
    <w:rsid w:val="00B6458E"/>
    <w:rsid w:val="00B6459F"/>
    <w:rsid w:val="00B645B7"/>
    <w:rsid w:val="00B6460D"/>
    <w:rsid w:val="00B64765"/>
    <w:rsid w:val="00B6482F"/>
    <w:rsid w:val="00B64834"/>
    <w:rsid w:val="00B6487D"/>
    <w:rsid w:val="00B648C8"/>
    <w:rsid w:val="00B64963"/>
    <w:rsid w:val="00B64982"/>
    <w:rsid w:val="00B649E4"/>
    <w:rsid w:val="00B649E8"/>
    <w:rsid w:val="00B64A09"/>
    <w:rsid w:val="00B64B2A"/>
    <w:rsid w:val="00B64C66"/>
    <w:rsid w:val="00B64D55"/>
    <w:rsid w:val="00B64E57"/>
    <w:rsid w:val="00B64EBD"/>
    <w:rsid w:val="00B64EFD"/>
    <w:rsid w:val="00B64F01"/>
    <w:rsid w:val="00B64F50"/>
    <w:rsid w:val="00B64FEC"/>
    <w:rsid w:val="00B650C1"/>
    <w:rsid w:val="00B651BC"/>
    <w:rsid w:val="00B65250"/>
    <w:rsid w:val="00B6526A"/>
    <w:rsid w:val="00B65280"/>
    <w:rsid w:val="00B65329"/>
    <w:rsid w:val="00B6535A"/>
    <w:rsid w:val="00B653C1"/>
    <w:rsid w:val="00B65457"/>
    <w:rsid w:val="00B65520"/>
    <w:rsid w:val="00B65530"/>
    <w:rsid w:val="00B65604"/>
    <w:rsid w:val="00B6569C"/>
    <w:rsid w:val="00B6573B"/>
    <w:rsid w:val="00B65766"/>
    <w:rsid w:val="00B65797"/>
    <w:rsid w:val="00B657D8"/>
    <w:rsid w:val="00B6586D"/>
    <w:rsid w:val="00B65885"/>
    <w:rsid w:val="00B65A64"/>
    <w:rsid w:val="00B65A67"/>
    <w:rsid w:val="00B65A83"/>
    <w:rsid w:val="00B65A8D"/>
    <w:rsid w:val="00B65AA5"/>
    <w:rsid w:val="00B65AC2"/>
    <w:rsid w:val="00B65AF5"/>
    <w:rsid w:val="00B65B2A"/>
    <w:rsid w:val="00B65BDB"/>
    <w:rsid w:val="00B65DBB"/>
    <w:rsid w:val="00B65DDF"/>
    <w:rsid w:val="00B65DF5"/>
    <w:rsid w:val="00B65E8D"/>
    <w:rsid w:val="00B65F35"/>
    <w:rsid w:val="00B65F58"/>
    <w:rsid w:val="00B66048"/>
    <w:rsid w:val="00B660B9"/>
    <w:rsid w:val="00B660EA"/>
    <w:rsid w:val="00B66125"/>
    <w:rsid w:val="00B661A9"/>
    <w:rsid w:val="00B66253"/>
    <w:rsid w:val="00B6626B"/>
    <w:rsid w:val="00B6626C"/>
    <w:rsid w:val="00B6628F"/>
    <w:rsid w:val="00B662FB"/>
    <w:rsid w:val="00B66345"/>
    <w:rsid w:val="00B6635D"/>
    <w:rsid w:val="00B6645E"/>
    <w:rsid w:val="00B664C1"/>
    <w:rsid w:val="00B66538"/>
    <w:rsid w:val="00B66556"/>
    <w:rsid w:val="00B665C6"/>
    <w:rsid w:val="00B665DB"/>
    <w:rsid w:val="00B6665A"/>
    <w:rsid w:val="00B66660"/>
    <w:rsid w:val="00B6667B"/>
    <w:rsid w:val="00B666F7"/>
    <w:rsid w:val="00B66787"/>
    <w:rsid w:val="00B667BA"/>
    <w:rsid w:val="00B667F7"/>
    <w:rsid w:val="00B6689A"/>
    <w:rsid w:val="00B6690B"/>
    <w:rsid w:val="00B6694E"/>
    <w:rsid w:val="00B669AB"/>
    <w:rsid w:val="00B669B6"/>
    <w:rsid w:val="00B669EF"/>
    <w:rsid w:val="00B669F1"/>
    <w:rsid w:val="00B66A2D"/>
    <w:rsid w:val="00B66ADF"/>
    <w:rsid w:val="00B66B40"/>
    <w:rsid w:val="00B66B61"/>
    <w:rsid w:val="00B66C64"/>
    <w:rsid w:val="00B66D01"/>
    <w:rsid w:val="00B66D88"/>
    <w:rsid w:val="00B66D96"/>
    <w:rsid w:val="00B66DB7"/>
    <w:rsid w:val="00B66EA0"/>
    <w:rsid w:val="00B66F6B"/>
    <w:rsid w:val="00B66FD0"/>
    <w:rsid w:val="00B670F4"/>
    <w:rsid w:val="00B67100"/>
    <w:rsid w:val="00B67149"/>
    <w:rsid w:val="00B6722B"/>
    <w:rsid w:val="00B6727B"/>
    <w:rsid w:val="00B67434"/>
    <w:rsid w:val="00B67503"/>
    <w:rsid w:val="00B67506"/>
    <w:rsid w:val="00B6754F"/>
    <w:rsid w:val="00B67615"/>
    <w:rsid w:val="00B67684"/>
    <w:rsid w:val="00B676B3"/>
    <w:rsid w:val="00B6774F"/>
    <w:rsid w:val="00B677CB"/>
    <w:rsid w:val="00B677D6"/>
    <w:rsid w:val="00B677E5"/>
    <w:rsid w:val="00B6784A"/>
    <w:rsid w:val="00B67926"/>
    <w:rsid w:val="00B679E6"/>
    <w:rsid w:val="00B67A0A"/>
    <w:rsid w:val="00B67B4F"/>
    <w:rsid w:val="00B67C4D"/>
    <w:rsid w:val="00B67C58"/>
    <w:rsid w:val="00B67CBC"/>
    <w:rsid w:val="00B67CCD"/>
    <w:rsid w:val="00B67D07"/>
    <w:rsid w:val="00B67E2E"/>
    <w:rsid w:val="00B67EA4"/>
    <w:rsid w:val="00B67ED3"/>
    <w:rsid w:val="00B67F08"/>
    <w:rsid w:val="00B70054"/>
    <w:rsid w:val="00B702B8"/>
    <w:rsid w:val="00B70397"/>
    <w:rsid w:val="00B7040C"/>
    <w:rsid w:val="00B7041F"/>
    <w:rsid w:val="00B70446"/>
    <w:rsid w:val="00B70492"/>
    <w:rsid w:val="00B704A3"/>
    <w:rsid w:val="00B705FC"/>
    <w:rsid w:val="00B706A1"/>
    <w:rsid w:val="00B706DB"/>
    <w:rsid w:val="00B7073B"/>
    <w:rsid w:val="00B70753"/>
    <w:rsid w:val="00B70754"/>
    <w:rsid w:val="00B70771"/>
    <w:rsid w:val="00B708E7"/>
    <w:rsid w:val="00B7090B"/>
    <w:rsid w:val="00B70A36"/>
    <w:rsid w:val="00B70AF7"/>
    <w:rsid w:val="00B70C99"/>
    <w:rsid w:val="00B70D51"/>
    <w:rsid w:val="00B70DB2"/>
    <w:rsid w:val="00B70DC9"/>
    <w:rsid w:val="00B70EF0"/>
    <w:rsid w:val="00B70F0A"/>
    <w:rsid w:val="00B70F23"/>
    <w:rsid w:val="00B70F4D"/>
    <w:rsid w:val="00B70FD3"/>
    <w:rsid w:val="00B71024"/>
    <w:rsid w:val="00B7118D"/>
    <w:rsid w:val="00B712EE"/>
    <w:rsid w:val="00B71309"/>
    <w:rsid w:val="00B71333"/>
    <w:rsid w:val="00B71349"/>
    <w:rsid w:val="00B71395"/>
    <w:rsid w:val="00B7139D"/>
    <w:rsid w:val="00B7139F"/>
    <w:rsid w:val="00B71450"/>
    <w:rsid w:val="00B714E9"/>
    <w:rsid w:val="00B71548"/>
    <w:rsid w:val="00B71550"/>
    <w:rsid w:val="00B71589"/>
    <w:rsid w:val="00B715D7"/>
    <w:rsid w:val="00B7167F"/>
    <w:rsid w:val="00B7175B"/>
    <w:rsid w:val="00B71769"/>
    <w:rsid w:val="00B717CB"/>
    <w:rsid w:val="00B717D8"/>
    <w:rsid w:val="00B717E7"/>
    <w:rsid w:val="00B717F6"/>
    <w:rsid w:val="00B71817"/>
    <w:rsid w:val="00B718F2"/>
    <w:rsid w:val="00B718F4"/>
    <w:rsid w:val="00B71975"/>
    <w:rsid w:val="00B71987"/>
    <w:rsid w:val="00B7199C"/>
    <w:rsid w:val="00B71A47"/>
    <w:rsid w:val="00B71A4B"/>
    <w:rsid w:val="00B71A4D"/>
    <w:rsid w:val="00B71A7D"/>
    <w:rsid w:val="00B71B1B"/>
    <w:rsid w:val="00B71B68"/>
    <w:rsid w:val="00B71BBF"/>
    <w:rsid w:val="00B71CBA"/>
    <w:rsid w:val="00B71CC2"/>
    <w:rsid w:val="00B71CDB"/>
    <w:rsid w:val="00B71D4F"/>
    <w:rsid w:val="00B71E44"/>
    <w:rsid w:val="00B71F19"/>
    <w:rsid w:val="00B71F92"/>
    <w:rsid w:val="00B71FF7"/>
    <w:rsid w:val="00B72075"/>
    <w:rsid w:val="00B7207B"/>
    <w:rsid w:val="00B72099"/>
    <w:rsid w:val="00B7215B"/>
    <w:rsid w:val="00B72162"/>
    <w:rsid w:val="00B72167"/>
    <w:rsid w:val="00B721D4"/>
    <w:rsid w:val="00B7229C"/>
    <w:rsid w:val="00B722CF"/>
    <w:rsid w:val="00B7231C"/>
    <w:rsid w:val="00B723E5"/>
    <w:rsid w:val="00B72455"/>
    <w:rsid w:val="00B72594"/>
    <w:rsid w:val="00B725D4"/>
    <w:rsid w:val="00B72612"/>
    <w:rsid w:val="00B72634"/>
    <w:rsid w:val="00B7269F"/>
    <w:rsid w:val="00B726C0"/>
    <w:rsid w:val="00B72706"/>
    <w:rsid w:val="00B72716"/>
    <w:rsid w:val="00B72772"/>
    <w:rsid w:val="00B72812"/>
    <w:rsid w:val="00B72855"/>
    <w:rsid w:val="00B728C2"/>
    <w:rsid w:val="00B728FC"/>
    <w:rsid w:val="00B72912"/>
    <w:rsid w:val="00B72A25"/>
    <w:rsid w:val="00B72A44"/>
    <w:rsid w:val="00B72A75"/>
    <w:rsid w:val="00B72A78"/>
    <w:rsid w:val="00B72AF0"/>
    <w:rsid w:val="00B72B48"/>
    <w:rsid w:val="00B72BC1"/>
    <w:rsid w:val="00B72BEE"/>
    <w:rsid w:val="00B72C2C"/>
    <w:rsid w:val="00B72C7B"/>
    <w:rsid w:val="00B72CD6"/>
    <w:rsid w:val="00B72E1F"/>
    <w:rsid w:val="00B72EAE"/>
    <w:rsid w:val="00B72EF1"/>
    <w:rsid w:val="00B72F1A"/>
    <w:rsid w:val="00B72F5E"/>
    <w:rsid w:val="00B72FC0"/>
    <w:rsid w:val="00B73059"/>
    <w:rsid w:val="00B731CC"/>
    <w:rsid w:val="00B7325B"/>
    <w:rsid w:val="00B73319"/>
    <w:rsid w:val="00B7336F"/>
    <w:rsid w:val="00B733F8"/>
    <w:rsid w:val="00B73536"/>
    <w:rsid w:val="00B735F3"/>
    <w:rsid w:val="00B7373E"/>
    <w:rsid w:val="00B738CA"/>
    <w:rsid w:val="00B7391B"/>
    <w:rsid w:val="00B7399D"/>
    <w:rsid w:val="00B73A37"/>
    <w:rsid w:val="00B73AA5"/>
    <w:rsid w:val="00B73AA8"/>
    <w:rsid w:val="00B73AB4"/>
    <w:rsid w:val="00B73B4D"/>
    <w:rsid w:val="00B73C02"/>
    <w:rsid w:val="00B73C84"/>
    <w:rsid w:val="00B73CC2"/>
    <w:rsid w:val="00B73D03"/>
    <w:rsid w:val="00B73DCF"/>
    <w:rsid w:val="00B73DDB"/>
    <w:rsid w:val="00B73E20"/>
    <w:rsid w:val="00B73E5A"/>
    <w:rsid w:val="00B73EE8"/>
    <w:rsid w:val="00B73F06"/>
    <w:rsid w:val="00B73F26"/>
    <w:rsid w:val="00B73F2D"/>
    <w:rsid w:val="00B74046"/>
    <w:rsid w:val="00B74093"/>
    <w:rsid w:val="00B740A9"/>
    <w:rsid w:val="00B74170"/>
    <w:rsid w:val="00B741BD"/>
    <w:rsid w:val="00B74202"/>
    <w:rsid w:val="00B7421B"/>
    <w:rsid w:val="00B742B5"/>
    <w:rsid w:val="00B7434D"/>
    <w:rsid w:val="00B7456B"/>
    <w:rsid w:val="00B745E6"/>
    <w:rsid w:val="00B745FB"/>
    <w:rsid w:val="00B746B3"/>
    <w:rsid w:val="00B7470D"/>
    <w:rsid w:val="00B74719"/>
    <w:rsid w:val="00B7485C"/>
    <w:rsid w:val="00B748C9"/>
    <w:rsid w:val="00B7493D"/>
    <w:rsid w:val="00B74A9F"/>
    <w:rsid w:val="00B74AD9"/>
    <w:rsid w:val="00B74AE9"/>
    <w:rsid w:val="00B74C17"/>
    <w:rsid w:val="00B74C36"/>
    <w:rsid w:val="00B74CDC"/>
    <w:rsid w:val="00B74D20"/>
    <w:rsid w:val="00B74D82"/>
    <w:rsid w:val="00B74F4F"/>
    <w:rsid w:val="00B74FA1"/>
    <w:rsid w:val="00B74FA7"/>
    <w:rsid w:val="00B75041"/>
    <w:rsid w:val="00B75057"/>
    <w:rsid w:val="00B75062"/>
    <w:rsid w:val="00B75069"/>
    <w:rsid w:val="00B75121"/>
    <w:rsid w:val="00B7514E"/>
    <w:rsid w:val="00B75176"/>
    <w:rsid w:val="00B7518B"/>
    <w:rsid w:val="00B75242"/>
    <w:rsid w:val="00B7528B"/>
    <w:rsid w:val="00B752CD"/>
    <w:rsid w:val="00B7530C"/>
    <w:rsid w:val="00B75401"/>
    <w:rsid w:val="00B7541C"/>
    <w:rsid w:val="00B754F5"/>
    <w:rsid w:val="00B75506"/>
    <w:rsid w:val="00B75523"/>
    <w:rsid w:val="00B7562B"/>
    <w:rsid w:val="00B75666"/>
    <w:rsid w:val="00B7567B"/>
    <w:rsid w:val="00B756D3"/>
    <w:rsid w:val="00B756D6"/>
    <w:rsid w:val="00B75709"/>
    <w:rsid w:val="00B7575E"/>
    <w:rsid w:val="00B75831"/>
    <w:rsid w:val="00B75861"/>
    <w:rsid w:val="00B7587C"/>
    <w:rsid w:val="00B75880"/>
    <w:rsid w:val="00B7588B"/>
    <w:rsid w:val="00B75975"/>
    <w:rsid w:val="00B75977"/>
    <w:rsid w:val="00B75A3F"/>
    <w:rsid w:val="00B75A46"/>
    <w:rsid w:val="00B75A96"/>
    <w:rsid w:val="00B75AF7"/>
    <w:rsid w:val="00B75B5C"/>
    <w:rsid w:val="00B75B7F"/>
    <w:rsid w:val="00B75C31"/>
    <w:rsid w:val="00B75D79"/>
    <w:rsid w:val="00B75DAB"/>
    <w:rsid w:val="00B75E1E"/>
    <w:rsid w:val="00B75E4F"/>
    <w:rsid w:val="00B75F5B"/>
    <w:rsid w:val="00B75F64"/>
    <w:rsid w:val="00B760AB"/>
    <w:rsid w:val="00B761DC"/>
    <w:rsid w:val="00B76274"/>
    <w:rsid w:val="00B7628A"/>
    <w:rsid w:val="00B763A9"/>
    <w:rsid w:val="00B763BB"/>
    <w:rsid w:val="00B7641F"/>
    <w:rsid w:val="00B7643C"/>
    <w:rsid w:val="00B76455"/>
    <w:rsid w:val="00B76486"/>
    <w:rsid w:val="00B764B7"/>
    <w:rsid w:val="00B764D7"/>
    <w:rsid w:val="00B764F9"/>
    <w:rsid w:val="00B76539"/>
    <w:rsid w:val="00B76607"/>
    <w:rsid w:val="00B76621"/>
    <w:rsid w:val="00B7662A"/>
    <w:rsid w:val="00B76651"/>
    <w:rsid w:val="00B766B6"/>
    <w:rsid w:val="00B767C7"/>
    <w:rsid w:val="00B767D5"/>
    <w:rsid w:val="00B767E7"/>
    <w:rsid w:val="00B7682B"/>
    <w:rsid w:val="00B768B6"/>
    <w:rsid w:val="00B76958"/>
    <w:rsid w:val="00B769D5"/>
    <w:rsid w:val="00B76B37"/>
    <w:rsid w:val="00B76B5D"/>
    <w:rsid w:val="00B76BC9"/>
    <w:rsid w:val="00B76C44"/>
    <w:rsid w:val="00B76D17"/>
    <w:rsid w:val="00B76D2F"/>
    <w:rsid w:val="00B76D74"/>
    <w:rsid w:val="00B76E46"/>
    <w:rsid w:val="00B76ED0"/>
    <w:rsid w:val="00B76F01"/>
    <w:rsid w:val="00B76F63"/>
    <w:rsid w:val="00B77113"/>
    <w:rsid w:val="00B7714A"/>
    <w:rsid w:val="00B7715E"/>
    <w:rsid w:val="00B772CE"/>
    <w:rsid w:val="00B77366"/>
    <w:rsid w:val="00B773EF"/>
    <w:rsid w:val="00B77400"/>
    <w:rsid w:val="00B7751E"/>
    <w:rsid w:val="00B77579"/>
    <w:rsid w:val="00B77640"/>
    <w:rsid w:val="00B77644"/>
    <w:rsid w:val="00B7766F"/>
    <w:rsid w:val="00B776F0"/>
    <w:rsid w:val="00B77706"/>
    <w:rsid w:val="00B77797"/>
    <w:rsid w:val="00B7779A"/>
    <w:rsid w:val="00B777DB"/>
    <w:rsid w:val="00B777E7"/>
    <w:rsid w:val="00B777EB"/>
    <w:rsid w:val="00B77875"/>
    <w:rsid w:val="00B778A2"/>
    <w:rsid w:val="00B77A62"/>
    <w:rsid w:val="00B77AB5"/>
    <w:rsid w:val="00B77B52"/>
    <w:rsid w:val="00B77B5A"/>
    <w:rsid w:val="00B77CA0"/>
    <w:rsid w:val="00B77D04"/>
    <w:rsid w:val="00B77D56"/>
    <w:rsid w:val="00B77DDD"/>
    <w:rsid w:val="00B77DEB"/>
    <w:rsid w:val="00B77DF2"/>
    <w:rsid w:val="00B77E79"/>
    <w:rsid w:val="00B77EE4"/>
    <w:rsid w:val="00B77F00"/>
    <w:rsid w:val="00B77F19"/>
    <w:rsid w:val="00B8009F"/>
    <w:rsid w:val="00B800C3"/>
    <w:rsid w:val="00B8014B"/>
    <w:rsid w:val="00B80228"/>
    <w:rsid w:val="00B8029D"/>
    <w:rsid w:val="00B8030F"/>
    <w:rsid w:val="00B80369"/>
    <w:rsid w:val="00B8036E"/>
    <w:rsid w:val="00B803B9"/>
    <w:rsid w:val="00B803BC"/>
    <w:rsid w:val="00B80419"/>
    <w:rsid w:val="00B80481"/>
    <w:rsid w:val="00B80490"/>
    <w:rsid w:val="00B804F8"/>
    <w:rsid w:val="00B80582"/>
    <w:rsid w:val="00B80800"/>
    <w:rsid w:val="00B80819"/>
    <w:rsid w:val="00B80834"/>
    <w:rsid w:val="00B808A6"/>
    <w:rsid w:val="00B808B1"/>
    <w:rsid w:val="00B808F8"/>
    <w:rsid w:val="00B8091C"/>
    <w:rsid w:val="00B8095A"/>
    <w:rsid w:val="00B80B58"/>
    <w:rsid w:val="00B80B5C"/>
    <w:rsid w:val="00B80B71"/>
    <w:rsid w:val="00B80BDB"/>
    <w:rsid w:val="00B80BF7"/>
    <w:rsid w:val="00B80C60"/>
    <w:rsid w:val="00B80C7C"/>
    <w:rsid w:val="00B80CE7"/>
    <w:rsid w:val="00B80CFB"/>
    <w:rsid w:val="00B80D09"/>
    <w:rsid w:val="00B80D86"/>
    <w:rsid w:val="00B80DC0"/>
    <w:rsid w:val="00B80DDD"/>
    <w:rsid w:val="00B80F1E"/>
    <w:rsid w:val="00B80F9F"/>
    <w:rsid w:val="00B80FB9"/>
    <w:rsid w:val="00B80FC2"/>
    <w:rsid w:val="00B810DE"/>
    <w:rsid w:val="00B81145"/>
    <w:rsid w:val="00B81234"/>
    <w:rsid w:val="00B8123E"/>
    <w:rsid w:val="00B81256"/>
    <w:rsid w:val="00B81262"/>
    <w:rsid w:val="00B812C8"/>
    <w:rsid w:val="00B812E1"/>
    <w:rsid w:val="00B81330"/>
    <w:rsid w:val="00B813F5"/>
    <w:rsid w:val="00B814F2"/>
    <w:rsid w:val="00B81530"/>
    <w:rsid w:val="00B815D8"/>
    <w:rsid w:val="00B81603"/>
    <w:rsid w:val="00B81617"/>
    <w:rsid w:val="00B81636"/>
    <w:rsid w:val="00B816C5"/>
    <w:rsid w:val="00B816DF"/>
    <w:rsid w:val="00B81805"/>
    <w:rsid w:val="00B8187C"/>
    <w:rsid w:val="00B8189F"/>
    <w:rsid w:val="00B819BF"/>
    <w:rsid w:val="00B81B18"/>
    <w:rsid w:val="00B81B5E"/>
    <w:rsid w:val="00B81B92"/>
    <w:rsid w:val="00B81D05"/>
    <w:rsid w:val="00B81D16"/>
    <w:rsid w:val="00B81D8C"/>
    <w:rsid w:val="00B81E9D"/>
    <w:rsid w:val="00B81EDC"/>
    <w:rsid w:val="00B81F1C"/>
    <w:rsid w:val="00B81F82"/>
    <w:rsid w:val="00B8201E"/>
    <w:rsid w:val="00B82114"/>
    <w:rsid w:val="00B82136"/>
    <w:rsid w:val="00B82262"/>
    <w:rsid w:val="00B82362"/>
    <w:rsid w:val="00B82385"/>
    <w:rsid w:val="00B82390"/>
    <w:rsid w:val="00B82394"/>
    <w:rsid w:val="00B82475"/>
    <w:rsid w:val="00B824EE"/>
    <w:rsid w:val="00B8250C"/>
    <w:rsid w:val="00B82577"/>
    <w:rsid w:val="00B8258B"/>
    <w:rsid w:val="00B8258F"/>
    <w:rsid w:val="00B825DC"/>
    <w:rsid w:val="00B82630"/>
    <w:rsid w:val="00B82725"/>
    <w:rsid w:val="00B8275E"/>
    <w:rsid w:val="00B827E1"/>
    <w:rsid w:val="00B8293A"/>
    <w:rsid w:val="00B82949"/>
    <w:rsid w:val="00B829B2"/>
    <w:rsid w:val="00B82A10"/>
    <w:rsid w:val="00B82B5D"/>
    <w:rsid w:val="00B82BED"/>
    <w:rsid w:val="00B82C2A"/>
    <w:rsid w:val="00B82C30"/>
    <w:rsid w:val="00B82C6C"/>
    <w:rsid w:val="00B82CC0"/>
    <w:rsid w:val="00B82CD0"/>
    <w:rsid w:val="00B82E5E"/>
    <w:rsid w:val="00B82F1E"/>
    <w:rsid w:val="00B82F34"/>
    <w:rsid w:val="00B82F59"/>
    <w:rsid w:val="00B82FB4"/>
    <w:rsid w:val="00B82FB8"/>
    <w:rsid w:val="00B83055"/>
    <w:rsid w:val="00B830C4"/>
    <w:rsid w:val="00B830C6"/>
    <w:rsid w:val="00B8311F"/>
    <w:rsid w:val="00B83137"/>
    <w:rsid w:val="00B831A1"/>
    <w:rsid w:val="00B831B2"/>
    <w:rsid w:val="00B831E1"/>
    <w:rsid w:val="00B831EA"/>
    <w:rsid w:val="00B832CF"/>
    <w:rsid w:val="00B832ED"/>
    <w:rsid w:val="00B83398"/>
    <w:rsid w:val="00B833F4"/>
    <w:rsid w:val="00B8347B"/>
    <w:rsid w:val="00B8347F"/>
    <w:rsid w:val="00B83490"/>
    <w:rsid w:val="00B834AF"/>
    <w:rsid w:val="00B834E1"/>
    <w:rsid w:val="00B83528"/>
    <w:rsid w:val="00B83549"/>
    <w:rsid w:val="00B83599"/>
    <w:rsid w:val="00B835C3"/>
    <w:rsid w:val="00B8362E"/>
    <w:rsid w:val="00B83631"/>
    <w:rsid w:val="00B83643"/>
    <w:rsid w:val="00B8369E"/>
    <w:rsid w:val="00B836FA"/>
    <w:rsid w:val="00B83739"/>
    <w:rsid w:val="00B837BD"/>
    <w:rsid w:val="00B8384B"/>
    <w:rsid w:val="00B83861"/>
    <w:rsid w:val="00B83A13"/>
    <w:rsid w:val="00B83ACD"/>
    <w:rsid w:val="00B83B49"/>
    <w:rsid w:val="00B83B92"/>
    <w:rsid w:val="00B83CAD"/>
    <w:rsid w:val="00B83D19"/>
    <w:rsid w:val="00B83D2C"/>
    <w:rsid w:val="00B83D38"/>
    <w:rsid w:val="00B83D51"/>
    <w:rsid w:val="00B83D9C"/>
    <w:rsid w:val="00B83ECD"/>
    <w:rsid w:val="00B83EE8"/>
    <w:rsid w:val="00B83EF2"/>
    <w:rsid w:val="00B83F58"/>
    <w:rsid w:val="00B83F73"/>
    <w:rsid w:val="00B840FB"/>
    <w:rsid w:val="00B840FC"/>
    <w:rsid w:val="00B8415B"/>
    <w:rsid w:val="00B841E1"/>
    <w:rsid w:val="00B8421B"/>
    <w:rsid w:val="00B8422C"/>
    <w:rsid w:val="00B8429D"/>
    <w:rsid w:val="00B84321"/>
    <w:rsid w:val="00B843CB"/>
    <w:rsid w:val="00B843D2"/>
    <w:rsid w:val="00B843F7"/>
    <w:rsid w:val="00B84406"/>
    <w:rsid w:val="00B84463"/>
    <w:rsid w:val="00B844FA"/>
    <w:rsid w:val="00B8450A"/>
    <w:rsid w:val="00B8458C"/>
    <w:rsid w:val="00B84622"/>
    <w:rsid w:val="00B84667"/>
    <w:rsid w:val="00B8469E"/>
    <w:rsid w:val="00B84740"/>
    <w:rsid w:val="00B8474C"/>
    <w:rsid w:val="00B84791"/>
    <w:rsid w:val="00B847B9"/>
    <w:rsid w:val="00B84835"/>
    <w:rsid w:val="00B8484D"/>
    <w:rsid w:val="00B84A0F"/>
    <w:rsid w:val="00B84AD5"/>
    <w:rsid w:val="00B84ADB"/>
    <w:rsid w:val="00B84AE2"/>
    <w:rsid w:val="00B84B30"/>
    <w:rsid w:val="00B84BAF"/>
    <w:rsid w:val="00B84BDC"/>
    <w:rsid w:val="00B84BE9"/>
    <w:rsid w:val="00B84C42"/>
    <w:rsid w:val="00B84D24"/>
    <w:rsid w:val="00B84D8D"/>
    <w:rsid w:val="00B84D96"/>
    <w:rsid w:val="00B84F0E"/>
    <w:rsid w:val="00B84F39"/>
    <w:rsid w:val="00B84F55"/>
    <w:rsid w:val="00B84FD1"/>
    <w:rsid w:val="00B84FF1"/>
    <w:rsid w:val="00B84FF3"/>
    <w:rsid w:val="00B85014"/>
    <w:rsid w:val="00B8504E"/>
    <w:rsid w:val="00B85073"/>
    <w:rsid w:val="00B8513B"/>
    <w:rsid w:val="00B85217"/>
    <w:rsid w:val="00B85274"/>
    <w:rsid w:val="00B852F0"/>
    <w:rsid w:val="00B8535C"/>
    <w:rsid w:val="00B8541E"/>
    <w:rsid w:val="00B85445"/>
    <w:rsid w:val="00B85523"/>
    <w:rsid w:val="00B85551"/>
    <w:rsid w:val="00B85562"/>
    <w:rsid w:val="00B855C1"/>
    <w:rsid w:val="00B855C9"/>
    <w:rsid w:val="00B85643"/>
    <w:rsid w:val="00B85687"/>
    <w:rsid w:val="00B856E4"/>
    <w:rsid w:val="00B85710"/>
    <w:rsid w:val="00B85791"/>
    <w:rsid w:val="00B857CB"/>
    <w:rsid w:val="00B857E7"/>
    <w:rsid w:val="00B8581B"/>
    <w:rsid w:val="00B8584E"/>
    <w:rsid w:val="00B858F5"/>
    <w:rsid w:val="00B85980"/>
    <w:rsid w:val="00B859CF"/>
    <w:rsid w:val="00B859E5"/>
    <w:rsid w:val="00B85B2F"/>
    <w:rsid w:val="00B85BE6"/>
    <w:rsid w:val="00B85CF1"/>
    <w:rsid w:val="00B85D51"/>
    <w:rsid w:val="00B85D70"/>
    <w:rsid w:val="00B85D8F"/>
    <w:rsid w:val="00B85DB2"/>
    <w:rsid w:val="00B85F24"/>
    <w:rsid w:val="00B85F33"/>
    <w:rsid w:val="00B85F38"/>
    <w:rsid w:val="00B85FAC"/>
    <w:rsid w:val="00B86013"/>
    <w:rsid w:val="00B86018"/>
    <w:rsid w:val="00B86038"/>
    <w:rsid w:val="00B8603E"/>
    <w:rsid w:val="00B8608F"/>
    <w:rsid w:val="00B8614E"/>
    <w:rsid w:val="00B86181"/>
    <w:rsid w:val="00B86189"/>
    <w:rsid w:val="00B86193"/>
    <w:rsid w:val="00B861C1"/>
    <w:rsid w:val="00B861EB"/>
    <w:rsid w:val="00B8625A"/>
    <w:rsid w:val="00B86316"/>
    <w:rsid w:val="00B8633B"/>
    <w:rsid w:val="00B863A9"/>
    <w:rsid w:val="00B86425"/>
    <w:rsid w:val="00B86457"/>
    <w:rsid w:val="00B86478"/>
    <w:rsid w:val="00B8649F"/>
    <w:rsid w:val="00B864BD"/>
    <w:rsid w:val="00B8651C"/>
    <w:rsid w:val="00B8667F"/>
    <w:rsid w:val="00B866FE"/>
    <w:rsid w:val="00B869E9"/>
    <w:rsid w:val="00B86A63"/>
    <w:rsid w:val="00B86B05"/>
    <w:rsid w:val="00B86B42"/>
    <w:rsid w:val="00B86B7B"/>
    <w:rsid w:val="00B86C41"/>
    <w:rsid w:val="00B86D81"/>
    <w:rsid w:val="00B86DE0"/>
    <w:rsid w:val="00B86E51"/>
    <w:rsid w:val="00B86E6E"/>
    <w:rsid w:val="00B86ED1"/>
    <w:rsid w:val="00B86EDE"/>
    <w:rsid w:val="00B86F09"/>
    <w:rsid w:val="00B86F4E"/>
    <w:rsid w:val="00B86F79"/>
    <w:rsid w:val="00B86FAB"/>
    <w:rsid w:val="00B86FC4"/>
    <w:rsid w:val="00B86FEA"/>
    <w:rsid w:val="00B8700A"/>
    <w:rsid w:val="00B870D6"/>
    <w:rsid w:val="00B8711D"/>
    <w:rsid w:val="00B87246"/>
    <w:rsid w:val="00B8728A"/>
    <w:rsid w:val="00B872F0"/>
    <w:rsid w:val="00B87472"/>
    <w:rsid w:val="00B87481"/>
    <w:rsid w:val="00B87570"/>
    <w:rsid w:val="00B87588"/>
    <w:rsid w:val="00B87663"/>
    <w:rsid w:val="00B876AA"/>
    <w:rsid w:val="00B876BA"/>
    <w:rsid w:val="00B87700"/>
    <w:rsid w:val="00B87757"/>
    <w:rsid w:val="00B877B6"/>
    <w:rsid w:val="00B877F1"/>
    <w:rsid w:val="00B87940"/>
    <w:rsid w:val="00B87A14"/>
    <w:rsid w:val="00B87A2D"/>
    <w:rsid w:val="00B87A6D"/>
    <w:rsid w:val="00B87A97"/>
    <w:rsid w:val="00B87AB4"/>
    <w:rsid w:val="00B87B41"/>
    <w:rsid w:val="00B87B9B"/>
    <w:rsid w:val="00B87D38"/>
    <w:rsid w:val="00B87D71"/>
    <w:rsid w:val="00B87D8B"/>
    <w:rsid w:val="00B87D8D"/>
    <w:rsid w:val="00B87DD6"/>
    <w:rsid w:val="00B87E64"/>
    <w:rsid w:val="00B90069"/>
    <w:rsid w:val="00B900A0"/>
    <w:rsid w:val="00B9012F"/>
    <w:rsid w:val="00B90269"/>
    <w:rsid w:val="00B9026C"/>
    <w:rsid w:val="00B9028A"/>
    <w:rsid w:val="00B9042F"/>
    <w:rsid w:val="00B904BF"/>
    <w:rsid w:val="00B90568"/>
    <w:rsid w:val="00B905F1"/>
    <w:rsid w:val="00B906DF"/>
    <w:rsid w:val="00B9091C"/>
    <w:rsid w:val="00B90943"/>
    <w:rsid w:val="00B909C4"/>
    <w:rsid w:val="00B90A4E"/>
    <w:rsid w:val="00B90BAB"/>
    <w:rsid w:val="00B90BAD"/>
    <w:rsid w:val="00B90C7C"/>
    <w:rsid w:val="00B90CBB"/>
    <w:rsid w:val="00B90D48"/>
    <w:rsid w:val="00B90E2D"/>
    <w:rsid w:val="00B90F70"/>
    <w:rsid w:val="00B9107F"/>
    <w:rsid w:val="00B910FA"/>
    <w:rsid w:val="00B91175"/>
    <w:rsid w:val="00B91218"/>
    <w:rsid w:val="00B91269"/>
    <w:rsid w:val="00B91296"/>
    <w:rsid w:val="00B912EF"/>
    <w:rsid w:val="00B9132B"/>
    <w:rsid w:val="00B914AB"/>
    <w:rsid w:val="00B9151A"/>
    <w:rsid w:val="00B915B9"/>
    <w:rsid w:val="00B91686"/>
    <w:rsid w:val="00B917D3"/>
    <w:rsid w:val="00B917E2"/>
    <w:rsid w:val="00B91902"/>
    <w:rsid w:val="00B91973"/>
    <w:rsid w:val="00B9198C"/>
    <w:rsid w:val="00B919D6"/>
    <w:rsid w:val="00B919FF"/>
    <w:rsid w:val="00B91AA0"/>
    <w:rsid w:val="00B91B06"/>
    <w:rsid w:val="00B91B07"/>
    <w:rsid w:val="00B91C27"/>
    <w:rsid w:val="00B91C3B"/>
    <w:rsid w:val="00B91C69"/>
    <w:rsid w:val="00B91CFB"/>
    <w:rsid w:val="00B91D99"/>
    <w:rsid w:val="00B92039"/>
    <w:rsid w:val="00B920A2"/>
    <w:rsid w:val="00B920C6"/>
    <w:rsid w:val="00B92167"/>
    <w:rsid w:val="00B92180"/>
    <w:rsid w:val="00B92182"/>
    <w:rsid w:val="00B92299"/>
    <w:rsid w:val="00B922B1"/>
    <w:rsid w:val="00B92338"/>
    <w:rsid w:val="00B92366"/>
    <w:rsid w:val="00B923A0"/>
    <w:rsid w:val="00B923C7"/>
    <w:rsid w:val="00B92663"/>
    <w:rsid w:val="00B927E1"/>
    <w:rsid w:val="00B9292E"/>
    <w:rsid w:val="00B929F2"/>
    <w:rsid w:val="00B92A0C"/>
    <w:rsid w:val="00B92A35"/>
    <w:rsid w:val="00B92AF0"/>
    <w:rsid w:val="00B92B2B"/>
    <w:rsid w:val="00B92B4C"/>
    <w:rsid w:val="00B92B50"/>
    <w:rsid w:val="00B92BE2"/>
    <w:rsid w:val="00B92D76"/>
    <w:rsid w:val="00B92D8D"/>
    <w:rsid w:val="00B92E15"/>
    <w:rsid w:val="00B92E8C"/>
    <w:rsid w:val="00B92EAE"/>
    <w:rsid w:val="00B92EE2"/>
    <w:rsid w:val="00B92F2F"/>
    <w:rsid w:val="00B92F6D"/>
    <w:rsid w:val="00B92F97"/>
    <w:rsid w:val="00B92FA8"/>
    <w:rsid w:val="00B9301D"/>
    <w:rsid w:val="00B930EB"/>
    <w:rsid w:val="00B93275"/>
    <w:rsid w:val="00B93305"/>
    <w:rsid w:val="00B933F1"/>
    <w:rsid w:val="00B93418"/>
    <w:rsid w:val="00B93433"/>
    <w:rsid w:val="00B934CE"/>
    <w:rsid w:val="00B934E7"/>
    <w:rsid w:val="00B93593"/>
    <w:rsid w:val="00B935B2"/>
    <w:rsid w:val="00B935E0"/>
    <w:rsid w:val="00B9365B"/>
    <w:rsid w:val="00B93667"/>
    <w:rsid w:val="00B936DF"/>
    <w:rsid w:val="00B937C2"/>
    <w:rsid w:val="00B93868"/>
    <w:rsid w:val="00B9386C"/>
    <w:rsid w:val="00B9393D"/>
    <w:rsid w:val="00B93A6A"/>
    <w:rsid w:val="00B93C0A"/>
    <w:rsid w:val="00B93D3D"/>
    <w:rsid w:val="00B93D99"/>
    <w:rsid w:val="00B93DC3"/>
    <w:rsid w:val="00B93DED"/>
    <w:rsid w:val="00B93DFF"/>
    <w:rsid w:val="00B93E3D"/>
    <w:rsid w:val="00B93E70"/>
    <w:rsid w:val="00B93E98"/>
    <w:rsid w:val="00B93EC9"/>
    <w:rsid w:val="00B93ECA"/>
    <w:rsid w:val="00B93ECB"/>
    <w:rsid w:val="00B93F49"/>
    <w:rsid w:val="00B93F5A"/>
    <w:rsid w:val="00B93F78"/>
    <w:rsid w:val="00B93FF4"/>
    <w:rsid w:val="00B9428F"/>
    <w:rsid w:val="00B9439F"/>
    <w:rsid w:val="00B943CF"/>
    <w:rsid w:val="00B943D8"/>
    <w:rsid w:val="00B943EE"/>
    <w:rsid w:val="00B944B0"/>
    <w:rsid w:val="00B944E8"/>
    <w:rsid w:val="00B9458C"/>
    <w:rsid w:val="00B945EC"/>
    <w:rsid w:val="00B9461D"/>
    <w:rsid w:val="00B94654"/>
    <w:rsid w:val="00B94736"/>
    <w:rsid w:val="00B9477B"/>
    <w:rsid w:val="00B947F0"/>
    <w:rsid w:val="00B9483A"/>
    <w:rsid w:val="00B94897"/>
    <w:rsid w:val="00B94982"/>
    <w:rsid w:val="00B949C6"/>
    <w:rsid w:val="00B94A88"/>
    <w:rsid w:val="00B94AAA"/>
    <w:rsid w:val="00B94AB9"/>
    <w:rsid w:val="00B94BCE"/>
    <w:rsid w:val="00B94C1D"/>
    <w:rsid w:val="00B94D7B"/>
    <w:rsid w:val="00B94DD2"/>
    <w:rsid w:val="00B94EAE"/>
    <w:rsid w:val="00B94F31"/>
    <w:rsid w:val="00B94F3B"/>
    <w:rsid w:val="00B94F44"/>
    <w:rsid w:val="00B94F60"/>
    <w:rsid w:val="00B9501C"/>
    <w:rsid w:val="00B95025"/>
    <w:rsid w:val="00B95041"/>
    <w:rsid w:val="00B9505B"/>
    <w:rsid w:val="00B950D8"/>
    <w:rsid w:val="00B950DD"/>
    <w:rsid w:val="00B9513A"/>
    <w:rsid w:val="00B95190"/>
    <w:rsid w:val="00B95195"/>
    <w:rsid w:val="00B9529B"/>
    <w:rsid w:val="00B95321"/>
    <w:rsid w:val="00B95331"/>
    <w:rsid w:val="00B95401"/>
    <w:rsid w:val="00B95413"/>
    <w:rsid w:val="00B9544D"/>
    <w:rsid w:val="00B9545E"/>
    <w:rsid w:val="00B954A8"/>
    <w:rsid w:val="00B95523"/>
    <w:rsid w:val="00B95541"/>
    <w:rsid w:val="00B95558"/>
    <w:rsid w:val="00B95616"/>
    <w:rsid w:val="00B95627"/>
    <w:rsid w:val="00B95698"/>
    <w:rsid w:val="00B95750"/>
    <w:rsid w:val="00B95797"/>
    <w:rsid w:val="00B9593A"/>
    <w:rsid w:val="00B95A57"/>
    <w:rsid w:val="00B95A92"/>
    <w:rsid w:val="00B95AF8"/>
    <w:rsid w:val="00B95B50"/>
    <w:rsid w:val="00B95BC6"/>
    <w:rsid w:val="00B95BE7"/>
    <w:rsid w:val="00B95BF9"/>
    <w:rsid w:val="00B95BFC"/>
    <w:rsid w:val="00B95D6A"/>
    <w:rsid w:val="00B95DBC"/>
    <w:rsid w:val="00B95E04"/>
    <w:rsid w:val="00B95E40"/>
    <w:rsid w:val="00B95E78"/>
    <w:rsid w:val="00B95E83"/>
    <w:rsid w:val="00B95F85"/>
    <w:rsid w:val="00B95FE0"/>
    <w:rsid w:val="00B96004"/>
    <w:rsid w:val="00B96055"/>
    <w:rsid w:val="00B960AC"/>
    <w:rsid w:val="00B960B6"/>
    <w:rsid w:val="00B960E8"/>
    <w:rsid w:val="00B96130"/>
    <w:rsid w:val="00B96134"/>
    <w:rsid w:val="00B961CC"/>
    <w:rsid w:val="00B961E5"/>
    <w:rsid w:val="00B96256"/>
    <w:rsid w:val="00B96281"/>
    <w:rsid w:val="00B9629D"/>
    <w:rsid w:val="00B962A0"/>
    <w:rsid w:val="00B962BF"/>
    <w:rsid w:val="00B962DE"/>
    <w:rsid w:val="00B96330"/>
    <w:rsid w:val="00B9635E"/>
    <w:rsid w:val="00B964C9"/>
    <w:rsid w:val="00B964D5"/>
    <w:rsid w:val="00B96501"/>
    <w:rsid w:val="00B965CC"/>
    <w:rsid w:val="00B965DE"/>
    <w:rsid w:val="00B96672"/>
    <w:rsid w:val="00B966B2"/>
    <w:rsid w:val="00B966B3"/>
    <w:rsid w:val="00B9674C"/>
    <w:rsid w:val="00B96759"/>
    <w:rsid w:val="00B967B7"/>
    <w:rsid w:val="00B967EE"/>
    <w:rsid w:val="00B968BC"/>
    <w:rsid w:val="00B968DC"/>
    <w:rsid w:val="00B9692D"/>
    <w:rsid w:val="00B96947"/>
    <w:rsid w:val="00B96A6E"/>
    <w:rsid w:val="00B96B0D"/>
    <w:rsid w:val="00B96B44"/>
    <w:rsid w:val="00B96B78"/>
    <w:rsid w:val="00B96B90"/>
    <w:rsid w:val="00B96BDE"/>
    <w:rsid w:val="00B96C7D"/>
    <w:rsid w:val="00B96D4F"/>
    <w:rsid w:val="00B96DF5"/>
    <w:rsid w:val="00B96EB7"/>
    <w:rsid w:val="00B96EBF"/>
    <w:rsid w:val="00B96F4B"/>
    <w:rsid w:val="00B96F85"/>
    <w:rsid w:val="00B96FAD"/>
    <w:rsid w:val="00B96FF9"/>
    <w:rsid w:val="00B9701E"/>
    <w:rsid w:val="00B9702C"/>
    <w:rsid w:val="00B970C3"/>
    <w:rsid w:val="00B971A8"/>
    <w:rsid w:val="00B971AC"/>
    <w:rsid w:val="00B971F7"/>
    <w:rsid w:val="00B97201"/>
    <w:rsid w:val="00B97220"/>
    <w:rsid w:val="00B97277"/>
    <w:rsid w:val="00B97291"/>
    <w:rsid w:val="00B97350"/>
    <w:rsid w:val="00B97441"/>
    <w:rsid w:val="00B974EF"/>
    <w:rsid w:val="00B97530"/>
    <w:rsid w:val="00B9756C"/>
    <w:rsid w:val="00B9757C"/>
    <w:rsid w:val="00B9762F"/>
    <w:rsid w:val="00B97669"/>
    <w:rsid w:val="00B976F7"/>
    <w:rsid w:val="00B9772D"/>
    <w:rsid w:val="00B977D1"/>
    <w:rsid w:val="00B979B5"/>
    <w:rsid w:val="00B979BB"/>
    <w:rsid w:val="00B97A6A"/>
    <w:rsid w:val="00B97A76"/>
    <w:rsid w:val="00B97AC3"/>
    <w:rsid w:val="00B97C50"/>
    <w:rsid w:val="00B97C5E"/>
    <w:rsid w:val="00B97D37"/>
    <w:rsid w:val="00B97D6E"/>
    <w:rsid w:val="00B97DDB"/>
    <w:rsid w:val="00B97E4A"/>
    <w:rsid w:val="00B97EAA"/>
    <w:rsid w:val="00B97F39"/>
    <w:rsid w:val="00B97F7F"/>
    <w:rsid w:val="00B97FDC"/>
    <w:rsid w:val="00B98268"/>
    <w:rsid w:val="00B9B301"/>
    <w:rsid w:val="00BA004B"/>
    <w:rsid w:val="00BA006D"/>
    <w:rsid w:val="00BA00E9"/>
    <w:rsid w:val="00BA014D"/>
    <w:rsid w:val="00BA01F9"/>
    <w:rsid w:val="00BA025F"/>
    <w:rsid w:val="00BA02A2"/>
    <w:rsid w:val="00BA02A7"/>
    <w:rsid w:val="00BA02AB"/>
    <w:rsid w:val="00BA0355"/>
    <w:rsid w:val="00BA0398"/>
    <w:rsid w:val="00BA0528"/>
    <w:rsid w:val="00BA05B6"/>
    <w:rsid w:val="00BA05B8"/>
    <w:rsid w:val="00BA05BE"/>
    <w:rsid w:val="00BA05E5"/>
    <w:rsid w:val="00BA0612"/>
    <w:rsid w:val="00BA068F"/>
    <w:rsid w:val="00BA08F4"/>
    <w:rsid w:val="00BA09AD"/>
    <w:rsid w:val="00BA09BB"/>
    <w:rsid w:val="00BA09C5"/>
    <w:rsid w:val="00BA09D2"/>
    <w:rsid w:val="00BA0A18"/>
    <w:rsid w:val="00BA0A69"/>
    <w:rsid w:val="00BA0A6C"/>
    <w:rsid w:val="00BA0AB8"/>
    <w:rsid w:val="00BA0AEE"/>
    <w:rsid w:val="00BA0B42"/>
    <w:rsid w:val="00BA0C70"/>
    <w:rsid w:val="00BA0C92"/>
    <w:rsid w:val="00BA0F76"/>
    <w:rsid w:val="00BA10A9"/>
    <w:rsid w:val="00BA112F"/>
    <w:rsid w:val="00BA1293"/>
    <w:rsid w:val="00BA1351"/>
    <w:rsid w:val="00BA13C5"/>
    <w:rsid w:val="00BA13E5"/>
    <w:rsid w:val="00BA14B4"/>
    <w:rsid w:val="00BA14D4"/>
    <w:rsid w:val="00BA151E"/>
    <w:rsid w:val="00BA1534"/>
    <w:rsid w:val="00BA15B9"/>
    <w:rsid w:val="00BA15E1"/>
    <w:rsid w:val="00BA1632"/>
    <w:rsid w:val="00BA1643"/>
    <w:rsid w:val="00BA1644"/>
    <w:rsid w:val="00BA16F5"/>
    <w:rsid w:val="00BA17C1"/>
    <w:rsid w:val="00BA182E"/>
    <w:rsid w:val="00BA185B"/>
    <w:rsid w:val="00BA18A0"/>
    <w:rsid w:val="00BA18FD"/>
    <w:rsid w:val="00BA192D"/>
    <w:rsid w:val="00BA1964"/>
    <w:rsid w:val="00BA1B1D"/>
    <w:rsid w:val="00BA1B65"/>
    <w:rsid w:val="00BA1BA9"/>
    <w:rsid w:val="00BA1C04"/>
    <w:rsid w:val="00BA1C44"/>
    <w:rsid w:val="00BA1C4B"/>
    <w:rsid w:val="00BA1C63"/>
    <w:rsid w:val="00BA1C79"/>
    <w:rsid w:val="00BA1D61"/>
    <w:rsid w:val="00BA1DCB"/>
    <w:rsid w:val="00BA1FAF"/>
    <w:rsid w:val="00BA1FE2"/>
    <w:rsid w:val="00BA2027"/>
    <w:rsid w:val="00BA215E"/>
    <w:rsid w:val="00BA21E2"/>
    <w:rsid w:val="00BA222E"/>
    <w:rsid w:val="00BA22E4"/>
    <w:rsid w:val="00BA232E"/>
    <w:rsid w:val="00BA233D"/>
    <w:rsid w:val="00BA236F"/>
    <w:rsid w:val="00BA2378"/>
    <w:rsid w:val="00BA2479"/>
    <w:rsid w:val="00BA2492"/>
    <w:rsid w:val="00BA2503"/>
    <w:rsid w:val="00BA2526"/>
    <w:rsid w:val="00BA2538"/>
    <w:rsid w:val="00BA25E8"/>
    <w:rsid w:val="00BA266A"/>
    <w:rsid w:val="00BA267D"/>
    <w:rsid w:val="00BA2747"/>
    <w:rsid w:val="00BA28B5"/>
    <w:rsid w:val="00BA29A8"/>
    <w:rsid w:val="00BA2A05"/>
    <w:rsid w:val="00BA2A3C"/>
    <w:rsid w:val="00BA2ACB"/>
    <w:rsid w:val="00BA2B06"/>
    <w:rsid w:val="00BA2B20"/>
    <w:rsid w:val="00BA2C9A"/>
    <w:rsid w:val="00BA2CCC"/>
    <w:rsid w:val="00BA2CD0"/>
    <w:rsid w:val="00BA2E48"/>
    <w:rsid w:val="00BA2EBA"/>
    <w:rsid w:val="00BA305A"/>
    <w:rsid w:val="00BA3087"/>
    <w:rsid w:val="00BA309B"/>
    <w:rsid w:val="00BA30C6"/>
    <w:rsid w:val="00BA30DB"/>
    <w:rsid w:val="00BA3186"/>
    <w:rsid w:val="00BA31B2"/>
    <w:rsid w:val="00BA31EA"/>
    <w:rsid w:val="00BA31FA"/>
    <w:rsid w:val="00BA3211"/>
    <w:rsid w:val="00BA3298"/>
    <w:rsid w:val="00BA3315"/>
    <w:rsid w:val="00BA3400"/>
    <w:rsid w:val="00BA3575"/>
    <w:rsid w:val="00BA361F"/>
    <w:rsid w:val="00BA3630"/>
    <w:rsid w:val="00BA366C"/>
    <w:rsid w:val="00BA36B6"/>
    <w:rsid w:val="00BA3748"/>
    <w:rsid w:val="00BA37E1"/>
    <w:rsid w:val="00BA384B"/>
    <w:rsid w:val="00BA388F"/>
    <w:rsid w:val="00BA396E"/>
    <w:rsid w:val="00BA39BA"/>
    <w:rsid w:val="00BA3A21"/>
    <w:rsid w:val="00BA3A60"/>
    <w:rsid w:val="00BA3A67"/>
    <w:rsid w:val="00BA3B17"/>
    <w:rsid w:val="00BA3B9E"/>
    <w:rsid w:val="00BA3BBA"/>
    <w:rsid w:val="00BA3BEA"/>
    <w:rsid w:val="00BA3C64"/>
    <w:rsid w:val="00BA3D2A"/>
    <w:rsid w:val="00BA3DF0"/>
    <w:rsid w:val="00BA3DFE"/>
    <w:rsid w:val="00BA3E98"/>
    <w:rsid w:val="00BA3EF2"/>
    <w:rsid w:val="00BA3EFE"/>
    <w:rsid w:val="00BA3F03"/>
    <w:rsid w:val="00BA3F27"/>
    <w:rsid w:val="00BA3FDC"/>
    <w:rsid w:val="00BA3FF1"/>
    <w:rsid w:val="00BA40BA"/>
    <w:rsid w:val="00BA411D"/>
    <w:rsid w:val="00BA4152"/>
    <w:rsid w:val="00BA41F5"/>
    <w:rsid w:val="00BA427F"/>
    <w:rsid w:val="00BA4281"/>
    <w:rsid w:val="00BA43DC"/>
    <w:rsid w:val="00BA43EF"/>
    <w:rsid w:val="00BA443A"/>
    <w:rsid w:val="00BA4470"/>
    <w:rsid w:val="00BA4497"/>
    <w:rsid w:val="00BA44B8"/>
    <w:rsid w:val="00BA44D8"/>
    <w:rsid w:val="00BA451D"/>
    <w:rsid w:val="00BA4530"/>
    <w:rsid w:val="00BA456D"/>
    <w:rsid w:val="00BA4583"/>
    <w:rsid w:val="00BA45A5"/>
    <w:rsid w:val="00BA45DF"/>
    <w:rsid w:val="00BA45F9"/>
    <w:rsid w:val="00BA4651"/>
    <w:rsid w:val="00BA467D"/>
    <w:rsid w:val="00BA46C5"/>
    <w:rsid w:val="00BA4749"/>
    <w:rsid w:val="00BA474C"/>
    <w:rsid w:val="00BA497A"/>
    <w:rsid w:val="00BA4A64"/>
    <w:rsid w:val="00BA4A8D"/>
    <w:rsid w:val="00BA4A90"/>
    <w:rsid w:val="00BA4ABA"/>
    <w:rsid w:val="00BA4AD6"/>
    <w:rsid w:val="00BA4B65"/>
    <w:rsid w:val="00BA4B9B"/>
    <w:rsid w:val="00BA4BFA"/>
    <w:rsid w:val="00BA4D90"/>
    <w:rsid w:val="00BA4DD4"/>
    <w:rsid w:val="00BA4EC5"/>
    <w:rsid w:val="00BA4FC7"/>
    <w:rsid w:val="00BA5068"/>
    <w:rsid w:val="00BA5112"/>
    <w:rsid w:val="00BA5128"/>
    <w:rsid w:val="00BA51C4"/>
    <w:rsid w:val="00BA5247"/>
    <w:rsid w:val="00BA526A"/>
    <w:rsid w:val="00BA5271"/>
    <w:rsid w:val="00BA52D0"/>
    <w:rsid w:val="00BA538B"/>
    <w:rsid w:val="00BA53AE"/>
    <w:rsid w:val="00BA5444"/>
    <w:rsid w:val="00BA5665"/>
    <w:rsid w:val="00BA566B"/>
    <w:rsid w:val="00BA5687"/>
    <w:rsid w:val="00BA56D1"/>
    <w:rsid w:val="00BA5780"/>
    <w:rsid w:val="00BA57AC"/>
    <w:rsid w:val="00BA57F5"/>
    <w:rsid w:val="00BA581D"/>
    <w:rsid w:val="00BA5845"/>
    <w:rsid w:val="00BA5859"/>
    <w:rsid w:val="00BA585B"/>
    <w:rsid w:val="00BA58C4"/>
    <w:rsid w:val="00BA590A"/>
    <w:rsid w:val="00BA59AC"/>
    <w:rsid w:val="00BA5A3F"/>
    <w:rsid w:val="00BA5A62"/>
    <w:rsid w:val="00BA5A73"/>
    <w:rsid w:val="00BA5BD2"/>
    <w:rsid w:val="00BA5C90"/>
    <w:rsid w:val="00BA5D28"/>
    <w:rsid w:val="00BA5E12"/>
    <w:rsid w:val="00BA5E52"/>
    <w:rsid w:val="00BA5E58"/>
    <w:rsid w:val="00BA5E64"/>
    <w:rsid w:val="00BA5F39"/>
    <w:rsid w:val="00BA6032"/>
    <w:rsid w:val="00BA6046"/>
    <w:rsid w:val="00BA620D"/>
    <w:rsid w:val="00BA636A"/>
    <w:rsid w:val="00BA6487"/>
    <w:rsid w:val="00BA65C3"/>
    <w:rsid w:val="00BA65E6"/>
    <w:rsid w:val="00BA6615"/>
    <w:rsid w:val="00BA670C"/>
    <w:rsid w:val="00BA671D"/>
    <w:rsid w:val="00BA677D"/>
    <w:rsid w:val="00BA678C"/>
    <w:rsid w:val="00BA67A8"/>
    <w:rsid w:val="00BA67AB"/>
    <w:rsid w:val="00BA67BE"/>
    <w:rsid w:val="00BA68D7"/>
    <w:rsid w:val="00BA69A5"/>
    <w:rsid w:val="00BA69BA"/>
    <w:rsid w:val="00BA6A97"/>
    <w:rsid w:val="00BA6AAC"/>
    <w:rsid w:val="00BA6ACB"/>
    <w:rsid w:val="00BA6B58"/>
    <w:rsid w:val="00BA6BDC"/>
    <w:rsid w:val="00BA6BF4"/>
    <w:rsid w:val="00BA6BFA"/>
    <w:rsid w:val="00BA6C00"/>
    <w:rsid w:val="00BA6C10"/>
    <w:rsid w:val="00BA6C62"/>
    <w:rsid w:val="00BA6CD6"/>
    <w:rsid w:val="00BA6FBC"/>
    <w:rsid w:val="00BA6FE6"/>
    <w:rsid w:val="00BA7021"/>
    <w:rsid w:val="00BA7061"/>
    <w:rsid w:val="00BA706A"/>
    <w:rsid w:val="00BA70DB"/>
    <w:rsid w:val="00BA70EE"/>
    <w:rsid w:val="00BA70F4"/>
    <w:rsid w:val="00BA70F7"/>
    <w:rsid w:val="00BA714D"/>
    <w:rsid w:val="00BA728D"/>
    <w:rsid w:val="00BA72CC"/>
    <w:rsid w:val="00BA7300"/>
    <w:rsid w:val="00BA7349"/>
    <w:rsid w:val="00BA7374"/>
    <w:rsid w:val="00BA7397"/>
    <w:rsid w:val="00BA739D"/>
    <w:rsid w:val="00BA7445"/>
    <w:rsid w:val="00BA74AF"/>
    <w:rsid w:val="00BA7506"/>
    <w:rsid w:val="00BA7556"/>
    <w:rsid w:val="00BA7584"/>
    <w:rsid w:val="00BA75ED"/>
    <w:rsid w:val="00BA760C"/>
    <w:rsid w:val="00BA7619"/>
    <w:rsid w:val="00BA762D"/>
    <w:rsid w:val="00BA764E"/>
    <w:rsid w:val="00BA767B"/>
    <w:rsid w:val="00BA7689"/>
    <w:rsid w:val="00BA7768"/>
    <w:rsid w:val="00BA7906"/>
    <w:rsid w:val="00BA7977"/>
    <w:rsid w:val="00BA7A3D"/>
    <w:rsid w:val="00BA7A42"/>
    <w:rsid w:val="00BA7E0F"/>
    <w:rsid w:val="00BA7EA4"/>
    <w:rsid w:val="00BA7F26"/>
    <w:rsid w:val="00BA7FA3"/>
    <w:rsid w:val="00BA7FD9"/>
    <w:rsid w:val="00BA7FDD"/>
    <w:rsid w:val="00BB0055"/>
    <w:rsid w:val="00BB00D5"/>
    <w:rsid w:val="00BB00F5"/>
    <w:rsid w:val="00BB010C"/>
    <w:rsid w:val="00BB0121"/>
    <w:rsid w:val="00BB0365"/>
    <w:rsid w:val="00BB0383"/>
    <w:rsid w:val="00BB03A7"/>
    <w:rsid w:val="00BB03FD"/>
    <w:rsid w:val="00BB0415"/>
    <w:rsid w:val="00BB0417"/>
    <w:rsid w:val="00BB0438"/>
    <w:rsid w:val="00BB0461"/>
    <w:rsid w:val="00BB0517"/>
    <w:rsid w:val="00BB053E"/>
    <w:rsid w:val="00BB0549"/>
    <w:rsid w:val="00BB0553"/>
    <w:rsid w:val="00BB0557"/>
    <w:rsid w:val="00BB05C9"/>
    <w:rsid w:val="00BB05CE"/>
    <w:rsid w:val="00BB0602"/>
    <w:rsid w:val="00BB06D0"/>
    <w:rsid w:val="00BB072A"/>
    <w:rsid w:val="00BB07B2"/>
    <w:rsid w:val="00BB07DA"/>
    <w:rsid w:val="00BB07DD"/>
    <w:rsid w:val="00BB080F"/>
    <w:rsid w:val="00BB087B"/>
    <w:rsid w:val="00BB08E3"/>
    <w:rsid w:val="00BB0975"/>
    <w:rsid w:val="00BB0A24"/>
    <w:rsid w:val="00BB0AA6"/>
    <w:rsid w:val="00BB0B69"/>
    <w:rsid w:val="00BB0BDF"/>
    <w:rsid w:val="00BB0C1A"/>
    <w:rsid w:val="00BB0C32"/>
    <w:rsid w:val="00BB0C3D"/>
    <w:rsid w:val="00BB0CCC"/>
    <w:rsid w:val="00BB0D7B"/>
    <w:rsid w:val="00BB0DFF"/>
    <w:rsid w:val="00BB0F02"/>
    <w:rsid w:val="00BB0F43"/>
    <w:rsid w:val="00BB0F52"/>
    <w:rsid w:val="00BB1040"/>
    <w:rsid w:val="00BB1045"/>
    <w:rsid w:val="00BB10A6"/>
    <w:rsid w:val="00BB10AC"/>
    <w:rsid w:val="00BB10F5"/>
    <w:rsid w:val="00BB1116"/>
    <w:rsid w:val="00BB1163"/>
    <w:rsid w:val="00BB116A"/>
    <w:rsid w:val="00BB11AE"/>
    <w:rsid w:val="00BB123D"/>
    <w:rsid w:val="00BB1279"/>
    <w:rsid w:val="00BB13B6"/>
    <w:rsid w:val="00BB141D"/>
    <w:rsid w:val="00BB1487"/>
    <w:rsid w:val="00BB14A1"/>
    <w:rsid w:val="00BB152A"/>
    <w:rsid w:val="00BB1539"/>
    <w:rsid w:val="00BB159E"/>
    <w:rsid w:val="00BB15AC"/>
    <w:rsid w:val="00BB15BC"/>
    <w:rsid w:val="00BB15D0"/>
    <w:rsid w:val="00BB1609"/>
    <w:rsid w:val="00BB160B"/>
    <w:rsid w:val="00BB164F"/>
    <w:rsid w:val="00BB181B"/>
    <w:rsid w:val="00BB18E9"/>
    <w:rsid w:val="00BB1A3E"/>
    <w:rsid w:val="00BB1A8C"/>
    <w:rsid w:val="00BB1ABA"/>
    <w:rsid w:val="00BB1AC0"/>
    <w:rsid w:val="00BB1AE5"/>
    <w:rsid w:val="00BB1AFE"/>
    <w:rsid w:val="00BB1C35"/>
    <w:rsid w:val="00BB1CAF"/>
    <w:rsid w:val="00BB1CB4"/>
    <w:rsid w:val="00BB1CBC"/>
    <w:rsid w:val="00BB1CDC"/>
    <w:rsid w:val="00BB1D2C"/>
    <w:rsid w:val="00BB1D72"/>
    <w:rsid w:val="00BB1DFB"/>
    <w:rsid w:val="00BB1E70"/>
    <w:rsid w:val="00BB1E89"/>
    <w:rsid w:val="00BB1F21"/>
    <w:rsid w:val="00BB1F9D"/>
    <w:rsid w:val="00BB1FA4"/>
    <w:rsid w:val="00BB200B"/>
    <w:rsid w:val="00BB2072"/>
    <w:rsid w:val="00BB213E"/>
    <w:rsid w:val="00BB214B"/>
    <w:rsid w:val="00BB215C"/>
    <w:rsid w:val="00BB2173"/>
    <w:rsid w:val="00BB22D6"/>
    <w:rsid w:val="00BB2327"/>
    <w:rsid w:val="00BB23B0"/>
    <w:rsid w:val="00BB23FD"/>
    <w:rsid w:val="00BB2442"/>
    <w:rsid w:val="00BB244F"/>
    <w:rsid w:val="00BB2494"/>
    <w:rsid w:val="00BB24D0"/>
    <w:rsid w:val="00BB2569"/>
    <w:rsid w:val="00BB25D3"/>
    <w:rsid w:val="00BB25E7"/>
    <w:rsid w:val="00BB26CE"/>
    <w:rsid w:val="00BB26D6"/>
    <w:rsid w:val="00BB26ED"/>
    <w:rsid w:val="00BB271C"/>
    <w:rsid w:val="00BB2793"/>
    <w:rsid w:val="00BB28F1"/>
    <w:rsid w:val="00BB29D8"/>
    <w:rsid w:val="00BB29FE"/>
    <w:rsid w:val="00BB2AAF"/>
    <w:rsid w:val="00BB2AD6"/>
    <w:rsid w:val="00BB2B05"/>
    <w:rsid w:val="00BB2BB3"/>
    <w:rsid w:val="00BB2BE3"/>
    <w:rsid w:val="00BB2CDD"/>
    <w:rsid w:val="00BB2D87"/>
    <w:rsid w:val="00BB2DB0"/>
    <w:rsid w:val="00BB2DC2"/>
    <w:rsid w:val="00BB2DD3"/>
    <w:rsid w:val="00BB2E39"/>
    <w:rsid w:val="00BB2EEB"/>
    <w:rsid w:val="00BB2F21"/>
    <w:rsid w:val="00BB31F9"/>
    <w:rsid w:val="00BB3237"/>
    <w:rsid w:val="00BB325D"/>
    <w:rsid w:val="00BB32B6"/>
    <w:rsid w:val="00BB3308"/>
    <w:rsid w:val="00BB330F"/>
    <w:rsid w:val="00BB3328"/>
    <w:rsid w:val="00BB3373"/>
    <w:rsid w:val="00BB3389"/>
    <w:rsid w:val="00BB3461"/>
    <w:rsid w:val="00BB3499"/>
    <w:rsid w:val="00BB34F3"/>
    <w:rsid w:val="00BB359E"/>
    <w:rsid w:val="00BB35A3"/>
    <w:rsid w:val="00BB363E"/>
    <w:rsid w:val="00BB3673"/>
    <w:rsid w:val="00BB36B4"/>
    <w:rsid w:val="00BB3781"/>
    <w:rsid w:val="00BB37A6"/>
    <w:rsid w:val="00BB380D"/>
    <w:rsid w:val="00BB382D"/>
    <w:rsid w:val="00BB387A"/>
    <w:rsid w:val="00BB387E"/>
    <w:rsid w:val="00BB3949"/>
    <w:rsid w:val="00BB394D"/>
    <w:rsid w:val="00BB3A33"/>
    <w:rsid w:val="00BB3B27"/>
    <w:rsid w:val="00BB3B6E"/>
    <w:rsid w:val="00BB3B8B"/>
    <w:rsid w:val="00BB3C38"/>
    <w:rsid w:val="00BB3C6A"/>
    <w:rsid w:val="00BB3D05"/>
    <w:rsid w:val="00BB3D51"/>
    <w:rsid w:val="00BB3D6D"/>
    <w:rsid w:val="00BB3D76"/>
    <w:rsid w:val="00BB3E0F"/>
    <w:rsid w:val="00BB3E8F"/>
    <w:rsid w:val="00BB3F48"/>
    <w:rsid w:val="00BB3FB0"/>
    <w:rsid w:val="00BB4027"/>
    <w:rsid w:val="00BB40A3"/>
    <w:rsid w:val="00BB4175"/>
    <w:rsid w:val="00BB4176"/>
    <w:rsid w:val="00BB419F"/>
    <w:rsid w:val="00BB4221"/>
    <w:rsid w:val="00BB4296"/>
    <w:rsid w:val="00BB42AF"/>
    <w:rsid w:val="00BB44E6"/>
    <w:rsid w:val="00BB4514"/>
    <w:rsid w:val="00BB454B"/>
    <w:rsid w:val="00BB4564"/>
    <w:rsid w:val="00BB46CD"/>
    <w:rsid w:val="00BB46D8"/>
    <w:rsid w:val="00BB4749"/>
    <w:rsid w:val="00BB476B"/>
    <w:rsid w:val="00BB4785"/>
    <w:rsid w:val="00BB480F"/>
    <w:rsid w:val="00BB4820"/>
    <w:rsid w:val="00BB488C"/>
    <w:rsid w:val="00BB48B9"/>
    <w:rsid w:val="00BB4924"/>
    <w:rsid w:val="00BB49A1"/>
    <w:rsid w:val="00BB4C6A"/>
    <w:rsid w:val="00BB4DA0"/>
    <w:rsid w:val="00BB4DEE"/>
    <w:rsid w:val="00BB4E4B"/>
    <w:rsid w:val="00BB4E7C"/>
    <w:rsid w:val="00BB4F1D"/>
    <w:rsid w:val="00BB4FA2"/>
    <w:rsid w:val="00BB5063"/>
    <w:rsid w:val="00BB5092"/>
    <w:rsid w:val="00BB5165"/>
    <w:rsid w:val="00BB51E4"/>
    <w:rsid w:val="00BB51F8"/>
    <w:rsid w:val="00BB52AC"/>
    <w:rsid w:val="00BB52B5"/>
    <w:rsid w:val="00BB5320"/>
    <w:rsid w:val="00BB5374"/>
    <w:rsid w:val="00BB5378"/>
    <w:rsid w:val="00BB5471"/>
    <w:rsid w:val="00BB5490"/>
    <w:rsid w:val="00BB54B0"/>
    <w:rsid w:val="00BB54B9"/>
    <w:rsid w:val="00BB54EF"/>
    <w:rsid w:val="00BB550F"/>
    <w:rsid w:val="00BB5531"/>
    <w:rsid w:val="00BB5656"/>
    <w:rsid w:val="00BB570E"/>
    <w:rsid w:val="00BB577D"/>
    <w:rsid w:val="00BB577E"/>
    <w:rsid w:val="00BB580E"/>
    <w:rsid w:val="00BB582A"/>
    <w:rsid w:val="00BB5886"/>
    <w:rsid w:val="00BB589A"/>
    <w:rsid w:val="00BB58D8"/>
    <w:rsid w:val="00BB591E"/>
    <w:rsid w:val="00BB5960"/>
    <w:rsid w:val="00BB59D6"/>
    <w:rsid w:val="00BB5A09"/>
    <w:rsid w:val="00BB5A2E"/>
    <w:rsid w:val="00BB5AEE"/>
    <w:rsid w:val="00BB5B9E"/>
    <w:rsid w:val="00BB5BBB"/>
    <w:rsid w:val="00BB5C32"/>
    <w:rsid w:val="00BB5C5D"/>
    <w:rsid w:val="00BB5C81"/>
    <w:rsid w:val="00BB5D78"/>
    <w:rsid w:val="00BB5D8D"/>
    <w:rsid w:val="00BB5DA5"/>
    <w:rsid w:val="00BB5DBC"/>
    <w:rsid w:val="00BB5E2E"/>
    <w:rsid w:val="00BB5E37"/>
    <w:rsid w:val="00BB5E6D"/>
    <w:rsid w:val="00BB5EB6"/>
    <w:rsid w:val="00BB5F07"/>
    <w:rsid w:val="00BB5F09"/>
    <w:rsid w:val="00BB5FC2"/>
    <w:rsid w:val="00BB5FF0"/>
    <w:rsid w:val="00BB60E1"/>
    <w:rsid w:val="00BB60E2"/>
    <w:rsid w:val="00BB61F5"/>
    <w:rsid w:val="00BB622A"/>
    <w:rsid w:val="00BB62BC"/>
    <w:rsid w:val="00BB62C5"/>
    <w:rsid w:val="00BB630E"/>
    <w:rsid w:val="00BB636B"/>
    <w:rsid w:val="00BB655B"/>
    <w:rsid w:val="00BB6564"/>
    <w:rsid w:val="00BB65A0"/>
    <w:rsid w:val="00BB65C2"/>
    <w:rsid w:val="00BB672E"/>
    <w:rsid w:val="00BB67F6"/>
    <w:rsid w:val="00BB687A"/>
    <w:rsid w:val="00BB6976"/>
    <w:rsid w:val="00BB6AEA"/>
    <w:rsid w:val="00BB6BC4"/>
    <w:rsid w:val="00BB6C30"/>
    <w:rsid w:val="00BB6CF6"/>
    <w:rsid w:val="00BB6D26"/>
    <w:rsid w:val="00BB6EA3"/>
    <w:rsid w:val="00BB6EEE"/>
    <w:rsid w:val="00BB6F20"/>
    <w:rsid w:val="00BB6F51"/>
    <w:rsid w:val="00BB6F5C"/>
    <w:rsid w:val="00BB6FAD"/>
    <w:rsid w:val="00BB700B"/>
    <w:rsid w:val="00BB701F"/>
    <w:rsid w:val="00BB70A4"/>
    <w:rsid w:val="00BB7136"/>
    <w:rsid w:val="00BB720D"/>
    <w:rsid w:val="00BB7230"/>
    <w:rsid w:val="00BB73B1"/>
    <w:rsid w:val="00BB73C0"/>
    <w:rsid w:val="00BB7453"/>
    <w:rsid w:val="00BB752D"/>
    <w:rsid w:val="00BB75C8"/>
    <w:rsid w:val="00BB761C"/>
    <w:rsid w:val="00BB7696"/>
    <w:rsid w:val="00BB76A6"/>
    <w:rsid w:val="00BB76E2"/>
    <w:rsid w:val="00BB770A"/>
    <w:rsid w:val="00BB7754"/>
    <w:rsid w:val="00BB77FF"/>
    <w:rsid w:val="00BB780F"/>
    <w:rsid w:val="00BB783E"/>
    <w:rsid w:val="00BB7943"/>
    <w:rsid w:val="00BB7967"/>
    <w:rsid w:val="00BB796D"/>
    <w:rsid w:val="00BB79A3"/>
    <w:rsid w:val="00BB79F8"/>
    <w:rsid w:val="00BB7A17"/>
    <w:rsid w:val="00BB7AEC"/>
    <w:rsid w:val="00BB7B16"/>
    <w:rsid w:val="00BB7BBE"/>
    <w:rsid w:val="00BB7C8C"/>
    <w:rsid w:val="00BB7D01"/>
    <w:rsid w:val="00BB7D18"/>
    <w:rsid w:val="00BB7E1C"/>
    <w:rsid w:val="00BB7EE3"/>
    <w:rsid w:val="00BB7F20"/>
    <w:rsid w:val="00BB7F2F"/>
    <w:rsid w:val="00BB7F4A"/>
    <w:rsid w:val="00BC017C"/>
    <w:rsid w:val="00BC028A"/>
    <w:rsid w:val="00BC02DD"/>
    <w:rsid w:val="00BC02F7"/>
    <w:rsid w:val="00BC03E2"/>
    <w:rsid w:val="00BC04D0"/>
    <w:rsid w:val="00BC05DD"/>
    <w:rsid w:val="00BC0662"/>
    <w:rsid w:val="00BC06DF"/>
    <w:rsid w:val="00BC07A4"/>
    <w:rsid w:val="00BC084A"/>
    <w:rsid w:val="00BC0985"/>
    <w:rsid w:val="00BC09B1"/>
    <w:rsid w:val="00BC0AC8"/>
    <w:rsid w:val="00BC0B03"/>
    <w:rsid w:val="00BC0B07"/>
    <w:rsid w:val="00BC0B8E"/>
    <w:rsid w:val="00BC0BF9"/>
    <w:rsid w:val="00BC0C0F"/>
    <w:rsid w:val="00BC0CDC"/>
    <w:rsid w:val="00BC0DA1"/>
    <w:rsid w:val="00BC0DBB"/>
    <w:rsid w:val="00BC0DFB"/>
    <w:rsid w:val="00BC0E41"/>
    <w:rsid w:val="00BC0EA4"/>
    <w:rsid w:val="00BC0F0A"/>
    <w:rsid w:val="00BC0F47"/>
    <w:rsid w:val="00BC0FEC"/>
    <w:rsid w:val="00BC1009"/>
    <w:rsid w:val="00BC103F"/>
    <w:rsid w:val="00BC10C9"/>
    <w:rsid w:val="00BC1174"/>
    <w:rsid w:val="00BC1225"/>
    <w:rsid w:val="00BC12D5"/>
    <w:rsid w:val="00BC137A"/>
    <w:rsid w:val="00BC13AC"/>
    <w:rsid w:val="00BC13BA"/>
    <w:rsid w:val="00BC1421"/>
    <w:rsid w:val="00BC1451"/>
    <w:rsid w:val="00BC1589"/>
    <w:rsid w:val="00BC163C"/>
    <w:rsid w:val="00BC166A"/>
    <w:rsid w:val="00BC1702"/>
    <w:rsid w:val="00BC17F5"/>
    <w:rsid w:val="00BC1806"/>
    <w:rsid w:val="00BC191A"/>
    <w:rsid w:val="00BC1970"/>
    <w:rsid w:val="00BC1978"/>
    <w:rsid w:val="00BC19BA"/>
    <w:rsid w:val="00BC19E9"/>
    <w:rsid w:val="00BC1AE8"/>
    <w:rsid w:val="00BC1B12"/>
    <w:rsid w:val="00BC1B2D"/>
    <w:rsid w:val="00BC1C3D"/>
    <w:rsid w:val="00BC1C52"/>
    <w:rsid w:val="00BC1C9C"/>
    <w:rsid w:val="00BC1D34"/>
    <w:rsid w:val="00BC1DD0"/>
    <w:rsid w:val="00BC1E59"/>
    <w:rsid w:val="00BC1EC3"/>
    <w:rsid w:val="00BC1F2D"/>
    <w:rsid w:val="00BC1F45"/>
    <w:rsid w:val="00BC1F5C"/>
    <w:rsid w:val="00BC1F6D"/>
    <w:rsid w:val="00BC1F82"/>
    <w:rsid w:val="00BC204E"/>
    <w:rsid w:val="00BC206A"/>
    <w:rsid w:val="00BC20D9"/>
    <w:rsid w:val="00BC218C"/>
    <w:rsid w:val="00BC23A2"/>
    <w:rsid w:val="00BC241F"/>
    <w:rsid w:val="00BC242E"/>
    <w:rsid w:val="00BC2471"/>
    <w:rsid w:val="00BC271E"/>
    <w:rsid w:val="00BC27C1"/>
    <w:rsid w:val="00BC281E"/>
    <w:rsid w:val="00BC28A6"/>
    <w:rsid w:val="00BC28E6"/>
    <w:rsid w:val="00BC29A7"/>
    <w:rsid w:val="00BC2A49"/>
    <w:rsid w:val="00BC2A4B"/>
    <w:rsid w:val="00BC2B3C"/>
    <w:rsid w:val="00BC2B62"/>
    <w:rsid w:val="00BC2BE7"/>
    <w:rsid w:val="00BC2C2D"/>
    <w:rsid w:val="00BC2C64"/>
    <w:rsid w:val="00BC2C67"/>
    <w:rsid w:val="00BC2C8B"/>
    <w:rsid w:val="00BC2CBE"/>
    <w:rsid w:val="00BC2D25"/>
    <w:rsid w:val="00BC2DF6"/>
    <w:rsid w:val="00BC2E6F"/>
    <w:rsid w:val="00BC2F07"/>
    <w:rsid w:val="00BC2F12"/>
    <w:rsid w:val="00BC2FA1"/>
    <w:rsid w:val="00BC2FA4"/>
    <w:rsid w:val="00BC2FC6"/>
    <w:rsid w:val="00BC2FF5"/>
    <w:rsid w:val="00BC30F0"/>
    <w:rsid w:val="00BC3103"/>
    <w:rsid w:val="00BC310B"/>
    <w:rsid w:val="00BC317A"/>
    <w:rsid w:val="00BC31A6"/>
    <w:rsid w:val="00BC327C"/>
    <w:rsid w:val="00BC32E8"/>
    <w:rsid w:val="00BC3375"/>
    <w:rsid w:val="00BC3466"/>
    <w:rsid w:val="00BC34E2"/>
    <w:rsid w:val="00BC35EC"/>
    <w:rsid w:val="00BC368E"/>
    <w:rsid w:val="00BC372A"/>
    <w:rsid w:val="00BC3730"/>
    <w:rsid w:val="00BC37A2"/>
    <w:rsid w:val="00BC384D"/>
    <w:rsid w:val="00BC385A"/>
    <w:rsid w:val="00BC38AD"/>
    <w:rsid w:val="00BC3955"/>
    <w:rsid w:val="00BC39B0"/>
    <w:rsid w:val="00BC3B53"/>
    <w:rsid w:val="00BC3B7A"/>
    <w:rsid w:val="00BC3BF5"/>
    <w:rsid w:val="00BC3BF7"/>
    <w:rsid w:val="00BC3C46"/>
    <w:rsid w:val="00BC3CC6"/>
    <w:rsid w:val="00BC3D9E"/>
    <w:rsid w:val="00BC3D9F"/>
    <w:rsid w:val="00BC3DFD"/>
    <w:rsid w:val="00BC3E17"/>
    <w:rsid w:val="00BC3E2B"/>
    <w:rsid w:val="00BC3E9C"/>
    <w:rsid w:val="00BC3EB4"/>
    <w:rsid w:val="00BC3F7F"/>
    <w:rsid w:val="00BC3FAB"/>
    <w:rsid w:val="00BC3FC8"/>
    <w:rsid w:val="00BC3FF9"/>
    <w:rsid w:val="00BC40BA"/>
    <w:rsid w:val="00BC40D8"/>
    <w:rsid w:val="00BC4176"/>
    <w:rsid w:val="00BC427A"/>
    <w:rsid w:val="00BC42EA"/>
    <w:rsid w:val="00BC42FC"/>
    <w:rsid w:val="00BC4313"/>
    <w:rsid w:val="00BC4378"/>
    <w:rsid w:val="00BC43A1"/>
    <w:rsid w:val="00BC4440"/>
    <w:rsid w:val="00BC445C"/>
    <w:rsid w:val="00BC445D"/>
    <w:rsid w:val="00BC4488"/>
    <w:rsid w:val="00BC4490"/>
    <w:rsid w:val="00BC45E8"/>
    <w:rsid w:val="00BC463C"/>
    <w:rsid w:val="00BC4679"/>
    <w:rsid w:val="00BC4727"/>
    <w:rsid w:val="00BC4806"/>
    <w:rsid w:val="00BC4883"/>
    <w:rsid w:val="00BC48C0"/>
    <w:rsid w:val="00BC48EB"/>
    <w:rsid w:val="00BC4961"/>
    <w:rsid w:val="00BC49BB"/>
    <w:rsid w:val="00BC4AE1"/>
    <w:rsid w:val="00BC4CF2"/>
    <w:rsid w:val="00BC4D7D"/>
    <w:rsid w:val="00BC4E25"/>
    <w:rsid w:val="00BC4F57"/>
    <w:rsid w:val="00BC4F97"/>
    <w:rsid w:val="00BC4FC3"/>
    <w:rsid w:val="00BC4FE4"/>
    <w:rsid w:val="00BC4FFB"/>
    <w:rsid w:val="00BC505B"/>
    <w:rsid w:val="00BC516B"/>
    <w:rsid w:val="00BC5171"/>
    <w:rsid w:val="00BC523E"/>
    <w:rsid w:val="00BC5258"/>
    <w:rsid w:val="00BC5315"/>
    <w:rsid w:val="00BC5327"/>
    <w:rsid w:val="00BC5345"/>
    <w:rsid w:val="00BC53C4"/>
    <w:rsid w:val="00BC5436"/>
    <w:rsid w:val="00BC5446"/>
    <w:rsid w:val="00BC546D"/>
    <w:rsid w:val="00BC54B0"/>
    <w:rsid w:val="00BC55C5"/>
    <w:rsid w:val="00BC5617"/>
    <w:rsid w:val="00BC5620"/>
    <w:rsid w:val="00BC5646"/>
    <w:rsid w:val="00BC5651"/>
    <w:rsid w:val="00BC5684"/>
    <w:rsid w:val="00BC56C3"/>
    <w:rsid w:val="00BC56D1"/>
    <w:rsid w:val="00BC5721"/>
    <w:rsid w:val="00BC573D"/>
    <w:rsid w:val="00BC57EB"/>
    <w:rsid w:val="00BC5853"/>
    <w:rsid w:val="00BC58C6"/>
    <w:rsid w:val="00BC58DC"/>
    <w:rsid w:val="00BC59FA"/>
    <w:rsid w:val="00BC5AF3"/>
    <w:rsid w:val="00BC5B3E"/>
    <w:rsid w:val="00BC5BE0"/>
    <w:rsid w:val="00BC5C17"/>
    <w:rsid w:val="00BC5C5A"/>
    <w:rsid w:val="00BC5C5D"/>
    <w:rsid w:val="00BC5CD1"/>
    <w:rsid w:val="00BC5D0E"/>
    <w:rsid w:val="00BC5D3A"/>
    <w:rsid w:val="00BC5D3D"/>
    <w:rsid w:val="00BC5D43"/>
    <w:rsid w:val="00BC5D45"/>
    <w:rsid w:val="00BC5E5A"/>
    <w:rsid w:val="00BC5EB0"/>
    <w:rsid w:val="00BC5EC2"/>
    <w:rsid w:val="00BC5F22"/>
    <w:rsid w:val="00BC5F71"/>
    <w:rsid w:val="00BC5F8D"/>
    <w:rsid w:val="00BC603B"/>
    <w:rsid w:val="00BC6076"/>
    <w:rsid w:val="00BC6266"/>
    <w:rsid w:val="00BC62B0"/>
    <w:rsid w:val="00BC639D"/>
    <w:rsid w:val="00BC63CE"/>
    <w:rsid w:val="00BC641D"/>
    <w:rsid w:val="00BC657E"/>
    <w:rsid w:val="00BC65AB"/>
    <w:rsid w:val="00BC6675"/>
    <w:rsid w:val="00BC66CC"/>
    <w:rsid w:val="00BC66D6"/>
    <w:rsid w:val="00BC66DF"/>
    <w:rsid w:val="00BC6747"/>
    <w:rsid w:val="00BC675E"/>
    <w:rsid w:val="00BC67F1"/>
    <w:rsid w:val="00BC67FB"/>
    <w:rsid w:val="00BC684A"/>
    <w:rsid w:val="00BC6884"/>
    <w:rsid w:val="00BC699C"/>
    <w:rsid w:val="00BC69A6"/>
    <w:rsid w:val="00BC69F4"/>
    <w:rsid w:val="00BC69FF"/>
    <w:rsid w:val="00BC6A81"/>
    <w:rsid w:val="00BC6B14"/>
    <w:rsid w:val="00BC6B6D"/>
    <w:rsid w:val="00BC6B84"/>
    <w:rsid w:val="00BC6BB7"/>
    <w:rsid w:val="00BC6C2D"/>
    <w:rsid w:val="00BC6CB0"/>
    <w:rsid w:val="00BC6CC8"/>
    <w:rsid w:val="00BC6D23"/>
    <w:rsid w:val="00BC6DD1"/>
    <w:rsid w:val="00BC6E1E"/>
    <w:rsid w:val="00BC6E33"/>
    <w:rsid w:val="00BC6EEA"/>
    <w:rsid w:val="00BC6EF9"/>
    <w:rsid w:val="00BC6F5B"/>
    <w:rsid w:val="00BC6F5C"/>
    <w:rsid w:val="00BC6FEA"/>
    <w:rsid w:val="00BC6FF3"/>
    <w:rsid w:val="00BC7023"/>
    <w:rsid w:val="00BC7061"/>
    <w:rsid w:val="00BC708B"/>
    <w:rsid w:val="00BC70A7"/>
    <w:rsid w:val="00BC70D2"/>
    <w:rsid w:val="00BC70E2"/>
    <w:rsid w:val="00BC71C9"/>
    <w:rsid w:val="00BC71F3"/>
    <w:rsid w:val="00BC7273"/>
    <w:rsid w:val="00BC7274"/>
    <w:rsid w:val="00BC728E"/>
    <w:rsid w:val="00BC72AF"/>
    <w:rsid w:val="00BC72D0"/>
    <w:rsid w:val="00BC72DA"/>
    <w:rsid w:val="00BC72F1"/>
    <w:rsid w:val="00BC7302"/>
    <w:rsid w:val="00BC7316"/>
    <w:rsid w:val="00BC743F"/>
    <w:rsid w:val="00BC74B6"/>
    <w:rsid w:val="00BC7569"/>
    <w:rsid w:val="00BC758F"/>
    <w:rsid w:val="00BC765E"/>
    <w:rsid w:val="00BC7697"/>
    <w:rsid w:val="00BC76DB"/>
    <w:rsid w:val="00BC7753"/>
    <w:rsid w:val="00BC777C"/>
    <w:rsid w:val="00BC77DF"/>
    <w:rsid w:val="00BC7818"/>
    <w:rsid w:val="00BC7827"/>
    <w:rsid w:val="00BC7831"/>
    <w:rsid w:val="00BC785B"/>
    <w:rsid w:val="00BC7867"/>
    <w:rsid w:val="00BC7899"/>
    <w:rsid w:val="00BC7A11"/>
    <w:rsid w:val="00BC7A4F"/>
    <w:rsid w:val="00BC7A6C"/>
    <w:rsid w:val="00BC7A72"/>
    <w:rsid w:val="00BC7A74"/>
    <w:rsid w:val="00BC7AAB"/>
    <w:rsid w:val="00BC7AD7"/>
    <w:rsid w:val="00BC7C2D"/>
    <w:rsid w:val="00BC7C3A"/>
    <w:rsid w:val="00BC7C93"/>
    <w:rsid w:val="00BC7D1D"/>
    <w:rsid w:val="00BC7D20"/>
    <w:rsid w:val="00BC7D30"/>
    <w:rsid w:val="00BC7DA9"/>
    <w:rsid w:val="00BC7E24"/>
    <w:rsid w:val="00BC7E30"/>
    <w:rsid w:val="00BC7E42"/>
    <w:rsid w:val="00BC7E53"/>
    <w:rsid w:val="00BC7EFF"/>
    <w:rsid w:val="00BD0288"/>
    <w:rsid w:val="00BD02BE"/>
    <w:rsid w:val="00BD02DF"/>
    <w:rsid w:val="00BD0334"/>
    <w:rsid w:val="00BD0344"/>
    <w:rsid w:val="00BD0357"/>
    <w:rsid w:val="00BD0396"/>
    <w:rsid w:val="00BD03AB"/>
    <w:rsid w:val="00BD03AF"/>
    <w:rsid w:val="00BD03D0"/>
    <w:rsid w:val="00BD0457"/>
    <w:rsid w:val="00BD04BD"/>
    <w:rsid w:val="00BD04C4"/>
    <w:rsid w:val="00BD04CE"/>
    <w:rsid w:val="00BD0569"/>
    <w:rsid w:val="00BD0624"/>
    <w:rsid w:val="00BD067D"/>
    <w:rsid w:val="00BD06DE"/>
    <w:rsid w:val="00BD071F"/>
    <w:rsid w:val="00BD0772"/>
    <w:rsid w:val="00BD077E"/>
    <w:rsid w:val="00BD0784"/>
    <w:rsid w:val="00BD07A4"/>
    <w:rsid w:val="00BD07F2"/>
    <w:rsid w:val="00BD07F4"/>
    <w:rsid w:val="00BD0A31"/>
    <w:rsid w:val="00BD0A4C"/>
    <w:rsid w:val="00BD0B4C"/>
    <w:rsid w:val="00BD0C66"/>
    <w:rsid w:val="00BD0CCF"/>
    <w:rsid w:val="00BD0CD1"/>
    <w:rsid w:val="00BD0CF3"/>
    <w:rsid w:val="00BD0D45"/>
    <w:rsid w:val="00BD0D5C"/>
    <w:rsid w:val="00BD0D8A"/>
    <w:rsid w:val="00BD0D90"/>
    <w:rsid w:val="00BD0DB0"/>
    <w:rsid w:val="00BD0E47"/>
    <w:rsid w:val="00BD0EDE"/>
    <w:rsid w:val="00BD0F1D"/>
    <w:rsid w:val="00BD0F27"/>
    <w:rsid w:val="00BD0F28"/>
    <w:rsid w:val="00BD0F87"/>
    <w:rsid w:val="00BD0FCC"/>
    <w:rsid w:val="00BD109E"/>
    <w:rsid w:val="00BD109F"/>
    <w:rsid w:val="00BD10F4"/>
    <w:rsid w:val="00BD110D"/>
    <w:rsid w:val="00BD1154"/>
    <w:rsid w:val="00BD1175"/>
    <w:rsid w:val="00BD117D"/>
    <w:rsid w:val="00BD118A"/>
    <w:rsid w:val="00BD11C7"/>
    <w:rsid w:val="00BD1278"/>
    <w:rsid w:val="00BD12AE"/>
    <w:rsid w:val="00BD12D2"/>
    <w:rsid w:val="00BD14B0"/>
    <w:rsid w:val="00BD14B6"/>
    <w:rsid w:val="00BD14D4"/>
    <w:rsid w:val="00BD153D"/>
    <w:rsid w:val="00BD1543"/>
    <w:rsid w:val="00BD159B"/>
    <w:rsid w:val="00BD159C"/>
    <w:rsid w:val="00BD15D4"/>
    <w:rsid w:val="00BD15E0"/>
    <w:rsid w:val="00BD1632"/>
    <w:rsid w:val="00BD1665"/>
    <w:rsid w:val="00BD16CD"/>
    <w:rsid w:val="00BD1775"/>
    <w:rsid w:val="00BD17C3"/>
    <w:rsid w:val="00BD17CA"/>
    <w:rsid w:val="00BD17D9"/>
    <w:rsid w:val="00BD17EF"/>
    <w:rsid w:val="00BD1870"/>
    <w:rsid w:val="00BD18F0"/>
    <w:rsid w:val="00BD190B"/>
    <w:rsid w:val="00BD19D0"/>
    <w:rsid w:val="00BD19D5"/>
    <w:rsid w:val="00BD1A1E"/>
    <w:rsid w:val="00BD1A1F"/>
    <w:rsid w:val="00BD1A25"/>
    <w:rsid w:val="00BD1A43"/>
    <w:rsid w:val="00BD1AFE"/>
    <w:rsid w:val="00BD1B88"/>
    <w:rsid w:val="00BD1B9D"/>
    <w:rsid w:val="00BD1B9F"/>
    <w:rsid w:val="00BD1BB6"/>
    <w:rsid w:val="00BD1BD3"/>
    <w:rsid w:val="00BD1CA1"/>
    <w:rsid w:val="00BD1D7C"/>
    <w:rsid w:val="00BD1D84"/>
    <w:rsid w:val="00BD1DF1"/>
    <w:rsid w:val="00BD1E01"/>
    <w:rsid w:val="00BD1E51"/>
    <w:rsid w:val="00BD1E82"/>
    <w:rsid w:val="00BD1EE6"/>
    <w:rsid w:val="00BD1F1B"/>
    <w:rsid w:val="00BD1F29"/>
    <w:rsid w:val="00BD1F50"/>
    <w:rsid w:val="00BD208A"/>
    <w:rsid w:val="00BD21D5"/>
    <w:rsid w:val="00BD229D"/>
    <w:rsid w:val="00BD2313"/>
    <w:rsid w:val="00BD23E9"/>
    <w:rsid w:val="00BD2420"/>
    <w:rsid w:val="00BD24C9"/>
    <w:rsid w:val="00BD2501"/>
    <w:rsid w:val="00BD2583"/>
    <w:rsid w:val="00BD25B5"/>
    <w:rsid w:val="00BD25EC"/>
    <w:rsid w:val="00BD25FB"/>
    <w:rsid w:val="00BD2600"/>
    <w:rsid w:val="00BD2640"/>
    <w:rsid w:val="00BD27BA"/>
    <w:rsid w:val="00BD286E"/>
    <w:rsid w:val="00BD2A0E"/>
    <w:rsid w:val="00BD2BC6"/>
    <w:rsid w:val="00BD2BCC"/>
    <w:rsid w:val="00BD2CAE"/>
    <w:rsid w:val="00BD2E09"/>
    <w:rsid w:val="00BD2E34"/>
    <w:rsid w:val="00BD2E52"/>
    <w:rsid w:val="00BD2F21"/>
    <w:rsid w:val="00BD2F28"/>
    <w:rsid w:val="00BD2F83"/>
    <w:rsid w:val="00BD30B3"/>
    <w:rsid w:val="00BD3136"/>
    <w:rsid w:val="00BD31C3"/>
    <w:rsid w:val="00BD327A"/>
    <w:rsid w:val="00BD32A9"/>
    <w:rsid w:val="00BD3328"/>
    <w:rsid w:val="00BD3330"/>
    <w:rsid w:val="00BD3347"/>
    <w:rsid w:val="00BD3386"/>
    <w:rsid w:val="00BD339D"/>
    <w:rsid w:val="00BD33E7"/>
    <w:rsid w:val="00BD35A4"/>
    <w:rsid w:val="00BD35D7"/>
    <w:rsid w:val="00BD35EC"/>
    <w:rsid w:val="00BD361D"/>
    <w:rsid w:val="00BD3655"/>
    <w:rsid w:val="00BD3714"/>
    <w:rsid w:val="00BD388B"/>
    <w:rsid w:val="00BD3891"/>
    <w:rsid w:val="00BD38CA"/>
    <w:rsid w:val="00BD393A"/>
    <w:rsid w:val="00BD396D"/>
    <w:rsid w:val="00BD39C5"/>
    <w:rsid w:val="00BD3A0A"/>
    <w:rsid w:val="00BD3A34"/>
    <w:rsid w:val="00BD3A45"/>
    <w:rsid w:val="00BD3A56"/>
    <w:rsid w:val="00BD3B47"/>
    <w:rsid w:val="00BD3BB0"/>
    <w:rsid w:val="00BD3C0B"/>
    <w:rsid w:val="00BD3C17"/>
    <w:rsid w:val="00BD3CF1"/>
    <w:rsid w:val="00BD3DCC"/>
    <w:rsid w:val="00BD3E6D"/>
    <w:rsid w:val="00BD3E78"/>
    <w:rsid w:val="00BD3EBC"/>
    <w:rsid w:val="00BD3ED4"/>
    <w:rsid w:val="00BD3F22"/>
    <w:rsid w:val="00BD3F38"/>
    <w:rsid w:val="00BD400E"/>
    <w:rsid w:val="00BD401E"/>
    <w:rsid w:val="00BD40FC"/>
    <w:rsid w:val="00BD41B4"/>
    <w:rsid w:val="00BD4293"/>
    <w:rsid w:val="00BD42C5"/>
    <w:rsid w:val="00BD42FE"/>
    <w:rsid w:val="00BD4392"/>
    <w:rsid w:val="00BD439D"/>
    <w:rsid w:val="00BD43B8"/>
    <w:rsid w:val="00BD4485"/>
    <w:rsid w:val="00BD448B"/>
    <w:rsid w:val="00BD44C1"/>
    <w:rsid w:val="00BD4572"/>
    <w:rsid w:val="00BD45CA"/>
    <w:rsid w:val="00BD45DE"/>
    <w:rsid w:val="00BD461A"/>
    <w:rsid w:val="00BD465E"/>
    <w:rsid w:val="00BD4719"/>
    <w:rsid w:val="00BD473C"/>
    <w:rsid w:val="00BD47E2"/>
    <w:rsid w:val="00BD4836"/>
    <w:rsid w:val="00BD48B1"/>
    <w:rsid w:val="00BD48CB"/>
    <w:rsid w:val="00BD49A8"/>
    <w:rsid w:val="00BD49B4"/>
    <w:rsid w:val="00BD49B5"/>
    <w:rsid w:val="00BD49BE"/>
    <w:rsid w:val="00BD49F0"/>
    <w:rsid w:val="00BD4A28"/>
    <w:rsid w:val="00BD4A87"/>
    <w:rsid w:val="00BD4B03"/>
    <w:rsid w:val="00BD4B34"/>
    <w:rsid w:val="00BD4B7C"/>
    <w:rsid w:val="00BD4C5A"/>
    <w:rsid w:val="00BD4C88"/>
    <w:rsid w:val="00BD4CA9"/>
    <w:rsid w:val="00BD4CD4"/>
    <w:rsid w:val="00BD4CE8"/>
    <w:rsid w:val="00BD4DB4"/>
    <w:rsid w:val="00BD4E95"/>
    <w:rsid w:val="00BD4EC4"/>
    <w:rsid w:val="00BD4EE2"/>
    <w:rsid w:val="00BD4F2D"/>
    <w:rsid w:val="00BD4FBB"/>
    <w:rsid w:val="00BD501F"/>
    <w:rsid w:val="00BD50B8"/>
    <w:rsid w:val="00BD5107"/>
    <w:rsid w:val="00BD51C6"/>
    <w:rsid w:val="00BD5224"/>
    <w:rsid w:val="00BD522D"/>
    <w:rsid w:val="00BD5230"/>
    <w:rsid w:val="00BD532F"/>
    <w:rsid w:val="00BD5381"/>
    <w:rsid w:val="00BD538D"/>
    <w:rsid w:val="00BD5471"/>
    <w:rsid w:val="00BD5578"/>
    <w:rsid w:val="00BD56A6"/>
    <w:rsid w:val="00BD56AF"/>
    <w:rsid w:val="00BD56BE"/>
    <w:rsid w:val="00BD5931"/>
    <w:rsid w:val="00BD599C"/>
    <w:rsid w:val="00BD59EC"/>
    <w:rsid w:val="00BD5A93"/>
    <w:rsid w:val="00BD5B5B"/>
    <w:rsid w:val="00BD5B77"/>
    <w:rsid w:val="00BD5BF1"/>
    <w:rsid w:val="00BD5C2D"/>
    <w:rsid w:val="00BD5D1A"/>
    <w:rsid w:val="00BD5DE5"/>
    <w:rsid w:val="00BD5E4D"/>
    <w:rsid w:val="00BD5E84"/>
    <w:rsid w:val="00BD5EC3"/>
    <w:rsid w:val="00BD5F6E"/>
    <w:rsid w:val="00BD5FA2"/>
    <w:rsid w:val="00BD5FB3"/>
    <w:rsid w:val="00BD607F"/>
    <w:rsid w:val="00BD6165"/>
    <w:rsid w:val="00BD618E"/>
    <w:rsid w:val="00BD61CB"/>
    <w:rsid w:val="00BD61EC"/>
    <w:rsid w:val="00BD61EF"/>
    <w:rsid w:val="00BD6213"/>
    <w:rsid w:val="00BD6364"/>
    <w:rsid w:val="00BD6371"/>
    <w:rsid w:val="00BD637B"/>
    <w:rsid w:val="00BD6535"/>
    <w:rsid w:val="00BD656E"/>
    <w:rsid w:val="00BD663F"/>
    <w:rsid w:val="00BD6697"/>
    <w:rsid w:val="00BD66A9"/>
    <w:rsid w:val="00BD66DC"/>
    <w:rsid w:val="00BD67AF"/>
    <w:rsid w:val="00BD687B"/>
    <w:rsid w:val="00BD690A"/>
    <w:rsid w:val="00BD69EE"/>
    <w:rsid w:val="00BD6DC2"/>
    <w:rsid w:val="00BD6DD1"/>
    <w:rsid w:val="00BD6DFD"/>
    <w:rsid w:val="00BD6E29"/>
    <w:rsid w:val="00BD6E2C"/>
    <w:rsid w:val="00BD6E3B"/>
    <w:rsid w:val="00BD6E3C"/>
    <w:rsid w:val="00BD6E53"/>
    <w:rsid w:val="00BD7001"/>
    <w:rsid w:val="00BD7006"/>
    <w:rsid w:val="00BD707D"/>
    <w:rsid w:val="00BD709B"/>
    <w:rsid w:val="00BD7107"/>
    <w:rsid w:val="00BD7205"/>
    <w:rsid w:val="00BD722F"/>
    <w:rsid w:val="00BD723B"/>
    <w:rsid w:val="00BD7292"/>
    <w:rsid w:val="00BD7297"/>
    <w:rsid w:val="00BD72A7"/>
    <w:rsid w:val="00BD72EA"/>
    <w:rsid w:val="00BD736B"/>
    <w:rsid w:val="00BD73BD"/>
    <w:rsid w:val="00BD73C5"/>
    <w:rsid w:val="00BD7444"/>
    <w:rsid w:val="00BD753E"/>
    <w:rsid w:val="00BD7563"/>
    <w:rsid w:val="00BD75B6"/>
    <w:rsid w:val="00BD7646"/>
    <w:rsid w:val="00BD76D3"/>
    <w:rsid w:val="00BD76DC"/>
    <w:rsid w:val="00BD77B2"/>
    <w:rsid w:val="00BD79AD"/>
    <w:rsid w:val="00BD79FC"/>
    <w:rsid w:val="00BD7AF9"/>
    <w:rsid w:val="00BD7B04"/>
    <w:rsid w:val="00BD7B07"/>
    <w:rsid w:val="00BD7B30"/>
    <w:rsid w:val="00BD7BA7"/>
    <w:rsid w:val="00BD7C49"/>
    <w:rsid w:val="00BD7C54"/>
    <w:rsid w:val="00BD7CE2"/>
    <w:rsid w:val="00BD7CEC"/>
    <w:rsid w:val="00BD7DD8"/>
    <w:rsid w:val="00BD7EAF"/>
    <w:rsid w:val="00BD7ECB"/>
    <w:rsid w:val="00BD7F3D"/>
    <w:rsid w:val="00BE0070"/>
    <w:rsid w:val="00BE013D"/>
    <w:rsid w:val="00BE01C9"/>
    <w:rsid w:val="00BE01F6"/>
    <w:rsid w:val="00BE028A"/>
    <w:rsid w:val="00BE02D3"/>
    <w:rsid w:val="00BE03AB"/>
    <w:rsid w:val="00BE0421"/>
    <w:rsid w:val="00BE044C"/>
    <w:rsid w:val="00BE0470"/>
    <w:rsid w:val="00BE0605"/>
    <w:rsid w:val="00BE067F"/>
    <w:rsid w:val="00BE0696"/>
    <w:rsid w:val="00BE0732"/>
    <w:rsid w:val="00BE075A"/>
    <w:rsid w:val="00BE079E"/>
    <w:rsid w:val="00BE07B3"/>
    <w:rsid w:val="00BE0903"/>
    <w:rsid w:val="00BE090F"/>
    <w:rsid w:val="00BE0911"/>
    <w:rsid w:val="00BE0942"/>
    <w:rsid w:val="00BE0A1D"/>
    <w:rsid w:val="00BE0B05"/>
    <w:rsid w:val="00BE0B4B"/>
    <w:rsid w:val="00BE0BCB"/>
    <w:rsid w:val="00BE0C53"/>
    <w:rsid w:val="00BE0CB9"/>
    <w:rsid w:val="00BE0CD2"/>
    <w:rsid w:val="00BE0CDA"/>
    <w:rsid w:val="00BE0D9A"/>
    <w:rsid w:val="00BE0E2D"/>
    <w:rsid w:val="00BE0E93"/>
    <w:rsid w:val="00BE0ED0"/>
    <w:rsid w:val="00BE0EE3"/>
    <w:rsid w:val="00BE0F1C"/>
    <w:rsid w:val="00BE0F39"/>
    <w:rsid w:val="00BE0FEE"/>
    <w:rsid w:val="00BE1046"/>
    <w:rsid w:val="00BE10C1"/>
    <w:rsid w:val="00BE10D3"/>
    <w:rsid w:val="00BE10FB"/>
    <w:rsid w:val="00BE116D"/>
    <w:rsid w:val="00BE120D"/>
    <w:rsid w:val="00BE12F7"/>
    <w:rsid w:val="00BE1405"/>
    <w:rsid w:val="00BE1426"/>
    <w:rsid w:val="00BE144B"/>
    <w:rsid w:val="00BE14BA"/>
    <w:rsid w:val="00BE150B"/>
    <w:rsid w:val="00BE159A"/>
    <w:rsid w:val="00BE15C3"/>
    <w:rsid w:val="00BE15C7"/>
    <w:rsid w:val="00BE16E3"/>
    <w:rsid w:val="00BE17DE"/>
    <w:rsid w:val="00BE1802"/>
    <w:rsid w:val="00BE183A"/>
    <w:rsid w:val="00BE18B5"/>
    <w:rsid w:val="00BE18BD"/>
    <w:rsid w:val="00BE18E6"/>
    <w:rsid w:val="00BE1A37"/>
    <w:rsid w:val="00BE1A8B"/>
    <w:rsid w:val="00BE1AB3"/>
    <w:rsid w:val="00BE1B22"/>
    <w:rsid w:val="00BE1B88"/>
    <w:rsid w:val="00BE1BBF"/>
    <w:rsid w:val="00BE1C02"/>
    <w:rsid w:val="00BE1C1A"/>
    <w:rsid w:val="00BE1C4E"/>
    <w:rsid w:val="00BE1C59"/>
    <w:rsid w:val="00BE1CFB"/>
    <w:rsid w:val="00BE1D47"/>
    <w:rsid w:val="00BE1D48"/>
    <w:rsid w:val="00BE1D67"/>
    <w:rsid w:val="00BE1DDF"/>
    <w:rsid w:val="00BE1F2A"/>
    <w:rsid w:val="00BE1F66"/>
    <w:rsid w:val="00BE1F90"/>
    <w:rsid w:val="00BE1FA7"/>
    <w:rsid w:val="00BE1FFC"/>
    <w:rsid w:val="00BE20C4"/>
    <w:rsid w:val="00BE22A4"/>
    <w:rsid w:val="00BE22B0"/>
    <w:rsid w:val="00BE2374"/>
    <w:rsid w:val="00BE24AE"/>
    <w:rsid w:val="00BE24E7"/>
    <w:rsid w:val="00BE264D"/>
    <w:rsid w:val="00BE26C8"/>
    <w:rsid w:val="00BE2748"/>
    <w:rsid w:val="00BE275A"/>
    <w:rsid w:val="00BE275E"/>
    <w:rsid w:val="00BE276B"/>
    <w:rsid w:val="00BE279D"/>
    <w:rsid w:val="00BE2823"/>
    <w:rsid w:val="00BE2905"/>
    <w:rsid w:val="00BE290C"/>
    <w:rsid w:val="00BE293D"/>
    <w:rsid w:val="00BE29D1"/>
    <w:rsid w:val="00BE2A0B"/>
    <w:rsid w:val="00BE2A97"/>
    <w:rsid w:val="00BE2B92"/>
    <w:rsid w:val="00BE2BEE"/>
    <w:rsid w:val="00BE2BF4"/>
    <w:rsid w:val="00BE2C8A"/>
    <w:rsid w:val="00BE2C8E"/>
    <w:rsid w:val="00BE2D52"/>
    <w:rsid w:val="00BE2E8B"/>
    <w:rsid w:val="00BE2EC1"/>
    <w:rsid w:val="00BE2F71"/>
    <w:rsid w:val="00BE2F7C"/>
    <w:rsid w:val="00BE2FD8"/>
    <w:rsid w:val="00BE304C"/>
    <w:rsid w:val="00BE30A3"/>
    <w:rsid w:val="00BE3104"/>
    <w:rsid w:val="00BE3195"/>
    <w:rsid w:val="00BE3228"/>
    <w:rsid w:val="00BE3252"/>
    <w:rsid w:val="00BE327A"/>
    <w:rsid w:val="00BE3314"/>
    <w:rsid w:val="00BE333B"/>
    <w:rsid w:val="00BE33E4"/>
    <w:rsid w:val="00BE347B"/>
    <w:rsid w:val="00BE34AD"/>
    <w:rsid w:val="00BE34D2"/>
    <w:rsid w:val="00BE3542"/>
    <w:rsid w:val="00BE3855"/>
    <w:rsid w:val="00BE386A"/>
    <w:rsid w:val="00BE3904"/>
    <w:rsid w:val="00BE390B"/>
    <w:rsid w:val="00BE3957"/>
    <w:rsid w:val="00BE3A1C"/>
    <w:rsid w:val="00BE3A50"/>
    <w:rsid w:val="00BE3A58"/>
    <w:rsid w:val="00BE3AD4"/>
    <w:rsid w:val="00BE3B20"/>
    <w:rsid w:val="00BE3B36"/>
    <w:rsid w:val="00BE3D8E"/>
    <w:rsid w:val="00BE3E69"/>
    <w:rsid w:val="00BE3F4C"/>
    <w:rsid w:val="00BE3F89"/>
    <w:rsid w:val="00BE3F91"/>
    <w:rsid w:val="00BE4102"/>
    <w:rsid w:val="00BE4149"/>
    <w:rsid w:val="00BE4231"/>
    <w:rsid w:val="00BE425B"/>
    <w:rsid w:val="00BE428A"/>
    <w:rsid w:val="00BE42A7"/>
    <w:rsid w:val="00BE42F9"/>
    <w:rsid w:val="00BE4307"/>
    <w:rsid w:val="00BE4322"/>
    <w:rsid w:val="00BE435A"/>
    <w:rsid w:val="00BE43B0"/>
    <w:rsid w:val="00BE43B9"/>
    <w:rsid w:val="00BE4524"/>
    <w:rsid w:val="00BE4538"/>
    <w:rsid w:val="00BE453C"/>
    <w:rsid w:val="00BE454D"/>
    <w:rsid w:val="00BE45A6"/>
    <w:rsid w:val="00BE475E"/>
    <w:rsid w:val="00BE4960"/>
    <w:rsid w:val="00BE497D"/>
    <w:rsid w:val="00BE4A26"/>
    <w:rsid w:val="00BE4B00"/>
    <w:rsid w:val="00BE4BC1"/>
    <w:rsid w:val="00BE4CE6"/>
    <w:rsid w:val="00BE4D77"/>
    <w:rsid w:val="00BE4E2A"/>
    <w:rsid w:val="00BE4EC4"/>
    <w:rsid w:val="00BE4EE0"/>
    <w:rsid w:val="00BE4F12"/>
    <w:rsid w:val="00BE4F23"/>
    <w:rsid w:val="00BE4F31"/>
    <w:rsid w:val="00BE501F"/>
    <w:rsid w:val="00BE50C2"/>
    <w:rsid w:val="00BE5138"/>
    <w:rsid w:val="00BE5143"/>
    <w:rsid w:val="00BE5224"/>
    <w:rsid w:val="00BE52AA"/>
    <w:rsid w:val="00BE52D4"/>
    <w:rsid w:val="00BE53C1"/>
    <w:rsid w:val="00BE542D"/>
    <w:rsid w:val="00BE5451"/>
    <w:rsid w:val="00BE545D"/>
    <w:rsid w:val="00BE5466"/>
    <w:rsid w:val="00BE551D"/>
    <w:rsid w:val="00BE5528"/>
    <w:rsid w:val="00BE55B6"/>
    <w:rsid w:val="00BE55C7"/>
    <w:rsid w:val="00BE55DD"/>
    <w:rsid w:val="00BE5711"/>
    <w:rsid w:val="00BE57C0"/>
    <w:rsid w:val="00BE57CA"/>
    <w:rsid w:val="00BE57E8"/>
    <w:rsid w:val="00BE580E"/>
    <w:rsid w:val="00BE5829"/>
    <w:rsid w:val="00BE58CA"/>
    <w:rsid w:val="00BE58E7"/>
    <w:rsid w:val="00BE5934"/>
    <w:rsid w:val="00BE59CE"/>
    <w:rsid w:val="00BE59D5"/>
    <w:rsid w:val="00BE59D9"/>
    <w:rsid w:val="00BE5A42"/>
    <w:rsid w:val="00BE5A45"/>
    <w:rsid w:val="00BE5AFD"/>
    <w:rsid w:val="00BE5B1B"/>
    <w:rsid w:val="00BE5CE2"/>
    <w:rsid w:val="00BE5D82"/>
    <w:rsid w:val="00BE5D84"/>
    <w:rsid w:val="00BE5DC0"/>
    <w:rsid w:val="00BE5E03"/>
    <w:rsid w:val="00BE5E51"/>
    <w:rsid w:val="00BE5E97"/>
    <w:rsid w:val="00BE5F16"/>
    <w:rsid w:val="00BE6075"/>
    <w:rsid w:val="00BE6089"/>
    <w:rsid w:val="00BE617B"/>
    <w:rsid w:val="00BE61CD"/>
    <w:rsid w:val="00BE6258"/>
    <w:rsid w:val="00BE62C4"/>
    <w:rsid w:val="00BE6346"/>
    <w:rsid w:val="00BE6393"/>
    <w:rsid w:val="00BE63A8"/>
    <w:rsid w:val="00BE63C9"/>
    <w:rsid w:val="00BE6411"/>
    <w:rsid w:val="00BE642E"/>
    <w:rsid w:val="00BE6465"/>
    <w:rsid w:val="00BE6468"/>
    <w:rsid w:val="00BE6587"/>
    <w:rsid w:val="00BE65B1"/>
    <w:rsid w:val="00BE6600"/>
    <w:rsid w:val="00BE6744"/>
    <w:rsid w:val="00BE6752"/>
    <w:rsid w:val="00BE67CB"/>
    <w:rsid w:val="00BE67EE"/>
    <w:rsid w:val="00BE6861"/>
    <w:rsid w:val="00BE687F"/>
    <w:rsid w:val="00BE68F6"/>
    <w:rsid w:val="00BE6900"/>
    <w:rsid w:val="00BE693E"/>
    <w:rsid w:val="00BE69EF"/>
    <w:rsid w:val="00BE6A36"/>
    <w:rsid w:val="00BE6A77"/>
    <w:rsid w:val="00BE6AB8"/>
    <w:rsid w:val="00BE6AD5"/>
    <w:rsid w:val="00BE6AED"/>
    <w:rsid w:val="00BE6B09"/>
    <w:rsid w:val="00BE6B97"/>
    <w:rsid w:val="00BE6C05"/>
    <w:rsid w:val="00BE6C36"/>
    <w:rsid w:val="00BE6CD5"/>
    <w:rsid w:val="00BE6D34"/>
    <w:rsid w:val="00BE6DE0"/>
    <w:rsid w:val="00BE6DEA"/>
    <w:rsid w:val="00BE6E3C"/>
    <w:rsid w:val="00BE6F02"/>
    <w:rsid w:val="00BE6F59"/>
    <w:rsid w:val="00BE6F99"/>
    <w:rsid w:val="00BE700E"/>
    <w:rsid w:val="00BE70AF"/>
    <w:rsid w:val="00BE71CC"/>
    <w:rsid w:val="00BE7238"/>
    <w:rsid w:val="00BE7253"/>
    <w:rsid w:val="00BE7269"/>
    <w:rsid w:val="00BE72A1"/>
    <w:rsid w:val="00BE72DE"/>
    <w:rsid w:val="00BE7334"/>
    <w:rsid w:val="00BE7366"/>
    <w:rsid w:val="00BE7377"/>
    <w:rsid w:val="00BE7381"/>
    <w:rsid w:val="00BE7487"/>
    <w:rsid w:val="00BE74E7"/>
    <w:rsid w:val="00BE7531"/>
    <w:rsid w:val="00BE75B2"/>
    <w:rsid w:val="00BE7629"/>
    <w:rsid w:val="00BE766F"/>
    <w:rsid w:val="00BE7837"/>
    <w:rsid w:val="00BE7867"/>
    <w:rsid w:val="00BE79E4"/>
    <w:rsid w:val="00BE7B02"/>
    <w:rsid w:val="00BE7B8D"/>
    <w:rsid w:val="00BE7BC8"/>
    <w:rsid w:val="00BE7C02"/>
    <w:rsid w:val="00BE7C0C"/>
    <w:rsid w:val="00BE7C97"/>
    <w:rsid w:val="00BE7CB0"/>
    <w:rsid w:val="00BE7D7D"/>
    <w:rsid w:val="00BE7F9E"/>
    <w:rsid w:val="00BE7FAF"/>
    <w:rsid w:val="00BE7FC0"/>
    <w:rsid w:val="00BE7FF0"/>
    <w:rsid w:val="00BF002E"/>
    <w:rsid w:val="00BF0035"/>
    <w:rsid w:val="00BF00AA"/>
    <w:rsid w:val="00BF00FB"/>
    <w:rsid w:val="00BF0147"/>
    <w:rsid w:val="00BF01CB"/>
    <w:rsid w:val="00BF01CE"/>
    <w:rsid w:val="00BF02CF"/>
    <w:rsid w:val="00BF035D"/>
    <w:rsid w:val="00BF0398"/>
    <w:rsid w:val="00BF041F"/>
    <w:rsid w:val="00BF047E"/>
    <w:rsid w:val="00BF04C2"/>
    <w:rsid w:val="00BF052B"/>
    <w:rsid w:val="00BF057C"/>
    <w:rsid w:val="00BF05A8"/>
    <w:rsid w:val="00BF0631"/>
    <w:rsid w:val="00BF06A4"/>
    <w:rsid w:val="00BF06DD"/>
    <w:rsid w:val="00BF071D"/>
    <w:rsid w:val="00BF081F"/>
    <w:rsid w:val="00BF0853"/>
    <w:rsid w:val="00BF0939"/>
    <w:rsid w:val="00BF09C2"/>
    <w:rsid w:val="00BF09FA"/>
    <w:rsid w:val="00BF0BDB"/>
    <w:rsid w:val="00BF0BF9"/>
    <w:rsid w:val="00BF0D25"/>
    <w:rsid w:val="00BF0EC0"/>
    <w:rsid w:val="00BF0F22"/>
    <w:rsid w:val="00BF0FAE"/>
    <w:rsid w:val="00BF103A"/>
    <w:rsid w:val="00BF1055"/>
    <w:rsid w:val="00BF1061"/>
    <w:rsid w:val="00BF1064"/>
    <w:rsid w:val="00BF110B"/>
    <w:rsid w:val="00BF1143"/>
    <w:rsid w:val="00BF11B2"/>
    <w:rsid w:val="00BF11D2"/>
    <w:rsid w:val="00BF1237"/>
    <w:rsid w:val="00BF1291"/>
    <w:rsid w:val="00BF12EC"/>
    <w:rsid w:val="00BF1386"/>
    <w:rsid w:val="00BF13C7"/>
    <w:rsid w:val="00BF1437"/>
    <w:rsid w:val="00BF14E2"/>
    <w:rsid w:val="00BF1589"/>
    <w:rsid w:val="00BF15E3"/>
    <w:rsid w:val="00BF163E"/>
    <w:rsid w:val="00BF1650"/>
    <w:rsid w:val="00BF166D"/>
    <w:rsid w:val="00BF1728"/>
    <w:rsid w:val="00BF177A"/>
    <w:rsid w:val="00BF1795"/>
    <w:rsid w:val="00BF182F"/>
    <w:rsid w:val="00BF18AC"/>
    <w:rsid w:val="00BF18B9"/>
    <w:rsid w:val="00BF1989"/>
    <w:rsid w:val="00BF198A"/>
    <w:rsid w:val="00BF19CB"/>
    <w:rsid w:val="00BF19E3"/>
    <w:rsid w:val="00BF1A24"/>
    <w:rsid w:val="00BF1A39"/>
    <w:rsid w:val="00BF1AE1"/>
    <w:rsid w:val="00BF1B51"/>
    <w:rsid w:val="00BF1B9C"/>
    <w:rsid w:val="00BF1C39"/>
    <w:rsid w:val="00BF1C59"/>
    <w:rsid w:val="00BF1CE6"/>
    <w:rsid w:val="00BF1DAB"/>
    <w:rsid w:val="00BF1E21"/>
    <w:rsid w:val="00BF1F82"/>
    <w:rsid w:val="00BF1F95"/>
    <w:rsid w:val="00BF2009"/>
    <w:rsid w:val="00BF201E"/>
    <w:rsid w:val="00BF206A"/>
    <w:rsid w:val="00BF20A6"/>
    <w:rsid w:val="00BF21BD"/>
    <w:rsid w:val="00BF21E4"/>
    <w:rsid w:val="00BF21E7"/>
    <w:rsid w:val="00BF2201"/>
    <w:rsid w:val="00BF2203"/>
    <w:rsid w:val="00BF221C"/>
    <w:rsid w:val="00BF222F"/>
    <w:rsid w:val="00BF232D"/>
    <w:rsid w:val="00BF236F"/>
    <w:rsid w:val="00BF2378"/>
    <w:rsid w:val="00BF23BE"/>
    <w:rsid w:val="00BF2450"/>
    <w:rsid w:val="00BF24D8"/>
    <w:rsid w:val="00BF24E9"/>
    <w:rsid w:val="00BF24FC"/>
    <w:rsid w:val="00BF2540"/>
    <w:rsid w:val="00BF2547"/>
    <w:rsid w:val="00BF267A"/>
    <w:rsid w:val="00BF26F4"/>
    <w:rsid w:val="00BF2774"/>
    <w:rsid w:val="00BF2818"/>
    <w:rsid w:val="00BF287B"/>
    <w:rsid w:val="00BF2882"/>
    <w:rsid w:val="00BF28E3"/>
    <w:rsid w:val="00BF290B"/>
    <w:rsid w:val="00BF2920"/>
    <w:rsid w:val="00BF294E"/>
    <w:rsid w:val="00BF29E8"/>
    <w:rsid w:val="00BF2A48"/>
    <w:rsid w:val="00BF2A8E"/>
    <w:rsid w:val="00BF2AC6"/>
    <w:rsid w:val="00BF2B20"/>
    <w:rsid w:val="00BF2B82"/>
    <w:rsid w:val="00BF2BEB"/>
    <w:rsid w:val="00BF2BF3"/>
    <w:rsid w:val="00BF2D25"/>
    <w:rsid w:val="00BF2D4D"/>
    <w:rsid w:val="00BF2D52"/>
    <w:rsid w:val="00BF2D5C"/>
    <w:rsid w:val="00BF2DDD"/>
    <w:rsid w:val="00BF2E0C"/>
    <w:rsid w:val="00BF2E2A"/>
    <w:rsid w:val="00BF2E86"/>
    <w:rsid w:val="00BF2E88"/>
    <w:rsid w:val="00BF2EC4"/>
    <w:rsid w:val="00BF2F48"/>
    <w:rsid w:val="00BF2FE2"/>
    <w:rsid w:val="00BF3032"/>
    <w:rsid w:val="00BF303A"/>
    <w:rsid w:val="00BF30B7"/>
    <w:rsid w:val="00BF30E2"/>
    <w:rsid w:val="00BF30E9"/>
    <w:rsid w:val="00BF30FC"/>
    <w:rsid w:val="00BF312A"/>
    <w:rsid w:val="00BF314A"/>
    <w:rsid w:val="00BF3191"/>
    <w:rsid w:val="00BF31EB"/>
    <w:rsid w:val="00BF3230"/>
    <w:rsid w:val="00BF3266"/>
    <w:rsid w:val="00BF3337"/>
    <w:rsid w:val="00BF3339"/>
    <w:rsid w:val="00BF3346"/>
    <w:rsid w:val="00BF34F3"/>
    <w:rsid w:val="00BF3600"/>
    <w:rsid w:val="00BF3757"/>
    <w:rsid w:val="00BF38FB"/>
    <w:rsid w:val="00BF392F"/>
    <w:rsid w:val="00BF3947"/>
    <w:rsid w:val="00BF39F4"/>
    <w:rsid w:val="00BF3A14"/>
    <w:rsid w:val="00BF3ACE"/>
    <w:rsid w:val="00BF3C89"/>
    <w:rsid w:val="00BF3CAA"/>
    <w:rsid w:val="00BF3CB6"/>
    <w:rsid w:val="00BF3D3F"/>
    <w:rsid w:val="00BF3DE4"/>
    <w:rsid w:val="00BF3EED"/>
    <w:rsid w:val="00BF3F02"/>
    <w:rsid w:val="00BF3FD4"/>
    <w:rsid w:val="00BF417B"/>
    <w:rsid w:val="00BF420E"/>
    <w:rsid w:val="00BF424D"/>
    <w:rsid w:val="00BF42F6"/>
    <w:rsid w:val="00BF4353"/>
    <w:rsid w:val="00BF43BC"/>
    <w:rsid w:val="00BF43D6"/>
    <w:rsid w:val="00BF4421"/>
    <w:rsid w:val="00BF4492"/>
    <w:rsid w:val="00BF44B0"/>
    <w:rsid w:val="00BF4513"/>
    <w:rsid w:val="00BF462D"/>
    <w:rsid w:val="00BF463A"/>
    <w:rsid w:val="00BF4650"/>
    <w:rsid w:val="00BF46B1"/>
    <w:rsid w:val="00BF46FF"/>
    <w:rsid w:val="00BF473F"/>
    <w:rsid w:val="00BF4772"/>
    <w:rsid w:val="00BF47E5"/>
    <w:rsid w:val="00BF483A"/>
    <w:rsid w:val="00BF4899"/>
    <w:rsid w:val="00BF48A9"/>
    <w:rsid w:val="00BF48AB"/>
    <w:rsid w:val="00BF495A"/>
    <w:rsid w:val="00BF49AC"/>
    <w:rsid w:val="00BF49DC"/>
    <w:rsid w:val="00BF4A7A"/>
    <w:rsid w:val="00BF4B18"/>
    <w:rsid w:val="00BF4B5E"/>
    <w:rsid w:val="00BF4B64"/>
    <w:rsid w:val="00BF4CCA"/>
    <w:rsid w:val="00BF4CD8"/>
    <w:rsid w:val="00BF4D39"/>
    <w:rsid w:val="00BF4DE4"/>
    <w:rsid w:val="00BF4E3F"/>
    <w:rsid w:val="00BF4E60"/>
    <w:rsid w:val="00BF4E6F"/>
    <w:rsid w:val="00BF4E7B"/>
    <w:rsid w:val="00BF4EDA"/>
    <w:rsid w:val="00BF4EED"/>
    <w:rsid w:val="00BF4FAE"/>
    <w:rsid w:val="00BF5056"/>
    <w:rsid w:val="00BF50D3"/>
    <w:rsid w:val="00BF519B"/>
    <w:rsid w:val="00BF522B"/>
    <w:rsid w:val="00BF528C"/>
    <w:rsid w:val="00BF5290"/>
    <w:rsid w:val="00BF52C4"/>
    <w:rsid w:val="00BF52D9"/>
    <w:rsid w:val="00BF542D"/>
    <w:rsid w:val="00BF56A2"/>
    <w:rsid w:val="00BF57A4"/>
    <w:rsid w:val="00BF581B"/>
    <w:rsid w:val="00BF5849"/>
    <w:rsid w:val="00BF585A"/>
    <w:rsid w:val="00BF5884"/>
    <w:rsid w:val="00BF59AD"/>
    <w:rsid w:val="00BF59F6"/>
    <w:rsid w:val="00BF5A3B"/>
    <w:rsid w:val="00BF5A51"/>
    <w:rsid w:val="00BF5A63"/>
    <w:rsid w:val="00BF5AB5"/>
    <w:rsid w:val="00BF5B42"/>
    <w:rsid w:val="00BF5B91"/>
    <w:rsid w:val="00BF5BB5"/>
    <w:rsid w:val="00BF5BE6"/>
    <w:rsid w:val="00BF5BF7"/>
    <w:rsid w:val="00BF5C56"/>
    <w:rsid w:val="00BF5CA0"/>
    <w:rsid w:val="00BF5DF8"/>
    <w:rsid w:val="00BF5E08"/>
    <w:rsid w:val="00BF5E84"/>
    <w:rsid w:val="00BF5E94"/>
    <w:rsid w:val="00BF5F08"/>
    <w:rsid w:val="00BF5F85"/>
    <w:rsid w:val="00BF5FBB"/>
    <w:rsid w:val="00BF5FBF"/>
    <w:rsid w:val="00BF6043"/>
    <w:rsid w:val="00BF607D"/>
    <w:rsid w:val="00BF6142"/>
    <w:rsid w:val="00BF6150"/>
    <w:rsid w:val="00BF6170"/>
    <w:rsid w:val="00BF6196"/>
    <w:rsid w:val="00BF6249"/>
    <w:rsid w:val="00BF625C"/>
    <w:rsid w:val="00BF629B"/>
    <w:rsid w:val="00BF62FF"/>
    <w:rsid w:val="00BF6312"/>
    <w:rsid w:val="00BF63E0"/>
    <w:rsid w:val="00BF643C"/>
    <w:rsid w:val="00BF6598"/>
    <w:rsid w:val="00BF6609"/>
    <w:rsid w:val="00BF6733"/>
    <w:rsid w:val="00BF6800"/>
    <w:rsid w:val="00BF6890"/>
    <w:rsid w:val="00BF68AA"/>
    <w:rsid w:val="00BF693C"/>
    <w:rsid w:val="00BF696E"/>
    <w:rsid w:val="00BF6BC6"/>
    <w:rsid w:val="00BF6BCC"/>
    <w:rsid w:val="00BF6BE7"/>
    <w:rsid w:val="00BF6C00"/>
    <w:rsid w:val="00BF6C40"/>
    <w:rsid w:val="00BF6C54"/>
    <w:rsid w:val="00BF6C92"/>
    <w:rsid w:val="00BF6D99"/>
    <w:rsid w:val="00BF6E11"/>
    <w:rsid w:val="00BF6E8D"/>
    <w:rsid w:val="00BF6E8F"/>
    <w:rsid w:val="00BF6F4A"/>
    <w:rsid w:val="00BF70BA"/>
    <w:rsid w:val="00BF71A0"/>
    <w:rsid w:val="00BF71F3"/>
    <w:rsid w:val="00BF723B"/>
    <w:rsid w:val="00BF7291"/>
    <w:rsid w:val="00BF72D2"/>
    <w:rsid w:val="00BF7320"/>
    <w:rsid w:val="00BF73D6"/>
    <w:rsid w:val="00BF7407"/>
    <w:rsid w:val="00BF74BF"/>
    <w:rsid w:val="00BF74FE"/>
    <w:rsid w:val="00BF755D"/>
    <w:rsid w:val="00BF757F"/>
    <w:rsid w:val="00BF75F2"/>
    <w:rsid w:val="00BF7629"/>
    <w:rsid w:val="00BF76D1"/>
    <w:rsid w:val="00BF76D4"/>
    <w:rsid w:val="00BF7748"/>
    <w:rsid w:val="00BF7758"/>
    <w:rsid w:val="00BF77D0"/>
    <w:rsid w:val="00BF77F7"/>
    <w:rsid w:val="00BF783B"/>
    <w:rsid w:val="00BF78B8"/>
    <w:rsid w:val="00BF78F1"/>
    <w:rsid w:val="00BF792D"/>
    <w:rsid w:val="00BF795D"/>
    <w:rsid w:val="00BF7965"/>
    <w:rsid w:val="00BF7A34"/>
    <w:rsid w:val="00BF7B25"/>
    <w:rsid w:val="00BF7BB9"/>
    <w:rsid w:val="00BF7D13"/>
    <w:rsid w:val="00BF7D51"/>
    <w:rsid w:val="00BF7D60"/>
    <w:rsid w:val="00BF7E09"/>
    <w:rsid w:val="00BF7FD8"/>
    <w:rsid w:val="00C00047"/>
    <w:rsid w:val="00C00078"/>
    <w:rsid w:val="00C00151"/>
    <w:rsid w:val="00C0019B"/>
    <w:rsid w:val="00C00464"/>
    <w:rsid w:val="00C0048F"/>
    <w:rsid w:val="00C0057A"/>
    <w:rsid w:val="00C005C0"/>
    <w:rsid w:val="00C0061E"/>
    <w:rsid w:val="00C00659"/>
    <w:rsid w:val="00C006F3"/>
    <w:rsid w:val="00C0078E"/>
    <w:rsid w:val="00C007CE"/>
    <w:rsid w:val="00C007EC"/>
    <w:rsid w:val="00C00974"/>
    <w:rsid w:val="00C00AE7"/>
    <w:rsid w:val="00C00AED"/>
    <w:rsid w:val="00C00B0F"/>
    <w:rsid w:val="00C00BE2"/>
    <w:rsid w:val="00C00BF0"/>
    <w:rsid w:val="00C00BFC"/>
    <w:rsid w:val="00C00D68"/>
    <w:rsid w:val="00C00D76"/>
    <w:rsid w:val="00C00DB4"/>
    <w:rsid w:val="00C00DC2"/>
    <w:rsid w:val="00C00FA6"/>
    <w:rsid w:val="00C0100B"/>
    <w:rsid w:val="00C0105D"/>
    <w:rsid w:val="00C01091"/>
    <w:rsid w:val="00C010E3"/>
    <w:rsid w:val="00C010E7"/>
    <w:rsid w:val="00C011A1"/>
    <w:rsid w:val="00C011EB"/>
    <w:rsid w:val="00C0123D"/>
    <w:rsid w:val="00C01270"/>
    <w:rsid w:val="00C01272"/>
    <w:rsid w:val="00C0140D"/>
    <w:rsid w:val="00C0142E"/>
    <w:rsid w:val="00C01454"/>
    <w:rsid w:val="00C0145C"/>
    <w:rsid w:val="00C01545"/>
    <w:rsid w:val="00C015A3"/>
    <w:rsid w:val="00C015E5"/>
    <w:rsid w:val="00C01618"/>
    <w:rsid w:val="00C01669"/>
    <w:rsid w:val="00C016A9"/>
    <w:rsid w:val="00C01779"/>
    <w:rsid w:val="00C01791"/>
    <w:rsid w:val="00C017A8"/>
    <w:rsid w:val="00C01807"/>
    <w:rsid w:val="00C01878"/>
    <w:rsid w:val="00C01B55"/>
    <w:rsid w:val="00C01B72"/>
    <w:rsid w:val="00C01BAD"/>
    <w:rsid w:val="00C01C59"/>
    <w:rsid w:val="00C01D04"/>
    <w:rsid w:val="00C01D6C"/>
    <w:rsid w:val="00C01DB2"/>
    <w:rsid w:val="00C01E18"/>
    <w:rsid w:val="00C01E91"/>
    <w:rsid w:val="00C01EBA"/>
    <w:rsid w:val="00C01EDC"/>
    <w:rsid w:val="00C01EE6"/>
    <w:rsid w:val="00C01F9E"/>
    <w:rsid w:val="00C02097"/>
    <w:rsid w:val="00C020C0"/>
    <w:rsid w:val="00C02126"/>
    <w:rsid w:val="00C021B9"/>
    <w:rsid w:val="00C021BD"/>
    <w:rsid w:val="00C021EE"/>
    <w:rsid w:val="00C0225E"/>
    <w:rsid w:val="00C022F9"/>
    <w:rsid w:val="00C0238F"/>
    <w:rsid w:val="00C02398"/>
    <w:rsid w:val="00C0239B"/>
    <w:rsid w:val="00C024EB"/>
    <w:rsid w:val="00C02547"/>
    <w:rsid w:val="00C02626"/>
    <w:rsid w:val="00C026A6"/>
    <w:rsid w:val="00C026C5"/>
    <w:rsid w:val="00C026F5"/>
    <w:rsid w:val="00C0280F"/>
    <w:rsid w:val="00C02856"/>
    <w:rsid w:val="00C028CF"/>
    <w:rsid w:val="00C028D5"/>
    <w:rsid w:val="00C0291D"/>
    <w:rsid w:val="00C02A00"/>
    <w:rsid w:val="00C02A11"/>
    <w:rsid w:val="00C02AA6"/>
    <w:rsid w:val="00C02B3E"/>
    <w:rsid w:val="00C02B98"/>
    <w:rsid w:val="00C02C3F"/>
    <w:rsid w:val="00C02D45"/>
    <w:rsid w:val="00C02D52"/>
    <w:rsid w:val="00C02DF5"/>
    <w:rsid w:val="00C02E16"/>
    <w:rsid w:val="00C02E6E"/>
    <w:rsid w:val="00C03029"/>
    <w:rsid w:val="00C03045"/>
    <w:rsid w:val="00C0305E"/>
    <w:rsid w:val="00C030E7"/>
    <w:rsid w:val="00C030F2"/>
    <w:rsid w:val="00C03174"/>
    <w:rsid w:val="00C03182"/>
    <w:rsid w:val="00C03288"/>
    <w:rsid w:val="00C032C4"/>
    <w:rsid w:val="00C03421"/>
    <w:rsid w:val="00C034C3"/>
    <w:rsid w:val="00C036B5"/>
    <w:rsid w:val="00C03854"/>
    <w:rsid w:val="00C03866"/>
    <w:rsid w:val="00C038D5"/>
    <w:rsid w:val="00C039AC"/>
    <w:rsid w:val="00C03AA3"/>
    <w:rsid w:val="00C03B30"/>
    <w:rsid w:val="00C03B5C"/>
    <w:rsid w:val="00C03BB0"/>
    <w:rsid w:val="00C03C1D"/>
    <w:rsid w:val="00C03C41"/>
    <w:rsid w:val="00C03C6C"/>
    <w:rsid w:val="00C03C7C"/>
    <w:rsid w:val="00C03D69"/>
    <w:rsid w:val="00C03DA7"/>
    <w:rsid w:val="00C03DB5"/>
    <w:rsid w:val="00C03DE0"/>
    <w:rsid w:val="00C03EA1"/>
    <w:rsid w:val="00C03F08"/>
    <w:rsid w:val="00C0408B"/>
    <w:rsid w:val="00C04106"/>
    <w:rsid w:val="00C04108"/>
    <w:rsid w:val="00C04142"/>
    <w:rsid w:val="00C0415E"/>
    <w:rsid w:val="00C04179"/>
    <w:rsid w:val="00C041CA"/>
    <w:rsid w:val="00C041F8"/>
    <w:rsid w:val="00C0428D"/>
    <w:rsid w:val="00C042D7"/>
    <w:rsid w:val="00C04358"/>
    <w:rsid w:val="00C043DE"/>
    <w:rsid w:val="00C04418"/>
    <w:rsid w:val="00C0442F"/>
    <w:rsid w:val="00C044DF"/>
    <w:rsid w:val="00C04518"/>
    <w:rsid w:val="00C0452C"/>
    <w:rsid w:val="00C04558"/>
    <w:rsid w:val="00C045DF"/>
    <w:rsid w:val="00C046B9"/>
    <w:rsid w:val="00C046CA"/>
    <w:rsid w:val="00C0487F"/>
    <w:rsid w:val="00C048AC"/>
    <w:rsid w:val="00C049CB"/>
    <w:rsid w:val="00C04A27"/>
    <w:rsid w:val="00C04A7A"/>
    <w:rsid w:val="00C04AA5"/>
    <w:rsid w:val="00C04AAA"/>
    <w:rsid w:val="00C04AD3"/>
    <w:rsid w:val="00C04AD7"/>
    <w:rsid w:val="00C04BDB"/>
    <w:rsid w:val="00C04C6F"/>
    <w:rsid w:val="00C04D1E"/>
    <w:rsid w:val="00C04D5A"/>
    <w:rsid w:val="00C04DC9"/>
    <w:rsid w:val="00C04DE0"/>
    <w:rsid w:val="00C04EF1"/>
    <w:rsid w:val="00C04F35"/>
    <w:rsid w:val="00C04F70"/>
    <w:rsid w:val="00C04FC6"/>
    <w:rsid w:val="00C05025"/>
    <w:rsid w:val="00C0507C"/>
    <w:rsid w:val="00C050DE"/>
    <w:rsid w:val="00C05144"/>
    <w:rsid w:val="00C05232"/>
    <w:rsid w:val="00C0524D"/>
    <w:rsid w:val="00C0544E"/>
    <w:rsid w:val="00C054AE"/>
    <w:rsid w:val="00C054BF"/>
    <w:rsid w:val="00C0551C"/>
    <w:rsid w:val="00C0557C"/>
    <w:rsid w:val="00C0558D"/>
    <w:rsid w:val="00C057A3"/>
    <w:rsid w:val="00C057DC"/>
    <w:rsid w:val="00C05832"/>
    <w:rsid w:val="00C0586F"/>
    <w:rsid w:val="00C0587A"/>
    <w:rsid w:val="00C058C6"/>
    <w:rsid w:val="00C058E1"/>
    <w:rsid w:val="00C058F2"/>
    <w:rsid w:val="00C05922"/>
    <w:rsid w:val="00C0597E"/>
    <w:rsid w:val="00C05A62"/>
    <w:rsid w:val="00C05ABC"/>
    <w:rsid w:val="00C05D21"/>
    <w:rsid w:val="00C05E69"/>
    <w:rsid w:val="00C05F0A"/>
    <w:rsid w:val="00C05F26"/>
    <w:rsid w:val="00C05F4A"/>
    <w:rsid w:val="00C05FB9"/>
    <w:rsid w:val="00C0600B"/>
    <w:rsid w:val="00C060A7"/>
    <w:rsid w:val="00C060C4"/>
    <w:rsid w:val="00C060E9"/>
    <w:rsid w:val="00C0617E"/>
    <w:rsid w:val="00C06186"/>
    <w:rsid w:val="00C061C7"/>
    <w:rsid w:val="00C061ED"/>
    <w:rsid w:val="00C06210"/>
    <w:rsid w:val="00C06299"/>
    <w:rsid w:val="00C0632D"/>
    <w:rsid w:val="00C0636D"/>
    <w:rsid w:val="00C063B8"/>
    <w:rsid w:val="00C06471"/>
    <w:rsid w:val="00C06473"/>
    <w:rsid w:val="00C06491"/>
    <w:rsid w:val="00C066E1"/>
    <w:rsid w:val="00C066F4"/>
    <w:rsid w:val="00C0672F"/>
    <w:rsid w:val="00C06792"/>
    <w:rsid w:val="00C06813"/>
    <w:rsid w:val="00C068D1"/>
    <w:rsid w:val="00C068DE"/>
    <w:rsid w:val="00C06A5C"/>
    <w:rsid w:val="00C06AB9"/>
    <w:rsid w:val="00C06B49"/>
    <w:rsid w:val="00C06B65"/>
    <w:rsid w:val="00C06B6A"/>
    <w:rsid w:val="00C06CB1"/>
    <w:rsid w:val="00C06D16"/>
    <w:rsid w:val="00C06D5F"/>
    <w:rsid w:val="00C06D8C"/>
    <w:rsid w:val="00C06DE4"/>
    <w:rsid w:val="00C06E72"/>
    <w:rsid w:val="00C06EDD"/>
    <w:rsid w:val="00C06F08"/>
    <w:rsid w:val="00C06F4A"/>
    <w:rsid w:val="00C06FB1"/>
    <w:rsid w:val="00C070F0"/>
    <w:rsid w:val="00C07116"/>
    <w:rsid w:val="00C0716F"/>
    <w:rsid w:val="00C0725B"/>
    <w:rsid w:val="00C0737A"/>
    <w:rsid w:val="00C07460"/>
    <w:rsid w:val="00C07477"/>
    <w:rsid w:val="00C0748B"/>
    <w:rsid w:val="00C074A9"/>
    <w:rsid w:val="00C074E9"/>
    <w:rsid w:val="00C07555"/>
    <w:rsid w:val="00C07569"/>
    <w:rsid w:val="00C075FD"/>
    <w:rsid w:val="00C07627"/>
    <w:rsid w:val="00C076C7"/>
    <w:rsid w:val="00C07704"/>
    <w:rsid w:val="00C07742"/>
    <w:rsid w:val="00C07845"/>
    <w:rsid w:val="00C07878"/>
    <w:rsid w:val="00C07894"/>
    <w:rsid w:val="00C0796E"/>
    <w:rsid w:val="00C079D8"/>
    <w:rsid w:val="00C079E5"/>
    <w:rsid w:val="00C07AB2"/>
    <w:rsid w:val="00C07AFF"/>
    <w:rsid w:val="00C07B01"/>
    <w:rsid w:val="00C07B47"/>
    <w:rsid w:val="00C07B9F"/>
    <w:rsid w:val="00C07CF3"/>
    <w:rsid w:val="00C07D0D"/>
    <w:rsid w:val="00C07D45"/>
    <w:rsid w:val="00C07D88"/>
    <w:rsid w:val="00C07DE3"/>
    <w:rsid w:val="00C07E34"/>
    <w:rsid w:val="00C07E9F"/>
    <w:rsid w:val="00C07EC7"/>
    <w:rsid w:val="00C07ED2"/>
    <w:rsid w:val="00C07EF1"/>
    <w:rsid w:val="00C07F20"/>
    <w:rsid w:val="00C07F3E"/>
    <w:rsid w:val="00C10023"/>
    <w:rsid w:val="00C1008D"/>
    <w:rsid w:val="00C100D8"/>
    <w:rsid w:val="00C100ED"/>
    <w:rsid w:val="00C1016A"/>
    <w:rsid w:val="00C101D7"/>
    <w:rsid w:val="00C10272"/>
    <w:rsid w:val="00C10295"/>
    <w:rsid w:val="00C10371"/>
    <w:rsid w:val="00C10373"/>
    <w:rsid w:val="00C103FA"/>
    <w:rsid w:val="00C10547"/>
    <w:rsid w:val="00C10606"/>
    <w:rsid w:val="00C10646"/>
    <w:rsid w:val="00C1067B"/>
    <w:rsid w:val="00C106D5"/>
    <w:rsid w:val="00C106EA"/>
    <w:rsid w:val="00C10721"/>
    <w:rsid w:val="00C1074F"/>
    <w:rsid w:val="00C10765"/>
    <w:rsid w:val="00C10797"/>
    <w:rsid w:val="00C107D4"/>
    <w:rsid w:val="00C10827"/>
    <w:rsid w:val="00C108EE"/>
    <w:rsid w:val="00C109A7"/>
    <w:rsid w:val="00C109BB"/>
    <w:rsid w:val="00C10A3E"/>
    <w:rsid w:val="00C10AC2"/>
    <w:rsid w:val="00C10AC6"/>
    <w:rsid w:val="00C10AE4"/>
    <w:rsid w:val="00C10B5B"/>
    <w:rsid w:val="00C10BDB"/>
    <w:rsid w:val="00C10CE5"/>
    <w:rsid w:val="00C10D29"/>
    <w:rsid w:val="00C10DAE"/>
    <w:rsid w:val="00C10DD3"/>
    <w:rsid w:val="00C10DDF"/>
    <w:rsid w:val="00C10E5F"/>
    <w:rsid w:val="00C10E65"/>
    <w:rsid w:val="00C10FD4"/>
    <w:rsid w:val="00C11057"/>
    <w:rsid w:val="00C1106F"/>
    <w:rsid w:val="00C110C6"/>
    <w:rsid w:val="00C11174"/>
    <w:rsid w:val="00C111DB"/>
    <w:rsid w:val="00C112C4"/>
    <w:rsid w:val="00C112D5"/>
    <w:rsid w:val="00C1130C"/>
    <w:rsid w:val="00C1131F"/>
    <w:rsid w:val="00C1132C"/>
    <w:rsid w:val="00C11333"/>
    <w:rsid w:val="00C11359"/>
    <w:rsid w:val="00C11377"/>
    <w:rsid w:val="00C113AE"/>
    <w:rsid w:val="00C11460"/>
    <w:rsid w:val="00C114FE"/>
    <w:rsid w:val="00C11520"/>
    <w:rsid w:val="00C11561"/>
    <w:rsid w:val="00C115CD"/>
    <w:rsid w:val="00C115F1"/>
    <w:rsid w:val="00C115F7"/>
    <w:rsid w:val="00C11755"/>
    <w:rsid w:val="00C11782"/>
    <w:rsid w:val="00C117A9"/>
    <w:rsid w:val="00C118C2"/>
    <w:rsid w:val="00C11A21"/>
    <w:rsid w:val="00C11A39"/>
    <w:rsid w:val="00C11A44"/>
    <w:rsid w:val="00C11A70"/>
    <w:rsid w:val="00C11AD3"/>
    <w:rsid w:val="00C11B3F"/>
    <w:rsid w:val="00C11B79"/>
    <w:rsid w:val="00C11BC2"/>
    <w:rsid w:val="00C11C1D"/>
    <w:rsid w:val="00C11C26"/>
    <w:rsid w:val="00C11C29"/>
    <w:rsid w:val="00C11CBF"/>
    <w:rsid w:val="00C11D04"/>
    <w:rsid w:val="00C11D3C"/>
    <w:rsid w:val="00C11D7E"/>
    <w:rsid w:val="00C11D80"/>
    <w:rsid w:val="00C11DCC"/>
    <w:rsid w:val="00C11EC3"/>
    <w:rsid w:val="00C11EE2"/>
    <w:rsid w:val="00C1206F"/>
    <w:rsid w:val="00C1208B"/>
    <w:rsid w:val="00C120B4"/>
    <w:rsid w:val="00C12126"/>
    <w:rsid w:val="00C1235D"/>
    <w:rsid w:val="00C12426"/>
    <w:rsid w:val="00C1242C"/>
    <w:rsid w:val="00C12448"/>
    <w:rsid w:val="00C124EB"/>
    <w:rsid w:val="00C124F2"/>
    <w:rsid w:val="00C12668"/>
    <w:rsid w:val="00C12681"/>
    <w:rsid w:val="00C12697"/>
    <w:rsid w:val="00C126AB"/>
    <w:rsid w:val="00C126C7"/>
    <w:rsid w:val="00C12737"/>
    <w:rsid w:val="00C12775"/>
    <w:rsid w:val="00C127AC"/>
    <w:rsid w:val="00C12805"/>
    <w:rsid w:val="00C128ED"/>
    <w:rsid w:val="00C12961"/>
    <w:rsid w:val="00C12A2C"/>
    <w:rsid w:val="00C12B81"/>
    <w:rsid w:val="00C12D1C"/>
    <w:rsid w:val="00C12E16"/>
    <w:rsid w:val="00C12EE4"/>
    <w:rsid w:val="00C12F9A"/>
    <w:rsid w:val="00C1306C"/>
    <w:rsid w:val="00C131FD"/>
    <w:rsid w:val="00C13293"/>
    <w:rsid w:val="00C133A0"/>
    <w:rsid w:val="00C134A1"/>
    <w:rsid w:val="00C135DB"/>
    <w:rsid w:val="00C13790"/>
    <w:rsid w:val="00C137A2"/>
    <w:rsid w:val="00C1380F"/>
    <w:rsid w:val="00C13822"/>
    <w:rsid w:val="00C13834"/>
    <w:rsid w:val="00C13AAC"/>
    <w:rsid w:val="00C13B57"/>
    <w:rsid w:val="00C13C13"/>
    <w:rsid w:val="00C13C91"/>
    <w:rsid w:val="00C13CA3"/>
    <w:rsid w:val="00C13CD8"/>
    <w:rsid w:val="00C13D1E"/>
    <w:rsid w:val="00C13D23"/>
    <w:rsid w:val="00C13D34"/>
    <w:rsid w:val="00C13D81"/>
    <w:rsid w:val="00C13DD2"/>
    <w:rsid w:val="00C13E44"/>
    <w:rsid w:val="00C13EB1"/>
    <w:rsid w:val="00C13EF2"/>
    <w:rsid w:val="00C13EF5"/>
    <w:rsid w:val="00C13F97"/>
    <w:rsid w:val="00C13FD6"/>
    <w:rsid w:val="00C1400D"/>
    <w:rsid w:val="00C14044"/>
    <w:rsid w:val="00C1408A"/>
    <w:rsid w:val="00C140AD"/>
    <w:rsid w:val="00C140F5"/>
    <w:rsid w:val="00C14187"/>
    <w:rsid w:val="00C1421A"/>
    <w:rsid w:val="00C142C3"/>
    <w:rsid w:val="00C142D0"/>
    <w:rsid w:val="00C14306"/>
    <w:rsid w:val="00C1433A"/>
    <w:rsid w:val="00C1433F"/>
    <w:rsid w:val="00C14342"/>
    <w:rsid w:val="00C143E2"/>
    <w:rsid w:val="00C14466"/>
    <w:rsid w:val="00C14485"/>
    <w:rsid w:val="00C1452D"/>
    <w:rsid w:val="00C145B3"/>
    <w:rsid w:val="00C146B6"/>
    <w:rsid w:val="00C147F2"/>
    <w:rsid w:val="00C14845"/>
    <w:rsid w:val="00C14888"/>
    <w:rsid w:val="00C1488D"/>
    <w:rsid w:val="00C148A1"/>
    <w:rsid w:val="00C148FF"/>
    <w:rsid w:val="00C14937"/>
    <w:rsid w:val="00C1494B"/>
    <w:rsid w:val="00C149E9"/>
    <w:rsid w:val="00C149F4"/>
    <w:rsid w:val="00C14AC2"/>
    <w:rsid w:val="00C14B11"/>
    <w:rsid w:val="00C14B9A"/>
    <w:rsid w:val="00C14BF8"/>
    <w:rsid w:val="00C14C64"/>
    <w:rsid w:val="00C14C90"/>
    <w:rsid w:val="00C14D1C"/>
    <w:rsid w:val="00C14D23"/>
    <w:rsid w:val="00C14E83"/>
    <w:rsid w:val="00C14EB5"/>
    <w:rsid w:val="00C14EFA"/>
    <w:rsid w:val="00C14F03"/>
    <w:rsid w:val="00C14F23"/>
    <w:rsid w:val="00C14F31"/>
    <w:rsid w:val="00C15017"/>
    <w:rsid w:val="00C15031"/>
    <w:rsid w:val="00C15046"/>
    <w:rsid w:val="00C1507E"/>
    <w:rsid w:val="00C15101"/>
    <w:rsid w:val="00C151BC"/>
    <w:rsid w:val="00C151E9"/>
    <w:rsid w:val="00C151F4"/>
    <w:rsid w:val="00C152A1"/>
    <w:rsid w:val="00C152AF"/>
    <w:rsid w:val="00C15375"/>
    <w:rsid w:val="00C1539D"/>
    <w:rsid w:val="00C153BB"/>
    <w:rsid w:val="00C15411"/>
    <w:rsid w:val="00C15416"/>
    <w:rsid w:val="00C154FC"/>
    <w:rsid w:val="00C155A2"/>
    <w:rsid w:val="00C15609"/>
    <w:rsid w:val="00C157F8"/>
    <w:rsid w:val="00C1587A"/>
    <w:rsid w:val="00C15882"/>
    <w:rsid w:val="00C15919"/>
    <w:rsid w:val="00C15992"/>
    <w:rsid w:val="00C159A7"/>
    <w:rsid w:val="00C159E3"/>
    <w:rsid w:val="00C15CB5"/>
    <w:rsid w:val="00C15E83"/>
    <w:rsid w:val="00C15EA3"/>
    <w:rsid w:val="00C15F0E"/>
    <w:rsid w:val="00C15F75"/>
    <w:rsid w:val="00C15FF4"/>
    <w:rsid w:val="00C1601A"/>
    <w:rsid w:val="00C16038"/>
    <w:rsid w:val="00C16067"/>
    <w:rsid w:val="00C1615E"/>
    <w:rsid w:val="00C16190"/>
    <w:rsid w:val="00C16239"/>
    <w:rsid w:val="00C1627B"/>
    <w:rsid w:val="00C1646E"/>
    <w:rsid w:val="00C16472"/>
    <w:rsid w:val="00C164CC"/>
    <w:rsid w:val="00C16606"/>
    <w:rsid w:val="00C16634"/>
    <w:rsid w:val="00C1663D"/>
    <w:rsid w:val="00C1668D"/>
    <w:rsid w:val="00C16708"/>
    <w:rsid w:val="00C16723"/>
    <w:rsid w:val="00C16751"/>
    <w:rsid w:val="00C16795"/>
    <w:rsid w:val="00C16818"/>
    <w:rsid w:val="00C1681C"/>
    <w:rsid w:val="00C1681F"/>
    <w:rsid w:val="00C16827"/>
    <w:rsid w:val="00C1684C"/>
    <w:rsid w:val="00C16862"/>
    <w:rsid w:val="00C16AAA"/>
    <w:rsid w:val="00C16AC1"/>
    <w:rsid w:val="00C16C20"/>
    <w:rsid w:val="00C16C6D"/>
    <w:rsid w:val="00C16D00"/>
    <w:rsid w:val="00C16D39"/>
    <w:rsid w:val="00C16D4E"/>
    <w:rsid w:val="00C16E55"/>
    <w:rsid w:val="00C16E95"/>
    <w:rsid w:val="00C16EA0"/>
    <w:rsid w:val="00C16F19"/>
    <w:rsid w:val="00C16F33"/>
    <w:rsid w:val="00C16F9B"/>
    <w:rsid w:val="00C17216"/>
    <w:rsid w:val="00C17285"/>
    <w:rsid w:val="00C172AA"/>
    <w:rsid w:val="00C17303"/>
    <w:rsid w:val="00C173C2"/>
    <w:rsid w:val="00C173FD"/>
    <w:rsid w:val="00C17423"/>
    <w:rsid w:val="00C174D4"/>
    <w:rsid w:val="00C174E5"/>
    <w:rsid w:val="00C174EA"/>
    <w:rsid w:val="00C17565"/>
    <w:rsid w:val="00C175C6"/>
    <w:rsid w:val="00C17652"/>
    <w:rsid w:val="00C176C1"/>
    <w:rsid w:val="00C1778C"/>
    <w:rsid w:val="00C178A4"/>
    <w:rsid w:val="00C178F8"/>
    <w:rsid w:val="00C17905"/>
    <w:rsid w:val="00C1792C"/>
    <w:rsid w:val="00C17B1E"/>
    <w:rsid w:val="00C17B45"/>
    <w:rsid w:val="00C17BEC"/>
    <w:rsid w:val="00C17C41"/>
    <w:rsid w:val="00C17C6B"/>
    <w:rsid w:val="00C17D7E"/>
    <w:rsid w:val="00C17DB6"/>
    <w:rsid w:val="00C17DFA"/>
    <w:rsid w:val="00C17E19"/>
    <w:rsid w:val="00C17E77"/>
    <w:rsid w:val="00C17EA0"/>
    <w:rsid w:val="00C17EA1"/>
    <w:rsid w:val="00C17F1B"/>
    <w:rsid w:val="00C20034"/>
    <w:rsid w:val="00C20156"/>
    <w:rsid w:val="00C20167"/>
    <w:rsid w:val="00C20245"/>
    <w:rsid w:val="00C20261"/>
    <w:rsid w:val="00C202A1"/>
    <w:rsid w:val="00C202BA"/>
    <w:rsid w:val="00C20323"/>
    <w:rsid w:val="00C20333"/>
    <w:rsid w:val="00C20340"/>
    <w:rsid w:val="00C2044D"/>
    <w:rsid w:val="00C204DB"/>
    <w:rsid w:val="00C204E3"/>
    <w:rsid w:val="00C204F4"/>
    <w:rsid w:val="00C2051D"/>
    <w:rsid w:val="00C20529"/>
    <w:rsid w:val="00C20617"/>
    <w:rsid w:val="00C2069F"/>
    <w:rsid w:val="00C206A8"/>
    <w:rsid w:val="00C206AB"/>
    <w:rsid w:val="00C206AE"/>
    <w:rsid w:val="00C206C7"/>
    <w:rsid w:val="00C207F4"/>
    <w:rsid w:val="00C2095F"/>
    <w:rsid w:val="00C20A56"/>
    <w:rsid w:val="00C20AA1"/>
    <w:rsid w:val="00C20ACB"/>
    <w:rsid w:val="00C20B29"/>
    <w:rsid w:val="00C20B3C"/>
    <w:rsid w:val="00C20B6A"/>
    <w:rsid w:val="00C20C04"/>
    <w:rsid w:val="00C20C19"/>
    <w:rsid w:val="00C20C96"/>
    <w:rsid w:val="00C20D81"/>
    <w:rsid w:val="00C20E1E"/>
    <w:rsid w:val="00C20E8E"/>
    <w:rsid w:val="00C20E96"/>
    <w:rsid w:val="00C20EDA"/>
    <w:rsid w:val="00C20EF2"/>
    <w:rsid w:val="00C20F5E"/>
    <w:rsid w:val="00C20FEB"/>
    <w:rsid w:val="00C2102D"/>
    <w:rsid w:val="00C2108F"/>
    <w:rsid w:val="00C210B1"/>
    <w:rsid w:val="00C210C1"/>
    <w:rsid w:val="00C211E3"/>
    <w:rsid w:val="00C21317"/>
    <w:rsid w:val="00C213CC"/>
    <w:rsid w:val="00C21422"/>
    <w:rsid w:val="00C2142F"/>
    <w:rsid w:val="00C21439"/>
    <w:rsid w:val="00C2143E"/>
    <w:rsid w:val="00C214D7"/>
    <w:rsid w:val="00C214E4"/>
    <w:rsid w:val="00C214FA"/>
    <w:rsid w:val="00C2157E"/>
    <w:rsid w:val="00C21610"/>
    <w:rsid w:val="00C2164A"/>
    <w:rsid w:val="00C21654"/>
    <w:rsid w:val="00C21673"/>
    <w:rsid w:val="00C216AF"/>
    <w:rsid w:val="00C216F6"/>
    <w:rsid w:val="00C21731"/>
    <w:rsid w:val="00C2174D"/>
    <w:rsid w:val="00C217C5"/>
    <w:rsid w:val="00C217E8"/>
    <w:rsid w:val="00C217EC"/>
    <w:rsid w:val="00C2180F"/>
    <w:rsid w:val="00C218CD"/>
    <w:rsid w:val="00C21972"/>
    <w:rsid w:val="00C219E3"/>
    <w:rsid w:val="00C219FF"/>
    <w:rsid w:val="00C21ABC"/>
    <w:rsid w:val="00C21ADD"/>
    <w:rsid w:val="00C21BA4"/>
    <w:rsid w:val="00C21BAE"/>
    <w:rsid w:val="00C21C00"/>
    <w:rsid w:val="00C21CAA"/>
    <w:rsid w:val="00C21DA9"/>
    <w:rsid w:val="00C21DC8"/>
    <w:rsid w:val="00C21E0D"/>
    <w:rsid w:val="00C21E78"/>
    <w:rsid w:val="00C21ED9"/>
    <w:rsid w:val="00C2206E"/>
    <w:rsid w:val="00C220F5"/>
    <w:rsid w:val="00C22136"/>
    <w:rsid w:val="00C221A4"/>
    <w:rsid w:val="00C221BC"/>
    <w:rsid w:val="00C2232A"/>
    <w:rsid w:val="00C223B8"/>
    <w:rsid w:val="00C223DC"/>
    <w:rsid w:val="00C223EC"/>
    <w:rsid w:val="00C22405"/>
    <w:rsid w:val="00C224A8"/>
    <w:rsid w:val="00C224DF"/>
    <w:rsid w:val="00C225C5"/>
    <w:rsid w:val="00C226C6"/>
    <w:rsid w:val="00C226CA"/>
    <w:rsid w:val="00C226E2"/>
    <w:rsid w:val="00C2273A"/>
    <w:rsid w:val="00C22741"/>
    <w:rsid w:val="00C2278B"/>
    <w:rsid w:val="00C227C3"/>
    <w:rsid w:val="00C227E9"/>
    <w:rsid w:val="00C229DE"/>
    <w:rsid w:val="00C229F8"/>
    <w:rsid w:val="00C22B35"/>
    <w:rsid w:val="00C22B6D"/>
    <w:rsid w:val="00C22B73"/>
    <w:rsid w:val="00C22BFE"/>
    <w:rsid w:val="00C22C9C"/>
    <w:rsid w:val="00C22D1A"/>
    <w:rsid w:val="00C22D22"/>
    <w:rsid w:val="00C22D2C"/>
    <w:rsid w:val="00C22DFC"/>
    <w:rsid w:val="00C22E0D"/>
    <w:rsid w:val="00C22EDE"/>
    <w:rsid w:val="00C22F09"/>
    <w:rsid w:val="00C2304D"/>
    <w:rsid w:val="00C23097"/>
    <w:rsid w:val="00C230E4"/>
    <w:rsid w:val="00C230EA"/>
    <w:rsid w:val="00C2311F"/>
    <w:rsid w:val="00C23174"/>
    <w:rsid w:val="00C231DA"/>
    <w:rsid w:val="00C231F7"/>
    <w:rsid w:val="00C23234"/>
    <w:rsid w:val="00C2327E"/>
    <w:rsid w:val="00C232A3"/>
    <w:rsid w:val="00C233A8"/>
    <w:rsid w:val="00C233E5"/>
    <w:rsid w:val="00C2346D"/>
    <w:rsid w:val="00C234B1"/>
    <w:rsid w:val="00C23572"/>
    <w:rsid w:val="00C23595"/>
    <w:rsid w:val="00C23598"/>
    <w:rsid w:val="00C235AE"/>
    <w:rsid w:val="00C235F8"/>
    <w:rsid w:val="00C23675"/>
    <w:rsid w:val="00C2368C"/>
    <w:rsid w:val="00C236C7"/>
    <w:rsid w:val="00C23712"/>
    <w:rsid w:val="00C2378C"/>
    <w:rsid w:val="00C237BC"/>
    <w:rsid w:val="00C23801"/>
    <w:rsid w:val="00C23973"/>
    <w:rsid w:val="00C23A05"/>
    <w:rsid w:val="00C23B00"/>
    <w:rsid w:val="00C23B2D"/>
    <w:rsid w:val="00C23C3E"/>
    <w:rsid w:val="00C23CD9"/>
    <w:rsid w:val="00C23D28"/>
    <w:rsid w:val="00C23DA1"/>
    <w:rsid w:val="00C23DD4"/>
    <w:rsid w:val="00C23ED9"/>
    <w:rsid w:val="00C23F30"/>
    <w:rsid w:val="00C24011"/>
    <w:rsid w:val="00C2405E"/>
    <w:rsid w:val="00C240A0"/>
    <w:rsid w:val="00C240C6"/>
    <w:rsid w:val="00C24125"/>
    <w:rsid w:val="00C24192"/>
    <w:rsid w:val="00C241A3"/>
    <w:rsid w:val="00C2423B"/>
    <w:rsid w:val="00C24268"/>
    <w:rsid w:val="00C24409"/>
    <w:rsid w:val="00C24419"/>
    <w:rsid w:val="00C244E5"/>
    <w:rsid w:val="00C2460D"/>
    <w:rsid w:val="00C24748"/>
    <w:rsid w:val="00C24806"/>
    <w:rsid w:val="00C248B7"/>
    <w:rsid w:val="00C24B18"/>
    <w:rsid w:val="00C24C60"/>
    <w:rsid w:val="00C24CF9"/>
    <w:rsid w:val="00C24D31"/>
    <w:rsid w:val="00C24EAC"/>
    <w:rsid w:val="00C24ED6"/>
    <w:rsid w:val="00C24EE7"/>
    <w:rsid w:val="00C24F03"/>
    <w:rsid w:val="00C24F2B"/>
    <w:rsid w:val="00C24F66"/>
    <w:rsid w:val="00C24FA4"/>
    <w:rsid w:val="00C24FCC"/>
    <w:rsid w:val="00C25049"/>
    <w:rsid w:val="00C250DE"/>
    <w:rsid w:val="00C250FC"/>
    <w:rsid w:val="00C25141"/>
    <w:rsid w:val="00C25156"/>
    <w:rsid w:val="00C254C6"/>
    <w:rsid w:val="00C25503"/>
    <w:rsid w:val="00C25525"/>
    <w:rsid w:val="00C2552C"/>
    <w:rsid w:val="00C255CA"/>
    <w:rsid w:val="00C255EC"/>
    <w:rsid w:val="00C2563B"/>
    <w:rsid w:val="00C25662"/>
    <w:rsid w:val="00C25718"/>
    <w:rsid w:val="00C2576C"/>
    <w:rsid w:val="00C25780"/>
    <w:rsid w:val="00C2585E"/>
    <w:rsid w:val="00C25906"/>
    <w:rsid w:val="00C2596A"/>
    <w:rsid w:val="00C25A23"/>
    <w:rsid w:val="00C25A6A"/>
    <w:rsid w:val="00C25A78"/>
    <w:rsid w:val="00C25A9D"/>
    <w:rsid w:val="00C25B4A"/>
    <w:rsid w:val="00C25B4D"/>
    <w:rsid w:val="00C25B95"/>
    <w:rsid w:val="00C25D00"/>
    <w:rsid w:val="00C25D24"/>
    <w:rsid w:val="00C25D55"/>
    <w:rsid w:val="00C25D85"/>
    <w:rsid w:val="00C25E08"/>
    <w:rsid w:val="00C25EEC"/>
    <w:rsid w:val="00C25F8B"/>
    <w:rsid w:val="00C25FA1"/>
    <w:rsid w:val="00C26070"/>
    <w:rsid w:val="00C2607A"/>
    <w:rsid w:val="00C260B9"/>
    <w:rsid w:val="00C2616B"/>
    <w:rsid w:val="00C26190"/>
    <w:rsid w:val="00C2620D"/>
    <w:rsid w:val="00C26213"/>
    <w:rsid w:val="00C262B7"/>
    <w:rsid w:val="00C26359"/>
    <w:rsid w:val="00C26369"/>
    <w:rsid w:val="00C26448"/>
    <w:rsid w:val="00C26491"/>
    <w:rsid w:val="00C26550"/>
    <w:rsid w:val="00C265A0"/>
    <w:rsid w:val="00C26607"/>
    <w:rsid w:val="00C266A9"/>
    <w:rsid w:val="00C266B5"/>
    <w:rsid w:val="00C2674C"/>
    <w:rsid w:val="00C267AA"/>
    <w:rsid w:val="00C26910"/>
    <w:rsid w:val="00C2697C"/>
    <w:rsid w:val="00C269DA"/>
    <w:rsid w:val="00C269DD"/>
    <w:rsid w:val="00C26A75"/>
    <w:rsid w:val="00C26A81"/>
    <w:rsid w:val="00C26AD4"/>
    <w:rsid w:val="00C26AF8"/>
    <w:rsid w:val="00C26B28"/>
    <w:rsid w:val="00C26BE6"/>
    <w:rsid w:val="00C26BEF"/>
    <w:rsid w:val="00C26BF6"/>
    <w:rsid w:val="00C26BF9"/>
    <w:rsid w:val="00C26CB9"/>
    <w:rsid w:val="00C26DC3"/>
    <w:rsid w:val="00C26EA4"/>
    <w:rsid w:val="00C26EAC"/>
    <w:rsid w:val="00C26EFB"/>
    <w:rsid w:val="00C26F62"/>
    <w:rsid w:val="00C26F87"/>
    <w:rsid w:val="00C26FA5"/>
    <w:rsid w:val="00C2705F"/>
    <w:rsid w:val="00C27073"/>
    <w:rsid w:val="00C27192"/>
    <w:rsid w:val="00C271FC"/>
    <w:rsid w:val="00C272AA"/>
    <w:rsid w:val="00C27352"/>
    <w:rsid w:val="00C27396"/>
    <w:rsid w:val="00C273D2"/>
    <w:rsid w:val="00C27447"/>
    <w:rsid w:val="00C27465"/>
    <w:rsid w:val="00C27477"/>
    <w:rsid w:val="00C274AB"/>
    <w:rsid w:val="00C274D3"/>
    <w:rsid w:val="00C2752B"/>
    <w:rsid w:val="00C2761E"/>
    <w:rsid w:val="00C2766B"/>
    <w:rsid w:val="00C2769E"/>
    <w:rsid w:val="00C2770F"/>
    <w:rsid w:val="00C27732"/>
    <w:rsid w:val="00C27738"/>
    <w:rsid w:val="00C27769"/>
    <w:rsid w:val="00C277C0"/>
    <w:rsid w:val="00C27951"/>
    <w:rsid w:val="00C27957"/>
    <w:rsid w:val="00C27992"/>
    <w:rsid w:val="00C27C51"/>
    <w:rsid w:val="00C27CAB"/>
    <w:rsid w:val="00C27CD4"/>
    <w:rsid w:val="00C27CF3"/>
    <w:rsid w:val="00C27DD1"/>
    <w:rsid w:val="00C27E0D"/>
    <w:rsid w:val="00C27E34"/>
    <w:rsid w:val="00C27E69"/>
    <w:rsid w:val="00C27F24"/>
    <w:rsid w:val="00C27F95"/>
    <w:rsid w:val="00C30180"/>
    <w:rsid w:val="00C301D7"/>
    <w:rsid w:val="00C3024F"/>
    <w:rsid w:val="00C302CD"/>
    <w:rsid w:val="00C302F0"/>
    <w:rsid w:val="00C303BE"/>
    <w:rsid w:val="00C3047B"/>
    <w:rsid w:val="00C304B7"/>
    <w:rsid w:val="00C30553"/>
    <w:rsid w:val="00C305D7"/>
    <w:rsid w:val="00C30648"/>
    <w:rsid w:val="00C30678"/>
    <w:rsid w:val="00C307F8"/>
    <w:rsid w:val="00C3082B"/>
    <w:rsid w:val="00C30881"/>
    <w:rsid w:val="00C308C2"/>
    <w:rsid w:val="00C308EE"/>
    <w:rsid w:val="00C308FA"/>
    <w:rsid w:val="00C30A4D"/>
    <w:rsid w:val="00C30A74"/>
    <w:rsid w:val="00C30A83"/>
    <w:rsid w:val="00C30B2D"/>
    <w:rsid w:val="00C30B4C"/>
    <w:rsid w:val="00C30BE1"/>
    <w:rsid w:val="00C30BE7"/>
    <w:rsid w:val="00C30C0D"/>
    <w:rsid w:val="00C30C98"/>
    <w:rsid w:val="00C30CB1"/>
    <w:rsid w:val="00C30CBB"/>
    <w:rsid w:val="00C30CE3"/>
    <w:rsid w:val="00C30D41"/>
    <w:rsid w:val="00C30E87"/>
    <w:rsid w:val="00C30EA8"/>
    <w:rsid w:val="00C30FA4"/>
    <w:rsid w:val="00C30FD8"/>
    <w:rsid w:val="00C30FF4"/>
    <w:rsid w:val="00C30FFA"/>
    <w:rsid w:val="00C31055"/>
    <w:rsid w:val="00C3116B"/>
    <w:rsid w:val="00C311F7"/>
    <w:rsid w:val="00C3128E"/>
    <w:rsid w:val="00C31304"/>
    <w:rsid w:val="00C3138F"/>
    <w:rsid w:val="00C313F6"/>
    <w:rsid w:val="00C31467"/>
    <w:rsid w:val="00C314C8"/>
    <w:rsid w:val="00C315D2"/>
    <w:rsid w:val="00C31837"/>
    <w:rsid w:val="00C318E6"/>
    <w:rsid w:val="00C31941"/>
    <w:rsid w:val="00C31984"/>
    <w:rsid w:val="00C31A75"/>
    <w:rsid w:val="00C31A8D"/>
    <w:rsid w:val="00C31A92"/>
    <w:rsid w:val="00C31ADF"/>
    <w:rsid w:val="00C31B14"/>
    <w:rsid w:val="00C31BD6"/>
    <w:rsid w:val="00C31BE8"/>
    <w:rsid w:val="00C31BF5"/>
    <w:rsid w:val="00C31BFD"/>
    <w:rsid w:val="00C31CED"/>
    <w:rsid w:val="00C31D79"/>
    <w:rsid w:val="00C31E53"/>
    <w:rsid w:val="00C31E88"/>
    <w:rsid w:val="00C31F03"/>
    <w:rsid w:val="00C31FA5"/>
    <w:rsid w:val="00C32033"/>
    <w:rsid w:val="00C3204A"/>
    <w:rsid w:val="00C32064"/>
    <w:rsid w:val="00C32098"/>
    <w:rsid w:val="00C3211B"/>
    <w:rsid w:val="00C321E1"/>
    <w:rsid w:val="00C321F6"/>
    <w:rsid w:val="00C321FB"/>
    <w:rsid w:val="00C32229"/>
    <w:rsid w:val="00C322C2"/>
    <w:rsid w:val="00C322D7"/>
    <w:rsid w:val="00C322DD"/>
    <w:rsid w:val="00C3230B"/>
    <w:rsid w:val="00C3230D"/>
    <w:rsid w:val="00C32339"/>
    <w:rsid w:val="00C3234A"/>
    <w:rsid w:val="00C323BA"/>
    <w:rsid w:val="00C323BC"/>
    <w:rsid w:val="00C323CB"/>
    <w:rsid w:val="00C32430"/>
    <w:rsid w:val="00C32591"/>
    <w:rsid w:val="00C325B0"/>
    <w:rsid w:val="00C3263E"/>
    <w:rsid w:val="00C32702"/>
    <w:rsid w:val="00C3272F"/>
    <w:rsid w:val="00C32870"/>
    <w:rsid w:val="00C328C4"/>
    <w:rsid w:val="00C32951"/>
    <w:rsid w:val="00C329CE"/>
    <w:rsid w:val="00C32A16"/>
    <w:rsid w:val="00C32A89"/>
    <w:rsid w:val="00C32AB8"/>
    <w:rsid w:val="00C32ACC"/>
    <w:rsid w:val="00C32AF2"/>
    <w:rsid w:val="00C32AF7"/>
    <w:rsid w:val="00C32B27"/>
    <w:rsid w:val="00C32BE5"/>
    <w:rsid w:val="00C32D55"/>
    <w:rsid w:val="00C32DB3"/>
    <w:rsid w:val="00C32EF5"/>
    <w:rsid w:val="00C32EFD"/>
    <w:rsid w:val="00C32F2C"/>
    <w:rsid w:val="00C32FA6"/>
    <w:rsid w:val="00C32FEA"/>
    <w:rsid w:val="00C33061"/>
    <w:rsid w:val="00C330E2"/>
    <w:rsid w:val="00C33160"/>
    <w:rsid w:val="00C33216"/>
    <w:rsid w:val="00C33408"/>
    <w:rsid w:val="00C33423"/>
    <w:rsid w:val="00C33455"/>
    <w:rsid w:val="00C334B3"/>
    <w:rsid w:val="00C334E4"/>
    <w:rsid w:val="00C334F3"/>
    <w:rsid w:val="00C33534"/>
    <w:rsid w:val="00C33563"/>
    <w:rsid w:val="00C335C4"/>
    <w:rsid w:val="00C335D1"/>
    <w:rsid w:val="00C335E3"/>
    <w:rsid w:val="00C336EF"/>
    <w:rsid w:val="00C33827"/>
    <w:rsid w:val="00C33868"/>
    <w:rsid w:val="00C33871"/>
    <w:rsid w:val="00C338D8"/>
    <w:rsid w:val="00C33910"/>
    <w:rsid w:val="00C3396F"/>
    <w:rsid w:val="00C33A68"/>
    <w:rsid w:val="00C33B0A"/>
    <w:rsid w:val="00C33B24"/>
    <w:rsid w:val="00C33B66"/>
    <w:rsid w:val="00C33BA0"/>
    <w:rsid w:val="00C33BBC"/>
    <w:rsid w:val="00C33C36"/>
    <w:rsid w:val="00C33C61"/>
    <w:rsid w:val="00C33CBC"/>
    <w:rsid w:val="00C33E83"/>
    <w:rsid w:val="00C33EBA"/>
    <w:rsid w:val="00C33EEE"/>
    <w:rsid w:val="00C340E7"/>
    <w:rsid w:val="00C34140"/>
    <w:rsid w:val="00C34191"/>
    <w:rsid w:val="00C341C8"/>
    <w:rsid w:val="00C34234"/>
    <w:rsid w:val="00C3426B"/>
    <w:rsid w:val="00C342D4"/>
    <w:rsid w:val="00C342D5"/>
    <w:rsid w:val="00C3435C"/>
    <w:rsid w:val="00C3437B"/>
    <w:rsid w:val="00C34468"/>
    <w:rsid w:val="00C344AC"/>
    <w:rsid w:val="00C344C7"/>
    <w:rsid w:val="00C34516"/>
    <w:rsid w:val="00C3453A"/>
    <w:rsid w:val="00C34557"/>
    <w:rsid w:val="00C346F1"/>
    <w:rsid w:val="00C34836"/>
    <w:rsid w:val="00C34937"/>
    <w:rsid w:val="00C34A36"/>
    <w:rsid w:val="00C34ADB"/>
    <w:rsid w:val="00C34B21"/>
    <w:rsid w:val="00C34B22"/>
    <w:rsid w:val="00C34BE3"/>
    <w:rsid w:val="00C34CD6"/>
    <w:rsid w:val="00C34D48"/>
    <w:rsid w:val="00C34DBA"/>
    <w:rsid w:val="00C34DFF"/>
    <w:rsid w:val="00C34E1D"/>
    <w:rsid w:val="00C34E55"/>
    <w:rsid w:val="00C34ED2"/>
    <w:rsid w:val="00C34F1F"/>
    <w:rsid w:val="00C34F70"/>
    <w:rsid w:val="00C34F8D"/>
    <w:rsid w:val="00C34FF7"/>
    <w:rsid w:val="00C35024"/>
    <w:rsid w:val="00C35172"/>
    <w:rsid w:val="00C3518D"/>
    <w:rsid w:val="00C351C0"/>
    <w:rsid w:val="00C352A5"/>
    <w:rsid w:val="00C352AF"/>
    <w:rsid w:val="00C352C4"/>
    <w:rsid w:val="00C35350"/>
    <w:rsid w:val="00C35499"/>
    <w:rsid w:val="00C354C0"/>
    <w:rsid w:val="00C354CD"/>
    <w:rsid w:val="00C354F3"/>
    <w:rsid w:val="00C35594"/>
    <w:rsid w:val="00C355F5"/>
    <w:rsid w:val="00C355F7"/>
    <w:rsid w:val="00C3560D"/>
    <w:rsid w:val="00C35684"/>
    <w:rsid w:val="00C356DA"/>
    <w:rsid w:val="00C35757"/>
    <w:rsid w:val="00C35820"/>
    <w:rsid w:val="00C3582B"/>
    <w:rsid w:val="00C35867"/>
    <w:rsid w:val="00C35881"/>
    <w:rsid w:val="00C3589C"/>
    <w:rsid w:val="00C358A9"/>
    <w:rsid w:val="00C35967"/>
    <w:rsid w:val="00C35982"/>
    <w:rsid w:val="00C35A73"/>
    <w:rsid w:val="00C35AB6"/>
    <w:rsid w:val="00C35AD5"/>
    <w:rsid w:val="00C35B06"/>
    <w:rsid w:val="00C35B38"/>
    <w:rsid w:val="00C35B6F"/>
    <w:rsid w:val="00C35C5B"/>
    <w:rsid w:val="00C35CEB"/>
    <w:rsid w:val="00C35D23"/>
    <w:rsid w:val="00C35D29"/>
    <w:rsid w:val="00C35E7B"/>
    <w:rsid w:val="00C35EBA"/>
    <w:rsid w:val="00C35ECE"/>
    <w:rsid w:val="00C35F1D"/>
    <w:rsid w:val="00C35F55"/>
    <w:rsid w:val="00C35FBC"/>
    <w:rsid w:val="00C35FCB"/>
    <w:rsid w:val="00C35FF1"/>
    <w:rsid w:val="00C35FF2"/>
    <w:rsid w:val="00C3608D"/>
    <w:rsid w:val="00C36092"/>
    <w:rsid w:val="00C360B6"/>
    <w:rsid w:val="00C360DF"/>
    <w:rsid w:val="00C360E0"/>
    <w:rsid w:val="00C36141"/>
    <w:rsid w:val="00C361A7"/>
    <w:rsid w:val="00C362C3"/>
    <w:rsid w:val="00C3630E"/>
    <w:rsid w:val="00C36383"/>
    <w:rsid w:val="00C36393"/>
    <w:rsid w:val="00C36476"/>
    <w:rsid w:val="00C36484"/>
    <w:rsid w:val="00C364C7"/>
    <w:rsid w:val="00C36536"/>
    <w:rsid w:val="00C3653F"/>
    <w:rsid w:val="00C365F9"/>
    <w:rsid w:val="00C36693"/>
    <w:rsid w:val="00C367BE"/>
    <w:rsid w:val="00C367F1"/>
    <w:rsid w:val="00C36810"/>
    <w:rsid w:val="00C36856"/>
    <w:rsid w:val="00C3688B"/>
    <w:rsid w:val="00C369A6"/>
    <w:rsid w:val="00C369E6"/>
    <w:rsid w:val="00C36A4A"/>
    <w:rsid w:val="00C36AED"/>
    <w:rsid w:val="00C36B2A"/>
    <w:rsid w:val="00C36B88"/>
    <w:rsid w:val="00C36BD6"/>
    <w:rsid w:val="00C36C26"/>
    <w:rsid w:val="00C36CB7"/>
    <w:rsid w:val="00C36D11"/>
    <w:rsid w:val="00C36D44"/>
    <w:rsid w:val="00C36E11"/>
    <w:rsid w:val="00C36EAA"/>
    <w:rsid w:val="00C36EBC"/>
    <w:rsid w:val="00C36F4C"/>
    <w:rsid w:val="00C36FE9"/>
    <w:rsid w:val="00C37045"/>
    <w:rsid w:val="00C3705D"/>
    <w:rsid w:val="00C3706F"/>
    <w:rsid w:val="00C370AE"/>
    <w:rsid w:val="00C370BB"/>
    <w:rsid w:val="00C37257"/>
    <w:rsid w:val="00C372FE"/>
    <w:rsid w:val="00C3736B"/>
    <w:rsid w:val="00C373FA"/>
    <w:rsid w:val="00C37458"/>
    <w:rsid w:val="00C37459"/>
    <w:rsid w:val="00C3745B"/>
    <w:rsid w:val="00C37495"/>
    <w:rsid w:val="00C375C1"/>
    <w:rsid w:val="00C375D5"/>
    <w:rsid w:val="00C37646"/>
    <w:rsid w:val="00C37658"/>
    <w:rsid w:val="00C3768F"/>
    <w:rsid w:val="00C376FC"/>
    <w:rsid w:val="00C37774"/>
    <w:rsid w:val="00C377BD"/>
    <w:rsid w:val="00C377CC"/>
    <w:rsid w:val="00C3782F"/>
    <w:rsid w:val="00C37880"/>
    <w:rsid w:val="00C378AF"/>
    <w:rsid w:val="00C3798A"/>
    <w:rsid w:val="00C379C7"/>
    <w:rsid w:val="00C379DA"/>
    <w:rsid w:val="00C379F3"/>
    <w:rsid w:val="00C37ABC"/>
    <w:rsid w:val="00C37AD9"/>
    <w:rsid w:val="00C37ADB"/>
    <w:rsid w:val="00C37AEE"/>
    <w:rsid w:val="00C37B6F"/>
    <w:rsid w:val="00C37BA3"/>
    <w:rsid w:val="00C37DDC"/>
    <w:rsid w:val="00C37DF1"/>
    <w:rsid w:val="00C37F98"/>
    <w:rsid w:val="00C40074"/>
    <w:rsid w:val="00C40084"/>
    <w:rsid w:val="00C40099"/>
    <w:rsid w:val="00C400A3"/>
    <w:rsid w:val="00C400FF"/>
    <w:rsid w:val="00C4013C"/>
    <w:rsid w:val="00C4018A"/>
    <w:rsid w:val="00C40209"/>
    <w:rsid w:val="00C4023F"/>
    <w:rsid w:val="00C40349"/>
    <w:rsid w:val="00C4036C"/>
    <w:rsid w:val="00C403E5"/>
    <w:rsid w:val="00C40580"/>
    <w:rsid w:val="00C405B5"/>
    <w:rsid w:val="00C4060A"/>
    <w:rsid w:val="00C40654"/>
    <w:rsid w:val="00C40691"/>
    <w:rsid w:val="00C406A1"/>
    <w:rsid w:val="00C406B9"/>
    <w:rsid w:val="00C406DF"/>
    <w:rsid w:val="00C40775"/>
    <w:rsid w:val="00C40817"/>
    <w:rsid w:val="00C408E1"/>
    <w:rsid w:val="00C408ED"/>
    <w:rsid w:val="00C409A8"/>
    <w:rsid w:val="00C40A21"/>
    <w:rsid w:val="00C40A2F"/>
    <w:rsid w:val="00C40A9D"/>
    <w:rsid w:val="00C40B7B"/>
    <w:rsid w:val="00C40CD3"/>
    <w:rsid w:val="00C40E12"/>
    <w:rsid w:val="00C40E42"/>
    <w:rsid w:val="00C40E65"/>
    <w:rsid w:val="00C40E7F"/>
    <w:rsid w:val="00C40E94"/>
    <w:rsid w:val="00C40EF9"/>
    <w:rsid w:val="00C40F02"/>
    <w:rsid w:val="00C40FE6"/>
    <w:rsid w:val="00C41019"/>
    <w:rsid w:val="00C41116"/>
    <w:rsid w:val="00C411DE"/>
    <w:rsid w:val="00C411E8"/>
    <w:rsid w:val="00C411F3"/>
    <w:rsid w:val="00C41204"/>
    <w:rsid w:val="00C41206"/>
    <w:rsid w:val="00C41209"/>
    <w:rsid w:val="00C41243"/>
    <w:rsid w:val="00C41274"/>
    <w:rsid w:val="00C412B5"/>
    <w:rsid w:val="00C41341"/>
    <w:rsid w:val="00C4135B"/>
    <w:rsid w:val="00C4140B"/>
    <w:rsid w:val="00C41424"/>
    <w:rsid w:val="00C4143D"/>
    <w:rsid w:val="00C414DA"/>
    <w:rsid w:val="00C41559"/>
    <w:rsid w:val="00C41578"/>
    <w:rsid w:val="00C41585"/>
    <w:rsid w:val="00C415F2"/>
    <w:rsid w:val="00C4162B"/>
    <w:rsid w:val="00C4173D"/>
    <w:rsid w:val="00C41741"/>
    <w:rsid w:val="00C41763"/>
    <w:rsid w:val="00C4176A"/>
    <w:rsid w:val="00C41896"/>
    <w:rsid w:val="00C418BB"/>
    <w:rsid w:val="00C41941"/>
    <w:rsid w:val="00C4198A"/>
    <w:rsid w:val="00C419DD"/>
    <w:rsid w:val="00C41A2D"/>
    <w:rsid w:val="00C41A47"/>
    <w:rsid w:val="00C41AA1"/>
    <w:rsid w:val="00C41AD4"/>
    <w:rsid w:val="00C41CD7"/>
    <w:rsid w:val="00C41CF5"/>
    <w:rsid w:val="00C41D04"/>
    <w:rsid w:val="00C41D0C"/>
    <w:rsid w:val="00C41D1E"/>
    <w:rsid w:val="00C41D9F"/>
    <w:rsid w:val="00C41DEF"/>
    <w:rsid w:val="00C41E9D"/>
    <w:rsid w:val="00C41ED9"/>
    <w:rsid w:val="00C41F42"/>
    <w:rsid w:val="00C42051"/>
    <w:rsid w:val="00C42055"/>
    <w:rsid w:val="00C42082"/>
    <w:rsid w:val="00C4208A"/>
    <w:rsid w:val="00C420EF"/>
    <w:rsid w:val="00C421AD"/>
    <w:rsid w:val="00C42261"/>
    <w:rsid w:val="00C422D5"/>
    <w:rsid w:val="00C4238F"/>
    <w:rsid w:val="00C423AF"/>
    <w:rsid w:val="00C42494"/>
    <w:rsid w:val="00C424FE"/>
    <w:rsid w:val="00C4250D"/>
    <w:rsid w:val="00C426E9"/>
    <w:rsid w:val="00C42769"/>
    <w:rsid w:val="00C4277D"/>
    <w:rsid w:val="00C427C5"/>
    <w:rsid w:val="00C4284B"/>
    <w:rsid w:val="00C4285A"/>
    <w:rsid w:val="00C42885"/>
    <w:rsid w:val="00C4293A"/>
    <w:rsid w:val="00C429D9"/>
    <w:rsid w:val="00C42A63"/>
    <w:rsid w:val="00C42A66"/>
    <w:rsid w:val="00C42B0A"/>
    <w:rsid w:val="00C42B71"/>
    <w:rsid w:val="00C42BDD"/>
    <w:rsid w:val="00C42BFE"/>
    <w:rsid w:val="00C42C83"/>
    <w:rsid w:val="00C42C89"/>
    <w:rsid w:val="00C42D12"/>
    <w:rsid w:val="00C42E76"/>
    <w:rsid w:val="00C42E80"/>
    <w:rsid w:val="00C42EA5"/>
    <w:rsid w:val="00C42EAA"/>
    <w:rsid w:val="00C42F92"/>
    <w:rsid w:val="00C42FAA"/>
    <w:rsid w:val="00C42FD8"/>
    <w:rsid w:val="00C43013"/>
    <w:rsid w:val="00C4306A"/>
    <w:rsid w:val="00C43095"/>
    <w:rsid w:val="00C430FC"/>
    <w:rsid w:val="00C43180"/>
    <w:rsid w:val="00C4318E"/>
    <w:rsid w:val="00C43297"/>
    <w:rsid w:val="00C432B4"/>
    <w:rsid w:val="00C43374"/>
    <w:rsid w:val="00C4339D"/>
    <w:rsid w:val="00C433F9"/>
    <w:rsid w:val="00C4346E"/>
    <w:rsid w:val="00C434A9"/>
    <w:rsid w:val="00C434FC"/>
    <w:rsid w:val="00C43513"/>
    <w:rsid w:val="00C4379B"/>
    <w:rsid w:val="00C43834"/>
    <w:rsid w:val="00C4383E"/>
    <w:rsid w:val="00C4387C"/>
    <w:rsid w:val="00C4389B"/>
    <w:rsid w:val="00C438A5"/>
    <w:rsid w:val="00C438BA"/>
    <w:rsid w:val="00C439A2"/>
    <w:rsid w:val="00C43A5D"/>
    <w:rsid w:val="00C43B14"/>
    <w:rsid w:val="00C43BFA"/>
    <w:rsid w:val="00C43CD2"/>
    <w:rsid w:val="00C43E54"/>
    <w:rsid w:val="00C43E62"/>
    <w:rsid w:val="00C43E83"/>
    <w:rsid w:val="00C43F4F"/>
    <w:rsid w:val="00C43F79"/>
    <w:rsid w:val="00C43F89"/>
    <w:rsid w:val="00C43FA9"/>
    <w:rsid w:val="00C43FF0"/>
    <w:rsid w:val="00C440C9"/>
    <w:rsid w:val="00C440D5"/>
    <w:rsid w:val="00C44132"/>
    <w:rsid w:val="00C441C8"/>
    <w:rsid w:val="00C442F6"/>
    <w:rsid w:val="00C44325"/>
    <w:rsid w:val="00C44366"/>
    <w:rsid w:val="00C44376"/>
    <w:rsid w:val="00C4439F"/>
    <w:rsid w:val="00C443A7"/>
    <w:rsid w:val="00C4441F"/>
    <w:rsid w:val="00C44442"/>
    <w:rsid w:val="00C44575"/>
    <w:rsid w:val="00C44637"/>
    <w:rsid w:val="00C44686"/>
    <w:rsid w:val="00C446D2"/>
    <w:rsid w:val="00C446D5"/>
    <w:rsid w:val="00C44752"/>
    <w:rsid w:val="00C447C1"/>
    <w:rsid w:val="00C4482C"/>
    <w:rsid w:val="00C44A51"/>
    <w:rsid w:val="00C44A75"/>
    <w:rsid w:val="00C44ADF"/>
    <w:rsid w:val="00C44B27"/>
    <w:rsid w:val="00C44B8E"/>
    <w:rsid w:val="00C44BBE"/>
    <w:rsid w:val="00C44C0D"/>
    <w:rsid w:val="00C44C56"/>
    <w:rsid w:val="00C44C9C"/>
    <w:rsid w:val="00C44EC0"/>
    <w:rsid w:val="00C44F57"/>
    <w:rsid w:val="00C44F72"/>
    <w:rsid w:val="00C44FE6"/>
    <w:rsid w:val="00C45069"/>
    <w:rsid w:val="00C4509C"/>
    <w:rsid w:val="00C4512D"/>
    <w:rsid w:val="00C45134"/>
    <w:rsid w:val="00C4513D"/>
    <w:rsid w:val="00C45221"/>
    <w:rsid w:val="00C45388"/>
    <w:rsid w:val="00C453C4"/>
    <w:rsid w:val="00C453EF"/>
    <w:rsid w:val="00C453F8"/>
    <w:rsid w:val="00C45426"/>
    <w:rsid w:val="00C45438"/>
    <w:rsid w:val="00C454D3"/>
    <w:rsid w:val="00C454DF"/>
    <w:rsid w:val="00C455E1"/>
    <w:rsid w:val="00C45621"/>
    <w:rsid w:val="00C45647"/>
    <w:rsid w:val="00C45672"/>
    <w:rsid w:val="00C456F4"/>
    <w:rsid w:val="00C45744"/>
    <w:rsid w:val="00C457AF"/>
    <w:rsid w:val="00C4586D"/>
    <w:rsid w:val="00C45885"/>
    <w:rsid w:val="00C4590F"/>
    <w:rsid w:val="00C45957"/>
    <w:rsid w:val="00C45C60"/>
    <w:rsid w:val="00C45C7C"/>
    <w:rsid w:val="00C45CA5"/>
    <w:rsid w:val="00C45CAD"/>
    <w:rsid w:val="00C45D26"/>
    <w:rsid w:val="00C45D5E"/>
    <w:rsid w:val="00C45D87"/>
    <w:rsid w:val="00C45DA1"/>
    <w:rsid w:val="00C45E12"/>
    <w:rsid w:val="00C45E2F"/>
    <w:rsid w:val="00C45E43"/>
    <w:rsid w:val="00C45EF0"/>
    <w:rsid w:val="00C45F70"/>
    <w:rsid w:val="00C46086"/>
    <w:rsid w:val="00C46099"/>
    <w:rsid w:val="00C46152"/>
    <w:rsid w:val="00C4616D"/>
    <w:rsid w:val="00C4617E"/>
    <w:rsid w:val="00C461A7"/>
    <w:rsid w:val="00C46284"/>
    <w:rsid w:val="00C462DD"/>
    <w:rsid w:val="00C46375"/>
    <w:rsid w:val="00C463D6"/>
    <w:rsid w:val="00C46432"/>
    <w:rsid w:val="00C46462"/>
    <w:rsid w:val="00C46463"/>
    <w:rsid w:val="00C46483"/>
    <w:rsid w:val="00C464C4"/>
    <w:rsid w:val="00C4653A"/>
    <w:rsid w:val="00C46685"/>
    <w:rsid w:val="00C4669C"/>
    <w:rsid w:val="00C466A4"/>
    <w:rsid w:val="00C466C3"/>
    <w:rsid w:val="00C466DE"/>
    <w:rsid w:val="00C466E7"/>
    <w:rsid w:val="00C4671B"/>
    <w:rsid w:val="00C4677C"/>
    <w:rsid w:val="00C4686E"/>
    <w:rsid w:val="00C468C3"/>
    <w:rsid w:val="00C46947"/>
    <w:rsid w:val="00C46969"/>
    <w:rsid w:val="00C46996"/>
    <w:rsid w:val="00C469C4"/>
    <w:rsid w:val="00C46B09"/>
    <w:rsid w:val="00C46C2E"/>
    <w:rsid w:val="00C46C78"/>
    <w:rsid w:val="00C46DE2"/>
    <w:rsid w:val="00C46DEA"/>
    <w:rsid w:val="00C46E18"/>
    <w:rsid w:val="00C46E85"/>
    <w:rsid w:val="00C46EB2"/>
    <w:rsid w:val="00C46EE2"/>
    <w:rsid w:val="00C46F0D"/>
    <w:rsid w:val="00C46F58"/>
    <w:rsid w:val="00C47060"/>
    <w:rsid w:val="00C47094"/>
    <w:rsid w:val="00C470ED"/>
    <w:rsid w:val="00C47128"/>
    <w:rsid w:val="00C4717C"/>
    <w:rsid w:val="00C471CA"/>
    <w:rsid w:val="00C471D3"/>
    <w:rsid w:val="00C471FE"/>
    <w:rsid w:val="00C47228"/>
    <w:rsid w:val="00C47356"/>
    <w:rsid w:val="00C47369"/>
    <w:rsid w:val="00C4743B"/>
    <w:rsid w:val="00C474F7"/>
    <w:rsid w:val="00C475B4"/>
    <w:rsid w:val="00C475B9"/>
    <w:rsid w:val="00C4760F"/>
    <w:rsid w:val="00C476BC"/>
    <w:rsid w:val="00C47759"/>
    <w:rsid w:val="00C4775E"/>
    <w:rsid w:val="00C47793"/>
    <w:rsid w:val="00C477B7"/>
    <w:rsid w:val="00C477EE"/>
    <w:rsid w:val="00C4781D"/>
    <w:rsid w:val="00C478CD"/>
    <w:rsid w:val="00C478CF"/>
    <w:rsid w:val="00C478E6"/>
    <w:rsid w:val="00C478EB"/>
    <w:rsid w:val="00C478F2"/>
    <w:rsid w:val="00C47989"/>
    <w:rsid w:val="00C47A9D"/>
    <w:rsid w:val="00C47ACC"/>
    <w:rsid w:val="00C47ADE"/>
    <w:rsid w:val="00C47BD8"/>
    <w:rsid w:val="00C47C93"/>
    <w:rsid w:val="00C47FA7"/>
    <w:rsid w:val="00C47FE9"/>
    <w:rsid w:val="00C5001A"/>
    <w:rsid w:val="00C50062"/>
    <w:rsid w:val="00C50085"/>
    <w:rsid w:val="00C5009D"/>
    <w:rsid w:val="00C500A4"/>
    <w:rsid w:val="00C500F2"/>
    <w:rsid w:val="00C50190"/>
    <w:rsid w:val="00C50262"/>
    <w:rsid w:val="00C502BB"/>
    <w:rsid w:val="00C502F6"/>
    <w:rsid w:val="00C50315"/>
    <w:rsid w:val="00C50366"/>
    <w:rsid w:val="00C50436"/>
    <w:rsid w:val="00C50439"/>
    <w:rsid w:val="00C50791"/>
    <w:rsid w:val="00C507C5"/>
    <w:rsid w:val="00C507DF"/>
    <w:rsid w:val="00C508A1"/>
    <w:rsid w:val="00C508D6"/>
    <w:rsid w:val="00C50935"/>
    <w:rsid w:val="00C50947"/>
    <w:rsid w:val="00C509D5"/>
    <w:rsid w:val="00C50A8D"/>
    <w:rsid w:val="00C50B4E"/>
    <w:rsid w:val="00C50BC6"/>
    <w:rsid w:val="00C50BC7"/>
    <w:rsid w:val="00C50C19"/>
    <w:rsid w:val="00C50D2A"/>
    <w:rsid w:val="00C50D59"/>
    <w:rsid w:val="00C50DF6"/>
    <w:rsid w:val="00C50EA8"/>
    <w:rsid w:val="00C50F35"/>
    <w:rsid w:val="00C50F9D"/>
    <w:rsid w:val="00C50FC6"/>
    <w:rsid w:val="00C5118E"/>
    <w:rsid w:val="00C511D3"/>
    <w:rsid w:val="00C51265"/>
    <w:rsid w:val="00C51379"/>
    <w:rsid w:val="00C51388"/>
    <w:rsid w:val="00C5146E"/>
    <w:rsid w:val="00C5148B"/>
    <w:rsid w:val="00C514CB"/>
    <w:rsid w:val="00C514E5"/>
    <w:rsid w:val="00C515DD"/>
    <w:rsid w:val="00C515E6"/>
    <w:rsid w:val="00C51669"/>
    <w:rsid w:val="00C517D4"/>
    <w:rsid w:val="00C517E6"/>
    <w:rsid w:val="00C517F8"/>
    <w:rsid w:val="00C5183C"/>
    <w:rsid w:val="00C51942"/>
    <w:rsid w:val="00C51AAC"/>
    <w:rsid w:val="00C51B59"/>
    <w:rsid w:val="00C51BEE"/>
    <w:rsid w:val="00C51BF6"/>
    <w:rsid w:val="00C51C34"/>
    <w:rsid w:val="00C51CFE"/>
    <w:rsid w:val="00C51D10"/>
    <w:rsid w:val="00C51D4C"/>
    <w:rsid w:val="00C51D88"/>
    <w:rsid w:val="00C51DC2"/>
    <w:rsid w:val="00C51DCD"/>
    <w:rsid w:val="00C5204D"/>
    <w:rsid w:val="00C520AF"/>
    <w:rsid w:val="00C52172"/>
    <w:rsid w:val="00C5226C"/>
    <w:rsid w:val="00C5226E"/>
    <w:rsid w:val="00C52350"/>
    <w:rsid w:val="00C523D3"/>
    <w:rsid w:val="00C523F3"/>
    <w:rsid w:val="00C5241C"/>
    <w:rsid w:val="00C5243A"/>
    <w:rsid w:val="00C524A2"/>
    <w:rsid w:val="00C524B4"/>
    <w:rsid w:val="00C52527"/>
    <w:rsid w:val="00C5254E"/>
    <w:rsid w:val="00C52565"/>
    <w:rsid w:val="00C525CF"/>
    <w:rsid w:val="00C52652"/>
    <w:rsid w:val="00C52688"/>
    <w:rsid w:val="00C5268F"/>
    <w:rsid w:val="00C526D4"/>
    <w:rsid w:val="00C5291C"/>
    <w:rsid w:val="00C52939"/>
    <w:rsid w:val="00C529E3"/>
    <w:rsid w:val="00C529F5"/>
    <w:rsid w:val="00C52A12"/>
    <w:rsid w:val="00C52AA6"/>
    <w:rsid w:val="00C52B20"/>
    <w:rsid w:val="00C52C43"/>
    <w:rsid w:val="00C52D23"/>
    <w:rsid w:val="00C52D55"/>
    <w:rsid w:val="00C52D75"/>
    <w:rsid w:val="00C52DD3"/>
    <w:rsid w:val="00C52E3A"/>
    <w:rsid w:val="00C52F31"/>
    <w:rsid w:val="00C52FE4"/>
    <w:rsid w:val="00C53288"/>
    <w:rsid w:val="00C533A9"/>
    <w:rsid w:val="00C53408"/>
    <w:rsid w:val="00C5344E"/>
    <w:rsid w:val="00C5348F"/>
    <w:rsid w:val="00C53504"/>
    <w:rsid w:val="00C53554"/>
    <w:rsid w:val="00C53570"/>
    <w:rsid w:val="00C53576"/>
    <w:rsid w:val="00C5359B"/>
    <w:rsid w:val="00C53626"/>
    <w:rsid w:val="00C5367E"/>
    <w:rsid w:val="00C536AF"/>
    <w:rsid w:val="00C53716"/>
    <w:rsid w:val="00C5377A"/>
    <w:rsid w:val="00C538D0"/>
    <w:rsid w:val="00C53982"/>
    <w:rsid w:val="00C53A54"/>
    <w:rsid w:val="00C53AA0"/>
    <w:rsid w:val="00C53AD7"/>
    <w:rsid w:val="00C53BB4"/>
    <w:rsid w:val="00C53CA6"/>
    <w:rsid w:val="00C53E03"/>
    <w:rsid w:val="00C53EB4"/>
    <w:rsid w:val="00C53F9B"/>
    <w:rsid w:val="00C53FA8"/>
    <w:rsid w:val="00C53FF9"/>
    <w:rsid w:val="00C54098"/>
    <w:rsid w:val="00C54137"/>
    <w:rsid w:val="00C54160"/>
    <w:rsid w:val="00C54196"/>
    <w:rsid w:val="00C5419B"/>
    <w:rsid w:val="00C5420C"/>
    <w:rsid w:val="00C54237"/>
    <w:rsid w:val="00C542FA"/>
    <w:rsid w:val="00C5433B"/>
    <w:rsid w:val="00C543A7"/>
    <w:rsid w:val="00C54460"/>
    <w:rsid w:val="00C54519"/>
    <w:rsid w:val="00C5451D"/>
    <w:rsid w:val="00C54536"/>
    <w:rsid w:val="00C54597"/>
    <w:rsid w:val="00C545F2"/>
    <w:rsid w:val="00C54659"/>
    <w:rsid w:val="00C5469F"/>
    <w:rsid w:val="00C546B9"/>
    <w:rsid w:val="00C5470B"/>
    <w:rsid w:val="00C5473A"/>
    <w:rsid w:val="00C54753"/>
    <w:rsid w:val="00C5479C"/>
    <w:rsid w:val="00C547F9"/>
    <w:rsid w:val="00C54839"/>
    <w:rsid w:val="00C54857"/>
    <w:rsid w:val="00C548A5"/>
    <w:rsid w:val="00C54983"/>
    <w:rsid w:val="00C549AF"/>
    <w:rsid w:val="00C54A24"/>
    <w:rsid w:val="00C54A74"/>
    <w:rsid w:val="00C54B6B"/>
    <w:rsid w:val="00C54BE4"/>
    <w:rsid w:val="00C54C3C"/>
    <w:rsid w:val="00C54D12"/>
    <w:rsid w:val="00C54D55"/>
    <w:rsid w:val="00C54D7F"/>
    <w:rsid w:val="00C54E42"/>
    <w:rsid w:val="00C54E6F"/>
    <w:rsid w:val="00C54EDA"/>
    <w:rsid w:val="00C54EF8"/>
    <w:rsid w:val="00C54F28"/>
    <w:rsid w:val="00C54FFE"/>
    <w:rsid w:val="00C5505C"/>
    <w:rsid w:val="00C550D4"/>
    <w:rsid w:val="00C5517C"/>
    <w:rsid w:val="00C55185"/>
    <w:rsid w:val="00C55190"/>
    <w:rsid w:val="00C551B8"/>
    <w:rsid w:val="00C551ED"/>
    <w:rsid w:val="00C55317"/>
    <w:rsid w:val="00C553C9"/>
    <w:rsid w:val="00C553D5"/>
    <w:rsid w:val="00C553EE"/>
    <w:rsid w:val="00C5541A"/>
    <w:rsid w:val="00C5549B"/>
    <w:rsid w:val="00C554A9"/>
    <w:rsid w:val="00C554FF"/>
    <w:rsid w:val="00C5551C"/>
    <w:rsid w:val="00C55629"/>
    <w:rsid w:val="00C5567B"/>
    <w:rsid w:val="00C5568B"/>
    <w:rsid w:val="00C5570C"/>
    <w:rsid w:val="00C55817"/>
    <w:rsid w:val="00C5583D"/>
    <w:rsid w:val="00C55903"/>
    <w:rsid w:val="00C55914"/>
    <w:rsid w:val="00C55985"/>
    <w:rsid w:val="00C559A1"/>
    <w:rsid w:val="00C559D6"/>
    <w:rsid w:val="00C55A74"/>
    <w:rsid w:val="00C55B56"/>
    <w:rsid w:val="00C55B8E"/>
    <w:rsid w:val="00C55B92"/>
    <w:rsid w:val="00C55C33"/>
    <w:rsid w:val="00C55CF1"/>
    <w:rsid w:val="00C55DBB"/>
    <w:rsid w:val="00C55E41"/>
    <w:rsid w:val="00C55EB2"/>
    <w:rsid w:val="00C55EC7"/>
    <w:rsid w:val="00C55FC5"/>
    <w:rsid w:val="00C560C3"/>
    <w:rsid w:val="00C560CA"/>
    <w:rsid w:val="00C56131"/>
    <w:rsid w:val="00C56159"/>
    <w:rsid w:val="00C561AF"/>
    <w:rsid w:val="00C561CB"/>
    <w:rsid w:val="00C56201"/>
    <w:rsid w:val="00C56228"/>
    <w:rsid w:val="00C562E2"/>
    <w:rsid w:val="00C56345"/>
    <w:rsid w:val="00C56397"/>
    <w:rsid w:val="00C563FA"/>
    <w:rsid w:val="00C563FE"/>
    <w:rsid w:val="00C564C0"/>
    <w:rsid w:val="00C56521"/>
    <w:rsid w:val="00C56572"/>
    <w:rsid w:val="00C5668A"/>
    <w:rsid w:val="00C566B1"/>
    <w:rsid w:val="00C566B7"/>
    <w:rsid w:val="00C567CE"/>
    <w:rsid w:val="00C5692A"/>
    <w:rsid w:val="00C56986"/>
    <w:rsid w:val="00C56A02"/>
    <w:rsid w:val="00C56A8E"/>
    <w:rsid w:val="00C56B05"/>
    <w:rsid w:val="00C56B2A"/>
    <w:rsid w:val="00C56BD5"/>
    <w:rsid w:val="00C56D54"/>
    <w:rsid w:val="00C56D77"/>
    <w:rsid w:val="00C56E4E"/>
    <w:rsid w:val="00C56EF0"/>
    <w:rsid w:val="00C57012"/>
    <w:rsid w:val="00C57034"/>
    <w:rsid w:val="00C570B6"/>
    <w:rsid w:val="00C570C9"/>
    <w:rsid w:val="00C570CA"/>
    <w:rsid w:val="00C57181"/>
    <w:rsid w:val="00C5722A"/>
    <w:rsid w:val="00C5729D"/>
    <w:rsid w:val="00C57324"/>
    <w:rsid w:val="00C57332"/>
    <w:rsid w:val="00C573C5"/>
    <w:rsid w:val="00C574CE"/>
    <w:rsid w:val="00C574EE"/>
    <w:rsid w:val="00C574FD"/>
    <w:rsid w:val="00C57509"/>
    <w:rsid w:val="00C57653"/>
    <w:rsid w:val="00C57735"/>
    <w:rsid w:val="00C57767"/>
    <w:rsid w:val="00C57796"/>
    <w:rsid w:val="00C577B6"/>
    <w:rsid w:val="00C577E8"/>
    <w:rsid w:val="00C57818"/>
    <w:rsid w:val="00C57837"/>
    <w:rsid w:val="00C57990"/>
    <w:rsid w:val="00C57A68"/>
    <w:rsid w:val="00C57A94"/>
    <w:rsid w:val="00C57AEB"/>
    <w:rsid w:val="00C57B58"/>
    <w:rsid w:val="00C57BAD"/>
    <w:rsid w:val="00C57C26"/>
    <w:rsid w:val="00C57D84"/>
    <w:rsid w:val="00C57D8D"/>
    <w:rsid w:val="00C57D9A"/>
    <w:rsid w:val="00C57DCA"/>
    <w:rsid w:val="00C57E13"/>
    <w:rsid w:val="00C57F5F"/>
    <w:rsid w:val="00C57FEC"/>
    <w:rsid w:val="00C60059"/>
    <w:rsid w:val="00C6009D"/>
    <w:rsid w:val="00C600B2"/>
    <w:rsid w:val="00C600DE"/>
    <w:rsid w:val="00C6014B"/>
    <w:rsid w:val="00C60260"/>
    <w:rsid w:val="00C603AC"/>
    <w:rsid w:val="00C603BE"/>
    <w:rsid w:val="00C603F2"/>
    <w:rsid w:val="00C60435"/>
    <w:rsid w:val="00C6047F"/>
    <w:rsid w:val="00C6048E"/>
    <w:rsid w:val="00C604C2"/>
    <w:rsid w:val="00C6053E"/>
    <w:rsid w:val="00C60562"/>
    <w:rsid w:val="00C6057E"/>
    <w:rsid w:val="00C6066A"/>
    <w:rsid w:val="00C606A7"/>
    <w:rsid w:val="00C606C4"/>
    <w:rsid w:val="00C60763"/>
    <w:rsid w:val="00C607FD"/>
    <w:rsid w:val="00C60813"/>
    <w:rsid w:val="00C60840"/>
    <w:rsid w:val="00C609C4"/>
    <w:rsid w:val="00C60AEE"/>
    <w:rsid w:val="00C60B9D"/>
    <w:rsid w:val="00C60BBA"/>
    <w:rsid w:val="00C60C0B"/>
    <w:rsid w:val="00C60C46"/>
    <w:rsid w:val="00C60C8D"/>
    <w:rsid w:val="00C60CA9"/>
    <w:rsid w:val="00C60CBD"/>
    <w:rsid w:val="00C60E05"/>
    <w:rsid w:val="00C60E17"/>
    <w:rsid w:val="00C60E70"/>
    <w:rsid w:val="00C60F4C"/>
    <w:rsid w:val="00C61044"/>
    <w:rsid w:val="00C6106E"/>
    <w:rsid w:val="00C61120"/>
    <w:rsid w:val="00C61125"/>
    <w:rsid w:val="00C61223"/>
    <w:rsid w:val="00C6128A"/>
    <w:rsid w:val="00C612A4"/>
    <w:rsid w:val="00C61335"/>
    <w:rsid w:val="00C61383"/>
    <w:rsid w:val="00C61398"/>
    <w:rsid w:val="00C614BF"/>
    <w:rsid w:val="00C6154B"/>
    <w:rsid w:val="00C61594"/>
    <w:rsid w:val="00C615DF"/>
    <w:rsid w:val="00C615F5"/>
    <w:rsid w:val="00C6164F"/>
    <w:rsid w:val="00C61652"/>
    <w:rsid w:val="00C6166D"/>
    <w:rsid w:val="00C6169B"/>
    <w:rsid w:val="00C6173E"/>
    <w:rsid w:val="00C617FD"/>
    <w:rsid w:val="00C61809"/>
    <w:rsid w:val="00C61821"/>
    <w:rsid w:val="00C618B9"/>
    <w:rsid w:val="00C6192F"/>
    <w:rsid w:val="00C6197A"/>
    <w:rsid w:val="00C619F8"/>
    <w:rsid w:val="00C61A1E"/>
    <w:rsid w:val="00C61A52"/>
    <w:rsid w:val="00C61A59"/>
    <w:rsid w:val="00C61AA7"/>
    <w:rsid w:val="00C61ADC"/>
    <w:rsid w:val="00C61AFB"/>
    <w:rsid w:val="00C61B60"/>
    <w:rsid w:val="00C61BA9"/>
    <w:rsid w:val="00C61BCC"/>
    <w:rsid w:val="00C61BF0"/>
    <w:rsid w:val="00C61BFC"/>
    <w:rsid w:val="00C61C46"/>
    <w:rsid w:val="00C61C7D"/>
    <w:rsid w:val="00C61CC1"/>
    <w:rsid w:val="00C61CC2"/>
    <w:rsid w:val="00C61CCE"/>
    <w:rsid w:val="00C61DC1"/>
    <w:rsid w:val="00C61DF4"/>
    <w:rsid w:val="00C61E41"/>
    <w:rsid w:val="00C61EC8"/>
    <w:rsid w:val="00C61F12"/>
    <w:rsid w:val="00C61F36"/>
    <w:rsid w:val="00C61F93"/>
    <w:rsid w:val="00C62018"/>
    <w:rsid w:val="00C62053"/>
    <w:rsid w:val="00C620C9"/>
    <w:rsid w:val="00C62112"/>
    <w:rsid w:val="00C6211A"/>
    <w:rsid w:val="00C621A5"/>
    <w:rsid w:val="00C621F1"/>
    <w:rsid w:val="00C62206"/>
    <w:rsid w:val="00C62212"/>
    <w:rsid w:val="00C62310"/>
    <w:rsid w:val="00C6242B"/>
    <w:rsid w:val="00C62507"/>
    <w:rsid w:val="00C6257C"/>
    <w:rsid w:val="00C625A4"/>
    <w:rsid w:val="00C625E1"/>
    <w:rsid w:val="00C626F8"/>
    <w:rsid w:val="00C62704"/>
    <w:rsid w:val="00C6273A"/>
    <w:rsid w:val="00C62809"/>
    <w:rsid w:val="00C62880"/>
    <w:rsid w:val="00C628A8"/>
    <w:rsid w:val="00C629E9"/>
    <w:rsid w:val="00C62A03"/>
    <w:rsid w:val="00C62AC3"/>
    <w:rsid w:val="00C62BAC"/>
    <w:rsid w:val="00C62C1F"/>
    <w:rsid w:val="00C62C2F"/>
    <w:rsid w:val="00C62C35"/>
    <w:rsid w:val="00C62CC1"/>
    <w:rsid w:val="00C62D6F"/>
    <w:rsid w:val="00C62DED"/>
    <w:rsid w:val="00C62E99"/>
    <w:rsid w:val="00C62EF2"/>
    <w:rsid w:val="00C62F6B"/>
    <w:rsid w:val="00C62F77"/>
    <w:rsid w:val="00C62FFB"/>
    <w:rsid w:val="00C63056"/>
    <w:rsid w:val="00C63101"/>
    <w:rsid w:val="00C63119"/>
    <w:rsid w:val="00C63120"/>
    <w:rsid w:val="00C6330F"/>
    <w:rsid w:val="00C633C4"/>
    <w:rsid w:val="00C633F9"/>
    <w:rsid w:val="00C6345E"/>
    <w:rsid w:val="00C634ED"/>
    <w:rsid w:val="00C63510"/>
    <w:rsid w:val="00C63549"/>
    <w:rsid w:val="00C6357B"/>
    <w:rsid w:val="00C63590"/>
    <w:rsid w:val="00C635E5"/>
    <w:rsid w:val="00C63660"/>
    <w:rsid w:val="00C636D3"/>
    <w:rsid w:val="00C63775"/>
    <w:rsid w:val="00C638FB"/>
    <w:rsid w:val="00C63957"/>
    <w:rsid w:val="00C63A07"/>
    <w:rsid w:val="00C63B0D"/>
    <w:rsid w:val="00C63B50"/>
    <w:rsid w:val="00C63B57"/>
    <w:rsid w:val="00C63B93"/>
    <w:rsid w:val="00C63BEE"/>
    <w:rsid w:val="00C63C08"/>
    <w:rsid w:val="00C63C60"/>
    <w:rsid w:val="00C63C66"/>
    <w:rsid w:val="00C63C90"/>
    <w:rsid w:val="00C63D0C"/>
    <w:rsid w:val="00C63D2C"/>
    <w:rsid w:val="00C63D4F"/>
    <w:rsid w:val="00C63D50"/>
    <w:rsid w:val="00C63DCD"/>
    <w:rsid w:val="00C63DEE"/>
    <w:rsid w:val="00C63E21"/>
    <w:rsid w:val="00C63E2B"/>
    <w:rsid w:val="00C63E51"/>
    <w:rsid w:val="00C63F16"/>
    <w:rsid w:val="00C6405C"/>
    <w:rsid w:val="00C64169"/>
    <w:rsid w:val="00C64172"/>
    <w:rsid w:val="00C641EB"/>
    <w:rsid w:val="00C64203"/>
    <w:rsid w:val="00C6423B"/>
    <w:rsid w:val="00C6424E"/>
    <w:rsid w:val="00C642B0"/>
    <w:rsid w:val="00C64354"/>
    <w:rsid w:val="00C64373"/>
    <w:rsid w:val="00C643C7"/>
    <w:rsid w:val="00C643F6"/>
    <w:rsid w:val="00C6441D"/>
    <w:rsid w:val="00C6443A"/>
    <w:rsid w:val="00C644C4"/>
    <w:rsid w:val="00C644CD"/>
    <w:rsid w:val="00C644D3"/>
    <w:rsid w:val="00C644D6"/>
    <w:rsid w:val="00C644DE"/>
    <w:rsid w:val="00C645D7"/>
    <w:rsid w:val="00C6469C"/>
    <w:rsid w:val="00C646EA"/>
    <w:rsid w:val="00C64785"/>
    <w:rsid w:val="00C64794"/>
    <w:rsid w:val="00C64817"/>
    <w:rsid w:val="00C64847"/>
    <w:rsid w:val="00C6485D"/>
    <w:rsid w:val="00C648A3"/>
    <w:rsid w:val="00C6490A"/>
    <w:rsid w:val="00C6491A"/>
    <w:rsid w:val="00C6498B"/>
    <w:rsid w:val="00C64995"/>
    <w:rsid w:val="00C64A0A"/>
    <w:rsid w:val="00C64A10"/>
    <w:rsid w:val="00C64A3D"/>
    <w:rsid w:val="00C64A72"/>
    <w:rsid w:val="00C64BF7"/>
    <w:rsid w:val="00C64CD2"/>
    <w:rsid w:val="00C64CED"/>
    <w:rsid w:val="00C64D26"/>
    <w:rsid w:val="00C64D80"/>
    <w:rsid w:val="00C64DB9"/>
    <w:rsid w:val="00C64DC3"/>
    <w:rsid w:val="00C64DC8"/>
    <w:rsid w:val="00C64E64"/>
    <w:rsid w:val="00C64EFC"/>
    <w:rsid w:val="00C65044"/>
    <w:rsid w:val="00C650B9"/>
    <w:rsid w:val="00C6512A"/>
    <w:rsid w:val="00C65130"/>
    <w:rsid w:val="00C6518C"/>
    <w:rsid w:val="00C651D5"/>
    <w:rsid w:val="00C65247"/>
    <w:rsid w:val="00C652FE"/>
    <w:rsid w:val="00C6539A"/>
    <w:rsid w:val="00C653FB"/>
    <w:rsid w:val="00C653FE"/>
    <w:rsid w:val="00C65478"/>
    <w:rsid w:val="00C654DC"/>
    <w:rsid w:val="00C6550B"/>
    <w:rsid w:val="00C65584"/>
    <w:rsid w:val="00C6566F"/>
    <w:rsid w:val="00C656DF"/>
    <w:rsid w:val="00C65737"/>
    <w:rsid w:val="00C657C6"/>
    <w:rsid w:val="00C657D6"/>
    <w:rsid w:val="00C6586E"/>
    <w:rsid w:val="00C65880"/>
    <w:rsid w:val="00C65960"/>
    <w:rsid w:val="00C659E4"/>
    <w:rsid w:val="00C65A68"/>
    <w:rsid w:val="00C65A6A"/>
    <w:rsid w:val="00C65A74"/>
    <w:rsid w:val="00C65BC3"/>
    <w:rsid w:val="00C65C8D"/>
    <w:rsid w:val="00C65CFC"/>
    <w:rsid w:val="00C65D06"/>
    <w:rsid w:val="00C65D3D"/>
    <w:rsid w:val="00C65DD0"/>
    <w:rsid w:val="00C65E05"/>
    <w:rsid w:val="00C65F2A"/>
    <w:rsid w:val="00C65F60"/>
    <w:rsid w:val="00C65F6A"/>
    <w:rsid w:val="00C660D1"/>
    <w:rsid w:val="00C660E1"/>
    <w:rsid w:val="00C66100"/>
    <w:rsid w:val="00C66115"/>
    <w:rsid w:val="00C66131"/>
    <w:rsid w:val="00C661EF"/>
    <w:rsid w:val="00C66298"/>
    <w:rsid w:val="00C662BB"/>
    <w:rsid w:val="00C66332"/>
    <w:rsid w:val="00C66346"/>
    <w:rsid w:val="00C6636A"/>
    <w:rsid w:val="00C6639B"/>
    <w:rsid w:val="00C663BB"/>
    <w:rsid w:val="00C663E1"/>
    <w:rsid w:val="00C6640A"/>
    <w:rsid w:val="00C6642D"/>
    <w:rsid w:val="00C6648B"/>
    <w:rsid w:val="00C664EA"/>
    <w:rsid w:val="00C66556"/>
    <w:rsid w:val="00C665B8"/>
    <w:rsid w:val="00C66603"/>
    <w:rsid w:val="00C66639"/>
    <w:rsid w:val="00C6671B"/>
    <w:rsid w:val="00C6676D"/>
    <w:rsid w:val="00C667F7"/>
    <w:rsid w:val="00C6695C"/>
    <w:rsid w:val="00C66975"/>
    <w:rsid w:val="00C669F7"/>
    <w:rsid w:val="00C66A62"/>
    <w:rsid w:val="00C66B88"/>
    <w:rsid w:val="00C66B9F"/>
    <w:rsid w:val="00C66BC3"/>
    <w:rsid w:val="00C66BDD"/>
    <w:rsid w:val="00C66BE9"/>
    <w:rsid w:val="00C66C53"/>
    <w:rsid w:val="00C66C9C"/>
    <w:rsid w:val="00C66D4B"/>
    <w:rsid w:val="00C66DE9"/>
    <w:rsid w:val="00C66E3E"/>
    <w:rsid w:val="00C66EA2"/>
    <w:rsid w:val="00C66EBC"/>
    <w:rsid w:val="00C67077"/>
    <w:rsid w:val="00C670D8"/>
    <w:rsid w:val="00C6710B"/>
    <w:rsid w:val="00C6710C"/>
    <w:rsid w:val="00C67113"/>
    <w:rsid w:val="00C6718A"/>
    <w:rsid w:val="00C67223"/>
    <w:rsid w:val="00C6736C"/>
    <w:rsid w:val="00C67401"/>
    <w:rsid w:val="00C67472"/>
    <w:rsid w:val="00C674D2"/>
    <w:rsid w:val="00C67518"/>
    <w:rsid w:val="00C67590"/>
    <w:rsid w:val="00C675A7"/>
    <w:rsid w:val="00C675EC"/>
    <w:rsid w:val="00C676E4"/>
    <w:rsid w:val="00C676F1"/>
    <w:rsid w:val="00C677D2"/>
    <w:rsid w:val="00C67897"/>
    <w:rsid w:val="00C679B3"/>
    <w:rsid w:val="00C679FC"/>
    <w:rsid w:val="00C67A56"/>
    <w:rsid w:val="00C67A74"/>
    <w:rsid w:val="00C67A80"/>
    <w:rsid w:val="00C67AF9"/>
    <w:rsid w:val="00C67BD2"/>
    <w:rsid w:val="00C67C6A"/>
    <w:rsid w:val="00C67CBA"/>
    <w:rsid w:val="00C67D2A"/>
    <w:rsid w:val="00C67D95"/>
    <w:rsid w:val="00C67E22"/>
    <w:rsid w:val="00C67E4A"/>
    <w:rsid w:val="00C67EB4"/>
    <w:rsid w:val="00C67F48"/>
    <w:rsid w:val="00C67F83"/>
    <w:rsid w:val="00C67F8C"/>
    <w:rsid w:val="00C67F9D"/>
    <w:rsid w:val="00C67FAE"/>
    <w:rsid w:val="00C7003D"/>
    <w:rsid w:val="00C700AD"/>
    <w:rsid w:val="00C70265"/>
    <w:rsid w:val="00C70281"/>
    <w:rsid w:val="00C702B4"/>
    <w:rsid w:val="00C70303"/>
    <w:rsid w:val="00C7033D"/>
    <w:rsid w:val="00C703A1"/>
    <w:rsid w:val="00C703C1"/>
    <w:rsid w:val="00C703E4"/>
    <w:rsid w:val="00C70425"/>
    <w:rsid w:val="00C7049A"/>
    <w:rsid w:val="00C70597"/>
    <w:rsid w:val="00C705A9"/>
    <w:rsid w:val="00C70602"/>
    <w:rsid w:val="00C70639"/>
    <w:rsid w:val="00C7063F"/>
    <w:rsid w:val="00C70698"/>
    <w:rsid w:val="00C707CE"/>
    <w:rsid w:val="00C70811"/>
    <w:rsid w:val="00C70824"/>
    <w:rsid w:val="00C7088A"/>
    <w:rsid w:val="00C708B8"/>
    <w:rsid w:val="00C70955"/>
    <w:rsid w:val="00C709C2"/>
    <w:rsid w:val="00C709E7"/>
    <w:rsid w:val="00C70A85"/>
    <w:rsid w:val="00C70BF5"/>
    <w:rsid w:val="00C70C54"/>
    <w:rsid w:val="00C70C55"/>
    <w:rsid w:val="00C70C6A"/>
    <w:rsid w:val="00C70C8E"/>
    <w:rsid w:val="00C70D24"/>
    <w:rsid w:val="00C70D95"/>
    <w:rsid w:val="00C70DAE"/>
    <w:rsid w:val="00C70DE6"/>
    <w:rsid w:val="00C70DF8"/>
    <w:rsid w:val="00C70E02"/>
    <w:rsid w:val="00C70EAA"/>
    <w:rsid w:val="00C70F9C"/>
    <w:rsid w:val="00C710AC"/>
    <w:rsid w:val="00C71130"/>
    <w:rsid w:val="00C7114E"/>
    <w:rsid w:val="00C71184"/>
    <w:rsid w:val="00C711A1"/>
    <w:rsid w:val="00C711A8"/>
    <w:rsid w:val="00C711CB"/>
    <w:rsid w:val="00C711D9"/>
    <w:rsid w:val="00C71244"/>
    <w:rsid w:val="00C71275"/>
    <w:rsid w:val="00C712F1"/>
    <w:rsid w:val="00C713B0"/>
    <w:rsid w:val="00C71419"/>
    <w:rsid w:val="00C7147F"/>
    <w:rsid w:val="00C715AC"/>
    <w:rsid w:val="00C715B0"/>
    <w:rsid w:val="00C71641"/>
    <w:rsid w:val="00C71643"/>
    <w:rsid w:val="00C71669"/>
    <w:rsid w:val="00C71692"/>
    <w:rsid w:val="00C717DF"/>
    <w:rsid w:val="00C717E4"/>
    <w:rsid w:val="00C71815"/>
    <w:rsid w:val="00C71866"/>
    <w:rsid w:val="00C71925"/>
    <w:rsid w:val="00C71A09"/>
    <w:rsid w:val="00C71A44"/>
    <w:rsid w:val="00C71AB2"/>
    <w:rsid w:val="00C71B22"/>
    <w:rsid w:val="00C71BA5"/>
    <w:rsid w:val="00C71BFB"/>
    <w:rsid w:val="00C71C6A"/>
    <w:rsid w:val="00C71E27"/>
    <w:rsid w:val="00C71E75"/>
    <w:rsid w:val="00C71F33"/>
    <w:rsid w:val="00C72010"/>
    <w:rsid w:val="00C72029"/>
    <w:rsid w:val="00C72062"/>
    <w:rsid w:val="00C72076"/>
    <w:rsid w:val="00C72082"/>
    <w:rsid w:val="00C72090"/>
    <w:rsid w:val="00C720DC"/>
    <w:rsid w:val="00C72196"/>
    <w:rsid w:val="00C721C9"/>
    <w:rsid w:val="00C721D3"/>
    <w:rsid w:val="00C72226"/>
    <w:rsid w:val="00C72273"/>
    <w:rsid w:val="00C7228C"/>
    <w:rsid w:val="00C722C2"/>
    <w:rsid w:val="00C722FE"/>
    <w:rsid w:val="00C7233A"/>
    <w:rsid w:val="00C724F1"/>
    <w:rsid w:val="00C72525"/>
    <w:rsid w:val="00C72555"/>
    <w:rsid w:val="00C72583"/>
    <w:rsid w:val="00C7269D"/>
    <w:rsid w:val="00C72738"/>
    <w:rsid w:val="00C7277F"/>
    <w:rsid w:val="00C72795"/>
    <w:rsid w:val="00C727A0"/>
    <w:rsid w:val="00C727A7"/>
    <w:rsid w:val="00C727CF"/>
    <w:rsid w:val="00C728CF"/>
    <w:rsid w:val="00C728D9"/>
    <w:rsid w:val="00C72934"/>
    <w:rsid w:val="00C729A1"/>
    <w:rsid w:val="00C72A6F"/>
    <w:rsid w:val="00C72A74"/>
    <w:rsid w:val="00C72A81"/>
    <w:rsid w:val="00C72AE7"/>
    <w:rsid w:val="00C72AF2"/>
    <w:rsid w:val="00C72BE7"/>
    <w:rsid w:val="00C72BFB"/>
    <w:rsid w:val="00C72C0F"/>
    <w:rsid w:val="00C72C1B"/>
    <w:rsid w:val="00C72CB0"/>
    <w:rsid w:val="00C72CC5"/>
    <w:rsid w:val="00C72DA4"/>
    <w:rsid w:val="00C72DB0"/>
    <w:rsid w:val="00C72EE8"/>
    <w:rsid w:val="00C72EF7"/>
    <w:rsid w:val="00C72FE4"/>
    <w:rsid w:val="00C7311D"/>
    <w:rsid w:val="00C7315E"/>
    <w:rsid w:val="00C7321D"/>
    <w:rsid w:val="00C73301"/>
    <w:rsid w:val="00C7334F"/>
    <w:rsid w:val="00C73376"/>
    <w:rsid w:val="00C7341F"/>
    <w:rsid w:val="00C73435"/>
    <w:rsid w:val="00C7345A"/>
    <w:rsid w:val="00C7361A"/>
    <w:rsid w:val="00C736F8"/>
    <w:rsid w:val="00C7374C"/>
    <w:rsid w:val="00C7376D"/>
    <w:rsid w:val="00C73770"/>
    <w:rsid w:val="00C7377F"/>
    <w:rsid w:val="00C737FE"/>
    <w:rsid w:val="00C7380F"/>
    <w:rsid w:val="00C73810"/>
    <w:rsid w:val="00C73840"/>
    <w:rsid w:val="00C73862"/>
    <w:rsid w:val="00C738F6"/>
    <w:rsid w:val="00C7395D"/>
    <w:rsid w:val="00C739CE"/>
    <w:rsid w:val="00C73A7E"/>
    <w:rsid w:val="00C73B39"/>
    <w:rsid w:val="00C73B65"/>
    <w:rsid w:val="00C73C28"/>
    <w:rsid w:val="00C73C44"/>
    <w:rsid w:val="00C73CB6"/>
    <w:rsid w:val="00C73D23"/>
    <w:rsid w:val="00C73D4B"/>
    <w:rsid w:val="00C73DC4"/>
    <w:rsid w:val="00C73F56"/>
    <w:rsid w:val="00C73F62"/>
    <w:rsid w:val="00C73FC9"/>
    <w:rsid w:val="00C73FE4"/>
    <w:rsid w:val="00C7400B"/>
    <w:rsid w:val="00C74110"/>
    <w:rsid w:val="00C7413B"/>
    <w:rsid w:val="00C7415F"/>
    <w:rsid w:val="00C74200"/>
    <w:rsid w:val="00C7421C"/>
    <w:rsid w:val="00C74234"/>
    <w:rsid w:val="00C742D6"/>
    <w:rsid w:val="00C74380"/>
    <w:rsid w:val="00C7441D"/>
    <w:rsid w:val="00C744C4"/>
    <w:rsid w:val="00C744F2"/>
    <w:rsid w:val="00C745A6"/>
    <w:rsid w:val="00C745DA"/>
    <w:rsid w:val="00C7461D"/>
    <w:rsid w:val="00C747FC"/>
    <w:rsid w:val="00C74938"/>
    <w:rsid w:val="00C749A4"/>
    <w:rsid w:val="00C74AB3"/>
    <w:rsid w:val="00C74ACA"/>
    <w:rsid w:val="00C74B40"/>
    <w:rsid w:val="00C74B6F"/>
    <w:rsid w:val="00C74BB5"/>
    <w:rsid w:val="00C74C76"/>
    <w:rsid w:val="00C74CA6"/>
    <w:rsid w:val="00C74D0E"/>
    <w:rsid w:val="00C74D3E"/>
    <w:rsid w:val="00C74DE1"/>
    <w:rsid w:val="00C74DED"/>
    <w:rsid w:val="00C74DFD"/>
    <w:rsid w:val="00C74E1C"/>
    <w:rsid w:val="00C74ECB"/>
    <w:rsid w:val="00C750B7"/>
    <w:rsid w:val="00C750F0"/>
    <w:rsid w:val="00C7522B"/>
    <w:rsid w:val="00C7533B"/>
    <w:rsid w:val="00C753C5"/>
    <w:rsid w:val="00C753F8"/>
    <w:rsid w:val="00C75418"/>
    <w:rsid w:val="00C754D0"/>
    <w:rsid w:val="00C75526"/>
    <w:rsid w:val="00C75620"/>
    <w:rsid w:val="00C7567C"/>
    <w:rsid w:val="00C75682"/>
    <w:rsid w:val="00C7569C"/>
    <w:rsid w:val="00C756B4"/>
    <w:rsid w:val="00C756F8"/>
    <w:rsid w:val="00C75720"/>
    <w:rsid w:val="00C7573B"/>
    <w:rsid w:val="00C7575A"/>
    <w:rsid w:val="00C75871"/>
    <w:rsid w:val="00C7591B"/>
    <w:rsid w:val="00C7593F"/>
    <w:rsid w:val="00C75965"/>
    <w:rsid w:val="00C75A12"/>
    <w:rsid w:val="00C75A56"/>
    <w:rsid w:val="00C75A62"/>
    <w:rsid w:val="00C75ABD"/>
    <w:rsid w:val="00C75B53"/>
    <w:rsid w:val="00C75B99"/>
    <w:rsid w:val="00C75BCD"/>
    <w:rsid w:val="00C75BDC"/>
    <w:rsid w:val="00C75BF3"/>
    <w:rsid w:val="00C75C2A"/>
    <w:rsid w:val="00C75C99"/>
    <w:rsid w:val="00C75D42"/>
    <w:rsid w:val="00C75DC0"/>
    <w:rsid w:val="00C75E62"/>
    <w:rsid w:val="00C75FB1"/>
    <w:rsid w:val="00C75FC1"/>
    <w:rsid w:val="00C76052"/>
    <w:rsid w:val="00C761CF"/>
    <w:rsid w:val="00C761DA"/>
    <w:rsid w:val="00C76237"/>
    <w:rsid w:val="00C76453"/>
    <w:rsid w:val="00C7645F"/>
    <w:rsid w:val="00C764BA"/>
    <w:rsid w:val="00C764D4"/>
    <w:rsid w:val="00C764EB"/>
    <w:rsid w:val="00C7650A"/>
    <w:rsid w:val="00C76522"/>
    <w:rsid w:val="00C76590"/>
    <w:rsid w:val="00C7660B"/>
    <w:rsid w:val="00C76740"/>
    <w:rsid w:val="00C76743"/>
    <w:rsid w:val="00C7675E"/>
    <w:rsid w:val="00C7682E"/>
    <w:rsid w:val="00C76876"/>
    <w:rsid w:val="00C76884"/>
    <w:rsid w:val="00C76976"/>
    <w:rsid w:val="00C769A0"/>
    <w:rsid w:val="00C76A03"/>
    <w:rsid w:val="00C76AF9"/>
    <w:rsid w:val="00C76BCB"/>
    <w:rsid w:val="00C76BE8"/>
    <w:rsid w:val="00C76D5D"/>
    <w:rsid w:val="00C76D95"/>
    <w:rsid w:val="00C76F0B"/>
    <w:rsid w:val="00C76F44"/>
    <w:rsid w:val="00C76FA2"/>
    <w:rsid w:val="00C7702D"/>
    <w:rsid w:val="00C77033"/>
    <w:rsid w:val="00C77131"/>
    <w:rsid w:val="00C7713B"/>
    <w:rsid w:val="00C771A7"/>
    <w:rsid w:val="00C77207"/>
    <w:rsid w:val="00C77228"/>
    <w:rsid w:val="00C7727D"/>
    <w:rsid w:val="00C77356"/>
    <w:rsid w:val="00C7742A"/>
    <w:rsid w:val="00C77468"/>
    <w:rsid w:val="00C774EF"/>
    <w:rsid w:val="00C77502"/>
    <w:rsid w:val="00C77570"/>
    <w:rsid w:val="00C775DE"/>
    <w:rsid w:val="00C775F8"/>
    <w:rsid w:val="00C77641"/>
    <w:rsid w:val="00C776A1"/>
    <w:rsid w:val="00C776F5"/>
    <w:rsid w:val="00C776FB"/>
    <w:rsid w:val="00C7778D"/>
    <w:rsid w:val="00C777C7"/>
    <w:rsid w:val="00C777E6"/>
    <w:rsid w:val="00C778B8"/>
    <w:rsid w:val="00C778D1"/>
    <w:rsid w:val="00C778DC"/>
    <w:rsid w:val="00C778F2"/>
    <w:rsid w:val="00C7791B"/>
    <w:rsid w:val="00C77964"/>
    <w:rsid w:val="00C7797C"/>
    <w:rsid w:val="00C779F7"/>
    <w:rsid w:val="00C77AE3"/>
    <w:rsid w:val="00C77BCC"/>
    <w:rsid w:val="00C77C98"/>
    <w:rsid w:val="00C77CF4"/>
    <w:rsid w:val="00C77CFD"/>
    <w:rsid w:val="00C77D6E"/>
    <w:rsid w:val="00C77E42"/>
    <w:rsid w:val="00C77E53"/>
    <w:rsid w:val="00C77E7E"/>
    <w:rsid w:val="00C77EDA"/>
    <w:rsid w:val="00C800BA"/>
    <w:rsid w:val="00C802E1"/>
    <w:rsid w:val="00C80479"/>
    <w:rsid w:val="00C8048B"/>
    <w:rsid w:val="00C804C9"/>
    <w:rsid w:val="00C8062B"/>
    <w:rsid w:val="00C8063B"/>
    <w:rsid w:val="00C8065E"/>
    <w:rsid w:val="00C806A3"/>
    <w:rsid w:val="00C80747"/>
    <w:rsid w:val="00C8074B"/>
    <w:rsid w:val="00C807D0"/>
    <w:rsid w:val="00C80814"/>
    <w:rsid w:val="00C80846"/>
    <w:rsid w:val="00C808D8"/>
    <w:rsid w:val="00C8090C"/>
    <w:rsid w:val="00C80994"/>
    <w:rsid w:val="00C809D9"/>
    <w:rsid w:val="00C80CD4"/>
    <w:rsid w:val="00C80CDA"/>
    <w:rsid w:val="00C80D4B"/>
    <w:rsid w:val="00C80E19"/>
    <w:rsid w:val="00C80E6B"/>
    <w:rsid w:val="00C80F9B"/>
    <w:rsid w:val="00C8103E"/>
    <w:rsid w:val="00C8106E"/>
    <w:rsid w:val="00C810FA"/>
    <w:rsid w:val="00C8112B"/>
    <w:rsid w:val="00C8113C"/>
    <w:rsid w:val="00C81169"/>
    <w:rsid w:val="00C81183"/>
    <w:rsid w:val="00C811C1"/>
    <w:rsid w:val="00C811FC"/>
    <w:rsid w:val="00C81203"/>
    <w:rsid w:val="00C81299"/>
    <w:rsid w:val="00C812A9"/>
    <w:rsid w:val="00C8133E"/>
    <w:rsid w:val="00C81361"/>
    <w:rsid w:val="00C8149A"/>
    <w:rsid w:val="00C81631"/>
    <w:rsid w:val="00C816BF"/>
    <w:rsid w:val="00C816D6"/>
    <w:rsid w:val="00C81734"/>
    <w:rsid w:val="00C81803"/>
    <w:rsid w:val="00C81876"/>
    <w:rsid w:val="00C8195A"/>
    <w:rsid w:val="00C8196B"/>
    <w:rsid w:val="00C819E4"/>
    <w:rsid w:val="00C81A28"/>
    <w:rsid w:val="00C81AB5"/>
    <w:rsid w:val="00C81AB6"/>
    <w:rsid w:val="00C81AD7"/>
    <w:rsid w:val="00C81B38"/>
    <w:rsid w:val="00C81B9E"/>
    <w:rsid w:val="00C81BF0"/>
    <w:rsid w:val="00C81C3A"/>
    <w:rsid w:val="00C81CDB"/>
    <w:rsid w:val="00C81D0C"/>
    <w:rsid w:val="00C81D9D"/>
    <w:rsid w:val="00C81DAF"/>
    <w:rsid w:val="00C81DDE"/>
    <w:rsid w:val="00C81DEC"/>
    <w:rsid w:val="00C81E39"/>
    <w:rsid w:val="00C81EFF"/>
    <w:rsid w:val="00C82054"/>
    <w:rsid w:val="00C8210C"/>
    <w:rsid w:val="00C821D4"/>
    <w:rsid w:val="00C822A7"/>
    <w:rsid w:val="00C823D1"/>
    <w:rsid w:val="00C82473"/>
    <w:rsid w:val="00C824F6"/>
    <w:rsid w:val="00C82523"/>
    <w:rsid w:val="00C825AD"/>
    <w:rsid w:val="00C82659"/>
    <w:rsid w:val="00C82731"/>
    <w:rsid w:val="00C8282D"/>
    <w:rsid w:val="00C82861"/>
    <w:rsid w:val="00C828CB"/>
    <w:rsid w:val="00C8292C"/>
    <w:rsid w:val="00C82946"/>
    <w:rsid w:val="00C82975"/>
    <w:rsid w:val="00C82A26"/>
    <w:rsid w:val="00C82A4B"/>
    <w:rsid w:val="00C82A56"/>
    <w:rsid w:val="00C82BDA"/>
    <w:rsid w:val="00C82C94"/>
    <w:rsid w:val="00C82CF8"/>
    <w:rsid w:val="00C82E7C"/>
    <w:rsid w:val="00C82EBD"/>
    <w:rsid w:val="00C82EEA"/>
    <w:rsid w:val="00C82F40"/>
    <w:rsid w:val="00C82FBB"/>
    <w:rsid w:val="00C82FCB"/>
    <w:rsid w:val="00C831DC"/>
    <w:rsid w:val="00C83344"/>
    <w:rsid w:val="00C83475"/>
    <w:rsid w:val="00C83478"/>
    <w:rsid w:val="00C834F7"/>
    <w:rsid w:val="00C83595"/>
    <w:rsid w:val="00C8359B"/>
    <w:rsid w:val="00C83621"/>
    <w:rsid w:val="00C837E2"/>
    <w:rsid w:val="00C837FF"/>
    <w:rsid w:val="00C83813"/>
    <w:rsid w:val="00C8393B"/>
    <w:rsid w:val="00C8398F"/>
    <w:rsid w:val="00C83A2C"/>
    <w:rsid w:val="00C83A78"/>
    <w:rsid w:val="00C83B0B"/>
    <w:rsid w:val="00C83B7C"/>
    <w:rsid w:val="00C83BF6"/>
    <w:rsid w:val="00C83C07"/>
    <w:rsid w:val="00C83C27"/>
    <w:rsid w:val="00C83C37"/>
    <w:rsid w:val="00C83C48"/>
    <w:rsid w:val="00C83C7D"/>
    <w:rsid w:val="00C83CD4"/>
    <w:rsid w:val="00C83CF7"/>
    <w:rsid w:val="00C83D05"/>
    <w:rsid w:val="00C83D07"/>
    <w:rsid w:val="00C83D56"/>
    <w:rsid w:val="00C83D99"/>
    <w:rsid w:val="00C83DE5"/>
    <w:rsid w:val="00C83E02"/>
    <w:rsid w:val="00C83E6C"/>
    <w:rsid w:val="00C83F14"/>
    <w:rsid w:val="00C83F52"/>
    <w:rsid w:val="00C83F89"/>
    <w:rsid w:val="00C83FAD"/>
    <w:rsid w:val="00C83FFE"/>
    <w:rsid w:val="00C8400F"/>
    <w:rsid w:val="00C840DE"/>
    <w:rsid w:val="00C84131"/>
    <w:rsid w:val="00C8418F"/>
    <w:rsid w:val="00C84297"/>
    <w:rsid w:val="00C84326"/>
    <w:rsid w:val="00C843BA"/>
    <w:rsid w:val="00C84427"/>
    <w:rsid w:val="00C84432"/>
    <w:rsid w:val="00C844CE"/>
    <w:rsid w:val="00C84518"/>
    <w:rsid w:val="00C845B7"/>
    <w:rsid w:val="00C845CD"/>
    <w:rsid w:val="00C845F2"/>
    <w:rsid w:val="00C846F3"/>
    <w:rsid w:val="00C8479C"/>
    <w:rsid w:val="00C8487C"/>
    <w:rsid w:val="00C848E4"/>
    <w:rsid w:val="00C84976"/>
    <w:rsid w:val="00C84AA0"/>
    <w:rsid w:val="00C84AB8"/>
    <w:rsid w:val="00C84B48"/>
    <w:rsid w:val="00C84BA2"/>
    <w:rsid w:val="00C84BE4"/>
    <w:rsid w:val="00C84C29"/>
    <w:rsid w:val="00C84C54"/>
    <w:rsid w:val="00C84C6A"/>
    <w:rsid w:val="00C84C93"/>
    <w:rsid w:val="00C84CC0"/>
    <w:rsid w:val="00C84D19"/>
    <w:rsid w:val="00C84D75"/>
    <w:rsid w:val="00C84D9D"/>
    <w:rsid w:val="00C84DF0"/>
    <w:rsid w:val="00C84E1F"/>
    <w:rsid w:val="00C84E3A"/>
    <w:rsid w:val="00C84F5D"/>
    <w:rsid w:val="00C85076"/>
    <w:rsid w:val="00C850A8"/>
    <w:rsid w:val="00C850DA"/>
    <w:rsid w:val="00C8513E"/>
    <w:rsid w:val="00C8528C"/>
    <w:rsid w:val="00C85296"/>
    <w:rsid w:val="00C8529A"/>
    <w:rsid w:val="00C852B3"/>
    <w:rsid w:val="00C852F3"/>
    <w:rsid w:val="00C8532A"/>
    <w:rsid w:val="00C85331"/>
    <w:rsid w:val="00C85421"/>
    <w:rsid w:val="00C8552F"/>
    <w:rsid w:val="00C855E8"/>
    <w:rsid w:val="00C8567F"/>
    <w:rsid w:val="00C856A6"/>
    <w:rsid w:val="00C856EC"/>
    <w:rsid w:val="00C85746"/>
    <w:rsid w:val="00C85785"/>
    <w:rsid w:val="00C85818"/>
    <w:rsid w:val="00C8583E"/>
    <w:rsid w:val="00C85849"/>
    <w:rsid w:val="00C85879"/>
    <w:rsid w:val="00C8593F"/>
    <w:rsid w:val="00C85A3E"/>
    <w:rsid w:val="00C85A54"/>
    <w:rsid w:val="00C85B05"/>
    <w:rsid w:val="00C85B20"/>
    <w:rsid w:val="00C85B8F"/>
    <w:rsid w:val="00C85D0D"/>
    <w:rsid w:val="00C85DD3"/>
    <w:rsid w:val="00C85E16"/>
    <w:rsid w:val="00C85E30"/>
    <w:rsid w:val="00C85EB3"/>
    <w:rsid w:val="00C85FAC"/>
    <w:rsid w:val="00C86015"/>
    <w:rsid w:val="00C86024"/>
    <w:rsid w:val="00C860F1"/>
    <w:rsid w:val="00C8612D"/>
    <w:rsid w:val="00C86156"/>
    <w:rsid w:val="00C8616A"/>
    <w:rsid w:val="00C8616B"/>
    <w:rsid w:val="00C861AB"/>
    <w:rsid w:val="00C861FB"/>
    <w:rsid w:val="00C86214"/>
    <w:rsid w:val="00C86237"/>
    <w:rsid w:val="00C8629C"/>
    <w:rsid w:val="00C862E4"/>
    <w:rsid w:val="00C8633C"/>
    <w:rsid w:val="00C86375"/>
    <w:rsid w:val="00C863CE"/>
    <w:rsid w:val="00C8644F"/>
    <w:rsid w:val="00C86452"/>
    <w:rsid w:val="00C864D2"/>
    <w:rsid w:val="00C864F4"/>
    <w:rsid w:val="00C86521"/>
    <w:rsid w:val="00C865D2"/>
    <w:rsid w:val="00C86605"/>
    <w:rsid w:val="00C86658"/>
    <w:rsid w:val="00C8667D"/>
    <w:rsid w:val="00C86734"/>
    <w:rsid w:val="00C86735"/>
    <w:rsid w:val="00C86831"/>
    <w:rsid w:val="00C86917"/>
    <w:rsid w:val="00C8696D"/>
    <w:rsid w:val="00C869A9"/>
    <w:rsid w:val="00C869BF"/>
    <w:rsid w:val="00C869D2"/>
    <w:rsid w:val="00C86A16"/>
    <w:rsid w:val="00C86A66"/>
    <w:rsid w:val="00C86A6F"/>
    <w:rsid w:val="00C86A8C"/>
    <w:rsid w:val="00C86AA6"/>
    <w:rsid w:val="00C86B06"/>
    <w:rsid w:val="00C86B5F"/>
    <w:rsid w:val="00C86BED"/>
    <w:rsid w:val="00C86C30"/>
    <w:rsid w:val="00C86C64"/>
    <w:rsid w:val="00C86D1C"/>
    <w:rsid w:val="00C86D27"/>
    <w:rsid w:val="00C86D7E"/>
    <w:rsid w:val="00C86E9D"/>
    <w:rsid w:val="00C86EF0"/>
    <w:rsid w:val="00C86F3D"/>
    <w:rsid w:val="00C8709E"/>
    <w:rsid w:val="00C87103"/>
    <w:rsid w:val="00C8712E"/>
    <w:rsid w:val="00C871A2"/>
    <w:rsid w:val="00C871CB"/>
    <w:rsid w:val="00C87227"/>
    <w:rsid w:val="00C87236"/>
    <w:rsid w:val="00C872A3"/>
    <w:rsid w:val="00C872D9"/>
    <w:rsid w:val="00C87309"/>
    <w:rsid w:val="00C8733A"/>
    <w:rsid w:val="00C8741D"/>
    <w:rsid w:val="00C87424"/>
    <w:rsid w:val="00C874EF"/>
    <w:rsid w:val="00C87530"/>
    <w:rsid w:val="00C87538"/>
    <w:rsid w:val="00C87587"/>
    <w:rsid w:val="00C875F5"/>
    <w:rsid w:val="00C87626"/>
    <w:rsid w:val="00C876DD"/>
    <w:rsid w:val="00C876FA"/>
    <w:rsid w:val="00C876FC"/>
    <w:rsid w:val="00C877D4"/>
    <w:rsid w:val="00C877E6"/>
    <w:rsid w:val="00C8781B"/>
    <w:rsid w:val="00C878E3"/>
    <w:rsid w:val="00C87901"/>
    <w:rsid w:val="00C879AD"/>
    <w:rsid w:val="00C879E2"/>
    <w:rsid w:val="00C87A31"/>
    <w:rsid w:val="00C87A3C"/>
    <w:rsid w:val="00C87A82"/>
    <w:rsid w:val="00C87A94"/>
    <w:rsid w:val="00C87A96"/>
    <w:rsid w:val="00C87AB6"/>
    <w:rsid w:val="00C87B3B"/>
    <w:rsid w:val="00C87C08"/>
    <w:rsid w:val="00C87C97"/>
    <w:rsid w:val="00C87CAB"/>
    <w:rsid w:val="00C87CAC"/>
    <w:rsid w:val="00C87CF0"/>
    <w:rsid w:val="00C87D70"/>
    <w:rsid w:val="00C87D84"/>
    <w:rsid w:val="00C87E91"/>
    <w:rsid w:val="00C87EC1"/>
    <w:rsid w:val="00C90001"/>
    <w:rsid w:val="00C90037"/>
    <w:rsid w:val="00C90053"/>
    <w:rsid w:val="00C9007F"/>
    <w:rsid w:val="00C9012B"/>
    <w:rsid w:val="00C90225"/>
    <w:rsid w:val="00C90285"/>
    <w:rsid w:val="00C90318"/>
    <w:rsid w:val="00C90346"/>
    <w:rsid w:val="00C903AF"/>
    <w:rsid w:val="00C9047D"/>
    <w:rsid w:val="00C90517"/>
    <w:rsid w:val="00C90633"/>
    <w:rsid w:val="00C9064C"/>
    <w:rsid w:val="00C9064F"/>
    <w:rsid w:val="00C9068F"/>
    <w:rsid w:val="00C90775"/>
    <w:rsid w:val="00C907BB"/>
    <w:rsid w:val="00C90878"/>
    <w:rsid w:val="00C908FB"/>
    <w:rsid w:val="00C909A5"/>
    <w:rsid w:val="00C909AE"/>
    <w:rsid w:val="00C909E7"/>
    <w:rsid w:val="00C90A76"/>
    <w:rsid w:val="00C90AAD"/>
    <w:rsid w:val="00C90ACD"/>
    <w:rsid w:val="00C90AE3"/>
    <w:rsid w:val="00C90AEA"/>
    <w:rsid w:val="00C90AF5"/>
    <w:rsid w:val="00C90BD6"/>
    <w:rsid w:val="00C90C6D"/>
    <w:rsid w:val="00C90CC1"/>
    <w:rsid w:val="00C90D9B"/>
    <w:rsid w:val="00C90E68"/>
    <w:rsid w:val="00C91107"/>
    <w:rsid w:val="00C91267"/>
    <w:rsid w:val="00C912D0"/>
    <w:rsid w:val="00C913E7"/>
    <w:rsid w:val="00C91464"/>
    <w:rsid w:val="00C9151C"/>
    <w:rsid w:val="00C9155A"/>
    <w:rsid w:val="00C91586"/>
    <w:rsid w:val="00C915FC"/>
    <w:rsid w:val="00C9168F"/>
    <w:rsid w:val="00C916AF"/>
    <w:rsid w:val="00C916B0"/>
    <w:rsid w:val="00C9173C"/>
    <w:rsid w:val="00C91763"/>
    <w:rsid w:val="00C91798"/>
    <w:rsid w:val="00C917DA"/>
    <w:rsid w:val="00C917FC"/>
    <w:rsid w:val="00C91829"/>
    <w:rsid w:val="00C9182A"/>
    <w:rsid w:val="00C91A19"/>
    <w:rsid w:val="00C91A24"/>
    <w:rsid w:val="00C91B14"/>
    <w:rsid w:val="00C91C1A"/>
    <w:rsid w:val="00C91C2D"/>
    <w:rsid w:val="00C91C75"/>
    <w:rsid w:val="00C91C8C"/>
    <w:rsid w:val="00C91CD0"/>
    <w:rsid w:val="00C91D49"/>
    <w:rsid w:val="00C91EC1"/>
    <w:rsid w:val="00C91FA3"/>
    <w:rsid w:val="00C92027"/>
    <w:rsid w:val="00C9204D"/>
    <w:rsid w:val="00C9215E"/>
    <w:rsid w:val="00C9218E"/>
    <w:rsid w:val="00C92254"/>
    <w:rsid w:val="00C922D2"/>
    <w:rsid w:val="00C92364"/>
    <w:rsid w:val="00C92558"/>
    <w:rsid w:val="00C925DE"/>
    <w:rsid w:val="00C9267B"/>
    <w:rsid w:val="00C92681"/>
    <w:rsid w:val="00C926E8"/>
    <w:rsid w:val="00C926EC"/>
    <w:rsid w:val="00C927BC"/>
    <w:rsid w:val="00C927E1"/>
    <w:rsid w:val="00C92823"/>
    <w:rsid w:val="00C92840"/>
    <w:rsid w:val="00C9284E"/>
    <w:rsid w:val="00C92893"/>
    <w:rsid w:val="00C928DE"/>
    <w:rsid w:val="00C92904"/>
    <w:rsid w:val="00C92916"/>
    <w:rsid w:val="00C9291E"/>
    <w:rsid w:val="00C9299D"/>
    <w:rsid w:val="00C929CA"/>
    <w:rsid w:val="00C92A4F"/>
    <w:rsid w:val="00C92AD2"/>
    <w:rsid w:val="00C92BBF"/>
    <w:rsid w:val="00C92BFA"/>
    <w:rsid w:val="00C92BFD"/>
    <w:rsid w:val="00C92D11"/>
    <w:rsid w:val="00C92D7C"/>
    <w:rsid w:val="00C92E00"/>
    <w:rsid w:val="00C92E0E"/>
    <w:rsid w:val="00C92E80"/>
    <w:rsid w:val="00C92FA0"/>
    <w:rsid w:val="00C93200"/>
    <w:rsid w:val="00C9322D"/>
    <w:rsid w:val="00C93231"/>
    <w:rsid w:val="00C93276"/>
    <w:rsid w:val="00C93360"/>
    <w:rsid w:val="00C9345D"/>
    <w:rsid w:val="00C93486"/>
    <w:rsid w:val="00C9355D"/>
    <w:rsid w:val="00C93564"/>
    <w:rsid w:val="00C935AE"/>
    <w:rsid w:val="00C935B5"/>
    <w:rsid w:val="00C937A0"/>
    <w:rsid w:val="00C937CC"/>
    <w:rsid w:val="00C93813"/>
    <w:rsid w:val="00C9386D"/>
    <w:rsid w:val="00C93882"/>
    <w:rsid w:val="00C938AF"/>
    <w:rsid w:val="00C9390C"/>
    <w:rsid w:val="00C93B6C"/>
    <w:rsid w:val="00C93BBD"/>
    <w:rsid w:val="00C93BF6"/>
    <w:rsid w:val="00C93CAE"/>
    <w:rsid w:val="00C93CB1"/>
    <w:rsid w:val="00C93D39"/>
    <w:rsid w:val="00C93E67"/>
    <w:rsid w:val="00C93EFC"/>
    <w:rsid w:val="00C93F64"/>
    <w:rsid w:val="00C93F84"/>
    <w:rsid w:val="00C94030"/>
    <w:rsid w:val="00C940B5"/>
    <w:rsid w:val="00C94139"/>
    <w:rsid w:val="00C941B0"/>
    <w:rsid w:val="00C941FE"/>
    <w:rsid w:val="00C942B1"/>
    <w:rsid w:val="00C942B9"/>
    <w:rsid w:val="00C942F7"/>
    <w:rsid w:val="00C94390"/>
    <w:rsid w:val="00C943DA"/>
    <w:rsid w:val="00C94474"/>
    <w:rsid w:val="00C94554"/>
    <w:rsid w:val="00C94571"/>
    <w:rsid w:val="00C94637"/>
    <w:rsid w:val="00C94648"/>
    <w:rsid w:val="00C9468C"/>
    <w:rsid w:val="00C9474F"/>
    <w:rsid w:val="00C94799"/>
    <w:rsid w:val="00C9479D"/>
    <w:rsid w:val="00C94973"/>
    <w:rsid w:val="00C9498D"/>
    <w:rsid w:val="00C9499F"/>
    <w:rsid w:val="00C949D3"/>
    <w:rsid w:val="00C94B4F"/>
    <w:rsid w:val="00C94B74"/>
    <w:rsid w:val="00C94C30"/>
    <w:rsid w:val="00C94C47"/>
    <w:rsid w:val="00C94C54"/>
    <w:rsid w:val="00C94C86"/>
    <w:rsid w:val="00C94CE2"/>
    <w:rsid w:val="00C94D61"/>
    <w:rsid w:val="00C94D77"/>
    <w:rsid w:val="00C94DAC"/>
    <w:rsid w:val="00C94DAF"/>
    <w:rsid w:val="00C94DDE"/>
    <w:rsid w:val="00C94DE3"/>
    <w:rsid w:val="00C94E5B"/>
    <w:rsid w:val="00C94F1B"/>
    <w:rsid w:val="00C94F63"/>
    <w:rsid w:val="00C94F74"/>
    <w:rsid w:val="00C94FE0"/>
    <w:rsid w:val="00C95011"/>
    <w:rsid w:val="00C9508C"/>
    <w:rsid w:val="00C9512E"/>
    <w:rsid w:val="00C95194"/>
    <w:rsid w:val="00C951B2"/>
    <w:rsid w:val="00C95246"/>
    <w:rsid w:val="00C953D8"/>
    <w:rsid w:val="00C9545F"/>
    <w:rsid w:val="00C954A3"/>
    <w:rsid w:val="00C954B4"/>
    <w:rsid w:val="00C9571A"/>
    <w:rsid w:val="00C95779"/>
    <w:rsid w:val="00C9579C"/>
    <w:rsid w:val="00C957B9"/>
    <w:rsid w:val="00C95A07"/>
    <w:rsid w:val="00C95A0D"/>
    <w:rsid w:val="00C95A3C"/>
    <w:rsid w:val="00C95AA9"/>
    <w:rsid w:val="00C95B5C"/>
    <w:rsid w:val="00C95B85"/>
    <w:rsid w:val="00C95BE3"/>
    <w:rsid w:val="00C95BE6"/>
    <w:rsid w:val="00C95BEC"/>
    <w:rsid w:val="00C95BED"/>
    <w:rsid w:val="00C95BF4"/>
    <w:rsid w:val="00C95E7B"/>
    <w:rsid w:val="00C95EF0"/>
    <w:rsid w:val="00C95F4F"/>
    <w:rsid w:val="00C95FBF"/>
    <w:rsid w:val="00C96139"/>
    <w:rsid w:val="00C96147"/>
    <w:rsid w:val="00C961FF"/>
    <w:rsid w:val="00C9620F"/>
    <w:rsid w:val="00C9627C"/>
    <w:rsid w:val="00C962C4"/>
    <w:rsid w:val="00C962E9"/>
    <w:rsid w:val="00C96338"/>
    <w:rsid w:val="00C964DF"/>
    <w:rsid w:val="00C96520"/>
    <w:rsid w:val="00C9652E"/>
    <w:rsid w:val="00C96533"/>
    <w:rsid w:val="00C9658C"/>
    <w:rsid w:val="00C965B4"/>
    <w:rsid w:val="00C966BD"/>
    <w:rsid w:val="00C967E9"/>
    <w:rsid w:val="00C96817"/>
    <w:rsid w:val="00C96857"/>
    <w:rsid w:val="00C96870"/>
    <w:rsid w:val="00C96890"/>
    <w:rsid w:val="00C9690B"/>
    <w:rsid w:val="00C96978"/>
    <w:rsid w:val="00C96A6A"/>
    <w:rsid w:val="00C96A6B"/>
    <w:rsid w:val="00C96BDC"/>
    <w:rsid w:val="00C96CBB"/>
    <w:rsid w:val="00C96FA7"/>
    <w:rsid w:val="00C97186"/>
    <w:rsid w:val="00C971A9"/>
    <w:rsid w:val="00C971EF"/>
    <w:rsid w:val="00C97241"/>
    <w:rsid w:val="00C9727F"/>
    <w:rsid w:val="00C97289"/>
    <w:rsid w:val="00C9739B"/>
    <w:rsid w:val="00C973A3"/>
    <w:rsid w:val="00C97456"/>
    <w:rsid w:val="00C9749C"/>
    <w:rsid w:val="00C974B2"/>
    <w:rsid w:val="00C975B6"/>
    <w:rsid w:val="00C9762B"/>
    <w:rsid w:val="00C97691"/>
    <w:rsid w:val="00C976A2"/>
    <w:rsid w:val="00C97703"/>
    <w:rsid w:val="00C977C2"/>
    <w:rsid w:val="00C97826"/>
    <w:rsid w:val="00C97836"/>
    <w:rsid w:val="00C97946"/>
    <w:rsid w:val="00C9794D"/>
    <w:rsid w:val="00C97976"/>
    <w:rsid w:val="00C97B3E"/>
    <w:rsid w:val="00C97B43"/>
    <w:rsid w:val="00C97BFB"/>
    <w:rsid w:val="00C97C0A"/>
    <w:rsid w:val="00C97CE0"/>
    <w:rsid w:val="00C97D10"/>
    <w:rsid w:val="00C97DF5"/>
    <w:rsid w:val="00C97E87"/>
    <w:rsid w:val="00C97ECA"/>
    <w:rsid w:val="00C97F17"/>
    <w:rsid w:val="00C97FC1"/>
    <w:rsid w:val="00CA002D"/>
    <w:rsid w:val="00CA006C"/>
    <w:rsid w:val="00CA00AE"/>
    <w:rsid w:val="00CA011F"/>
    <w:rsid w:val="00CA013D"/>
    <w:rsid w:val="00CA0150"/>
    <w:rsid w:val="00CA0275"/>
    <w:rsid w:val="00CA027C"/>
    <w:rsid w:val="00CA02AA"/>
    <w:rsid w:val="00CA02B4"/>
    <w:rsid w:val="00CA02F1"/>
    <w:rsid w:val="00CA02F4"/>
    <w:rsid w:val="00CA02FA"/>
    <w:rsid w:val="00CA0300"/>
    <w:rsid w:val="00CA0301"/>
    <w:rsid w:val="00CA030E"/>
    <w:rsid w:val="00CA0372"/>
    <w:rsid w:val="00CA03C9"/>
    <w:rsid w:val="00CA03EF"/>
    <w:rsid w:val="00CA0586"/>
    <w:rsid w:val="00CA059E"/>
    <w:rsid w:val="00CA067C"/>
    <w:rsid w:val="00CA06F7"/>
    <w:rsid w:val="00CA0803"/>
    <w:rsid w:val="00CA087F"/>
    <w:rsid w:val="00CA089D"/>
    <w:rsid w:val="00CA0A61"/>
    <w:rsid w:val="00CA0AEB"/>
    <w:rsid w:val="00CA0BAA"/>
    <w:rsid w:val="00CA0C06"/>
    <w:rsid w:val="00CA0C7E"/>
    <w:rsid w:val="00CA0CBE"/>
    <w:rsid w:val="00CA0D01"/>
    <w:rsid w:val="00CA0D6C"/>
    <w:rsid w:val="00CA0DA0"/>
    <w:rsid w:val="00CA0E6A"/>
    <w:rsid w:val="00CA0EA4"/>
    <w:rsid w:val="00CA0EB3"/>
    <w:rsid w:val="00CA0EC2"/>
    <w:rsid w:val="00CA0EE5"/>
    <w:rsid w:val="00CA0F0C"/>
    <w:rsid w:val="00CA107B"/>
    <w:rsid w:val="00CA1080"/>
    <w:rsid w:val="00CA10BD"/>
    <w:rsid w:val="00CA10D0"/>
    <w:rsid w:val="00CA112B"/>
    <w:rsid w:val="00CA1208"/>
    <w:rsid w:val="00CA1221"/>
    <w:rsid w:val="00CA1247"/>
    <w:rsid w:val="00CA12F5"/>
    <w:rsid w:val="00CA135C"/>
    <w:rsid w:val="00CA143A"/>
    <w:rsid w:val="00CA1441"/>
    <w:rsid w:val="00CA1485"/>
    <w:rsid w:val="00CA1493"/>
    <w:rsid w:val="00CA154A"/>
    <w:rsid w:val="00CA162D"/>
    <w:rsid w:val="00CA1661"/>
    <w:rsid w:val="00CA166E"/>
    <w:rsid w:val="00CA16DE"/>
    <w:rsid w:val="00CA16E8"/>
    <w:rsid w:val="00CA1717"/>
    <w:rsid w:val="00CA1722"/>
    <w:rsid w:val="00CA19A2"/>
    <w:rsid w:val="00CA19E8"/>
    <w:rsid w:val="00CA1A15"/>
    <w:rsid w:val="00CA1A2F"/>
    <w:rsid w:val="00CA1A38"/>
    <w:rsid w:val="00CA1A7F"/>
    <w:rsid w:val="00CA1A95"/>
    <w:rsid w:val="00CA1B15"/>
    <w:rsid w:val="00CA1BE9"/>
    <w:rsid w:val="00CA1CE6"/>
    <w:rsid w:val="00CA1D53"/>
    <w:rsid w:val="00CA1D95"/>
    <w:rsid w:val="00CA1D9C"/>
    <w:rsid w:val="00CA1DF9"/>
    <w:rsid w:val="00CA1E0B"/>
    <w:rsid w:val="00CA1E48"/>
    <w:rsid w:val="00CA1E71"/>
    <w:rsid w:val="00CA1EF5"/>
    <w:rsid w:val="00CA1F9D"/>
    <w:rsid w:val="00CA2007"/>
    <w:rsid w:val="00CA200B"/>
    <w:rsid w:val="00CA2031"/>
    <w:rsid w:val="00CA205E"/>
    <w:rsid w:val="00CA2088"/>
    <w:rsid w:val="00CA20B6"/>
    <w:rsid w:val="00CA212D"/>
    <w:rsid w:val="00CA213A"/>
    <w:rsid w:val="00CA2167"/>
    <w:rsid w:val="00CA228D"/>
    <w:rsid w:val="00CA2349"/>
    <w:rsid w:val="00CA2369"/>
    <w:rsid w:val="00CA2384"/>
    <w:rsid w:val="00CA23CD"/>
    <w:rsid w:val="00CA24DB"/>
    <w:rsid w:val="00CA2508"/>
    <w:rsid w:val="00CA2586"/>
    <w:rsid w:val="00CA25C6"/>
    <w:rsid w:val="00CA25CE"/>
    <w:rsid w:val="00CA25EA"/>
    <w:rsid w:val="00CA287D"/>
    <w:rsid w:val="00CA28DF"/>
    <w:rsid w:val="00CA28EA"/>
    <w:rsid w:val="00CA29F1"/>
    <w:rsid w:val="00CA2A89"/>
    <w:rsid w:val="00CA2AA2"/>
    <w:rsid w:val="00CA2AB3"/>
    <w:rsid w:val="00CA2AC6"/>
    <w:rsid w:val="00CA2AC7"/>
    <w:rsid w:val="00CA2BA5"/>
    <w:rsid w:val="00CA2C08"/>
    <w:rsid w:val="00CA2C45"/>
    <w:rsid w:val="00CA2C8A"/>
    <w:rsid w:val="00CA2CAD"/>
    <w:rsid w:val="00CA2D71"/>
    <w:rsid w:val="00CA2DBD"/>
    <w:rsid w:val="00CA2DDA"/>
    <w:rsid w:val="00CA2F4E"/>
    <w:rsid w:val="00CA2FF0"/>
    <w:rsid w:val="00CA3036"/>
    <w:rsid w:val="00CA3037"/>
    <w:rsid w:val="00CA3060"/>
    <w:rsid w:val="00CA3104"/>
    <w:rsid w:val="00CA3138"/>
    <w:rsid w:val="00CA3145"/>
    <w:rsid w:val="00CA316D"/>
    <w:rsid w:val="00CA3216"/>
    <w:rsid w:val="00CA321E"/>
    <w:rsid w:val="00CA3280"/>
    <w:rsid w:val="00CA3298"/>
    <w:rsid w:val="00CA32A4"/>
    <w:rsid w:val="00CA331F"/>
    <w:rsid w:val="00CA3461"/>
    <w:rsid w:val="00CA3482"/>
    <w:rsid w:val="00CA34A9"/>
    <w:rsid w:val="00CA34BB"/>
    <w:rsid w:val="00CA353A"/>
    <w:rsid w:val="00CA35BB"/>
    <w:rsid w:val="00CA35CC"/>
    <w:rsid w:val="00CA364E"/>
    <w:rsid w:val="00CA3728"/>
    <w:rsid w:val="00CA37E8"/>
    <w:rsid w:val="00CA384C"/>
    <w:rsid w:val="00CA387E"/>
    <w:rsid w:val="00CA38A6"/>
    <w:rsid w:val="00CA38B4"/>
    <w:rsid w:val="00CA391B"/>
    <w:rsid w:val="00CA396A"/>
    <w:rsid w:val="00CA3997"/>
    <w:rsid w:val="00CA3A12"/>
    <w:rsid w:val="00CA3A63"/>
    <w:rsid w:val="00CA3A95"/>
    <w:rsid w:val="00CA3AB1"/>
    <w:rsid w:val="00CA3AD9"/>
    <w:rsid w:val="00CA3AF4"/>
    <w:rsid w:val="00CA3B55"/>
    <w:rsid w:val="00CA3B90"/>
    <w:rsid w:val="00CA3BEA"/>
    <w:rsid w:val="00CA3C4C"/>
    <w:rsid w:val="00CA3CEF"/>
    <w:rsid w:val="00CA3D2C"/>
    <w:rsid w:val="00CA3DAE"/>
    <w:rsid w:val="00CA3DF0"/>
    <w:rsid w:val="00CA3DF2"/>
    <w:rsid w:val="00CA3E73"/>
    <w:rsid w:val="00CA3ED5"/>
    <w:rsid w:val="00CA3F54"/>
    <w:rsid w:val="00CA3F96"/>
    <w:rsid w:val="00CA3FAB"/>
    <w:rsid w:val="00CA3FB0"/>
    <w:rsid w:val="00CA4059"/>
    <w:rsid w:val="00CA405A"/>
    <w:rsid w:val="00CA4094"/>
    <w:rsid w:val="00CA4342"/>
    <w:rsid w:val="00CA4359"/>
    <w:rsid w:val="00CA4459"/>
    <w:rsid w:val="00CA445B"/>
    <w:rsid w:val="00CA446F"/>
    <w:rsid w:val="00CA4557"/>
    <w:rsid w:val="00CA455D"/>
    <w:rsid w:val="00CA4595"/>
    <w:rsid w:val="00CA45B4"/>
    <w:rsid w:val="00CA45E6"/>
    <w:rsid w:val="00CA45F5"/>
    <w:rsid w:val="00CA460B"/>
    <w:rsid w:val="00CA4661"/>
    <w:rsid w:val="00CA466D"/>
    <w:rsid w:val="00CA46EB"/>
    <w:rsid w:val="00CA47FC"/>
    <w:rsid w:val="00CA48AB"/>
    <w:rsid w:val="00CA4A08"/>
    <w:rsid w:val="00CA4A28"/>
    <w:rsid w:val="00CA4A2B"/>
    <w:rsid w:val="00CA4A2E"/>
    <w:rsid w:val="00CA4A31"/>
    <w:rsid w:val="00CA4A80"/>
    <w:rsid w:val="00CA4A9E"/>
    <w:rsid w:val="00CA4AF3"/>
    <w:rsid w:val="00CA4AFB"/>
    <w:rsid w:val="00CA4AFF"/>
    <w:rsid w:val="00CA4B6C"/>
    <w:rsid w:val="00CA4C68"/>
    <w:rsid w:val="00CA4D49"/>
    <w:rsid w:val="00CA4D6D"/>
    <w:rsid w:val="00CA4D7B"/>
    <w:rsid w:val="00CA4DE2"/>
    <w:rsid w:val="00CA4E7A"/>
    <w:rsid w:val="00CA4EB7"/>
    <w:rsid w:val="00CA4F15"/>
    <w:rsid w:val="00CA4F98"/>
    <w:rsid w:val="00CA4FCD"/>
    <w:rsid w:val="00CA50C7"/>
    <w:rsid w:val="00CA50C9"/>
    <w:rsid w:val="00CA5116"/>
    <w:rsid w:val="00CA518F"/>
    <w:rsid w:val="00CA5217"/>
    <w:rsid w:val="00CA5222"/>
    <w:rsid w:val="00CA5288"/>
    <w:rsid w:val="00CA54D9"/>
    <w:rsid w:val="00CA550E"/>
    <w:rsid w:val="00CA55A5"/>
    <w:rsid w:val="00CA5601"/>
    <w:rsid w:val="00CA5614"/>
    <w:rsid w:val="00CA567A"/>
    <w:rsid w:val="00CA5709"/>
    <w:rsid w:val="00CA570B"/>
    <w:rsid w:val="00CA57DD"/>
    <w:rsid w:val="00CA5851"/>
    <w:rsid w:val="00CA58A6"/>
    <w:rsid w:val="00CA58D5"/>
    <w:rsid w:val="00CA594C"/>
    <w:rsid w:val="00CA59D7"/>
    <w:rsid w:val="00CA59FF"/>
    <w:rsid w:val="00CA5A0C"/>
    <w:rsid w:val="00CA5A49"/>
    <w:rsid w:val="00CA5AAC"/>
    <w:rsid w:val="00CA5AE8"/>
    <w:rsid w:val="00CA5B63"/>
    <w:rsid w:val="00CA5B7A"/>
    <w:rsid w:val="00CA5B8B"/>
    <w:rsid w:val="00CA5BA0"/>
    <w:rsid w:val="00CA5BAA"/>
    <w:rsid w:val="00CA5BB6"/>
    <w:rsid w:val="00CA5C78"/>
    <w:rsid w:val="00CA5D25"/>
    <w:rsid w:val="00CA5D5A"/>
    <w:rsid w:val="00CA5D77"/>
    <w:rsid w:val="00CA5DA8"/>
    <w:rsid w:val="00CA5DCE"/>
    <w:rsid w:val="00CA5E06"/>
    <w:rsid w:val="00CA5EED"/>
    <w:rsid w:val="00CA5F2E"/>
    <w:rsid w:val="00CA5F3D"/>
    <w:rsid w:val="00CA5F60"/>
    <w:rsid w:val="00CA5F65"/>
    <w:rsid w:val="00CA5FD2"/>
    <w:rsid w:val="00CA5FDC"/>
    <w:rsid w:val="00CA606B"/>
    <w:rsid w:val="00CA616F"/>
    <w:rsid w:val="00CA6271"/>
    <w:rsid w:val="00CA62D1"/>
    <w:rsid w:val="00CA6357"/>
    <w:rsid w:val="00CA63AF"/>
    <w:rsid w:val="00CA63BF"/>
    <w:rsid w:val="00CA63FB"/>
    <w:rsid w:val="00CA64BA"/>
    <w:rsid w:val="00CA64F5"/>
    <w:rsid w:val="00CA6507"/>
    <w:rsid w:val="00CA6621"/>
    <w:rsid w:val="00CA6689"/>
    <w:rsid w:val="00CA66E1"/>
    <w:rsid w:val="00CA673E"/>
    <w:rsid w:val="00CA676A"/>
    <w:rsid w:val="00CA6826"/>
    <w:rsid w:val="00CA6832"/>
    <w:rsid w:val="00CA6834"/>
    <w:rsid w:val="00CA68A2"/>
    <w:rsid w:val="00CA68B4"/>
    <w:rsid w:val="00CA69C4"/>
    <w:rsid w:val="00CA6AA6"/>
    <w:rsid w:val="00CA6AFC"/>
    <w:rsid w:val="00CA6B8F"/>
    <w:rsid w:val="00CA6B9D"/>
    <w:rsid w:val="00CA6BA1"/>
    <w:rsid w:val="00CA6BCA"/>
    <w:rsid w:val="00CA6BF7"/>
    <w:rsid w:val="00CA6C5A"/>
    <w:rsid w:val="00CA6D87"/>
    <w:rsid w:val="00CA6E75"/>
    <w:rsid w:val="00CA6E8E"/>
    <w:rsid w:val="00CA6E9A"/>
    <w:rsid w:val="00CA6ED0"/>
    <w:rsid w:val="00CA6ED3"/>
    <w:rsid w:val="00CA6EE1"/>
    <w:rsid w:val="00CA6F0B"/>
    <w:rsid w:val="00CA6F65"/>
    <w:rsid w:val="00CA6F87"/>
    <w:rsid w:val="00CA6F9F"/>
    <w:rsid w:val="00CA6FA6"/>
    <w:rsid w:val="00CA6FEA"/>
    <w:rsid w:val="00CA700D"/>
    <w:rsid w:val="00CA701C"/>
    <w:rsid w:val="00CA7069"/>
    <w:rsid w:val="00CA71A9"/>
    <w:rsid w:val="00CA7341"/>
    <w:rsid w:val="00CA7385"/>
    <w:rsid w:val="00CA73B5"/>
    <w:rsid w:val="00CA73D2"/>
    <w:rsid w:val="00CA742B"/>
    <w:rsid w:val="00CA7488"/>
    <w:rsid w:val="00CA763D"/>
    <w:rsid w:val="00CA773F"/>
    <w:rsid w:val="00CA78C3"/>
    <w:rsid w:val="00CA7921"/>
    <w:rsid w:val="00CA7999"/>
    <w:rsid w:val="00CA7A3B"/>
    <w:rsid w:val="00CA7A91"/>
    <w:rsid w:val="00CA7ABE"/>
    <w:rsid w:val="00CA7AE8"/>
    <w:rsid w:val="00CA7B2A"/>
    <w:rsid w:val="00CA7BBE"/>
    <w:rsid w:val="00CA7BFA"/>
    <w:rsid w:val="00CA7DCD"/>
    <w:rsid w:val="00CA7EAB"/>
    <w:rsid w:val="00CA7F07"/>
    <w:rsid w:val="00CA7F32"/>
    <w:rsid w:val="00CA7F51"/>
    <w:rsid w:val="00CA7F54"/>
    <w:rsid w:val="00CA7F9C"/>
    <w:rsid w:val="00CA7FDC"/>
    <w:rsid w:val="00CA7FEE"/>
    <w:rsid w:val="00CB0010"/>
    <w:rsid w:val="00CB0069"/>
    <w:rsid w:val="00CB00B5"/>
    <w:rsid w:val="00CB00C3"/>
    <w:rsid w:val="00CB00DD"/>
    <w:rsid w:val="00CB01BF"/>
    <w:rsid w:val="00CB02A2"/>
    <w:rsid w:val="00CB02E5"/>
    <w:rsid w:val="00CB037F"/>
    <w:rsid w:val="00CB03E7"/>
    <w:rsid w:val="00CB04F8"/>
    <w:rsid w:val="00CB05C4"/>
    <w:rsid w:val="00CB0620"/>
    <w:rsid w:val="00CB0703"/>
    <w:rsid w:val="00CB077B"/>
    <w:rsid w:val="00CB079B"/>
    <w:rsid w:val="00CB07ED"/>
    <w:rsid w:val="00CB083B"/>
    <w:rsid w:val="00CB0847"/>
    <w:rsid w:val="00CB0892"/>
    <w:rsid w:val="00CB08D5"/>
    <w:rsid w:val="00CB08EA"/>
    <w:rsid w:val="00CB08F9"/>
    <w:rsid w:val="00CB093B"/>
    <w:rsid w:val="00CB0A54"/>
    <w:rsid w:val="00CB0A9B"/>
    <w:rsid w:val="00CB0AB6"/>
    <w:rsid w:val="00CB0AC5"/>
    <w:rsid w:val="00CB0B00"/>
    <w:rsid w:val="00CB0B8D"/>
    <w:rsid w:val="00CB0B9D"/>
    <w:rsid w:val="00CB0C5F"/>
    <w:rsid w:val="00CB0CAC"/>
    <w:rsid w:val="00CB0D03"/>
    <w:rsid w:val="00CB0DA5"/>
    <w:rsid w:val="00CB0ED2"/>
    <w:rsid w:val="00CB0ED6"/>
    <w:rsid w:val="00CB0F73"/>
    <w:rsid w:val="00CB0FEA"/>
    <w:rsid w:val="00CB1049"/>
    <w:rsid w:val="00CB10A0"/>
    <w:rsid w:val="00CB10C7"/>
    <w:rsid w:val="00CB10D4"/>
    <w:rsid w:val="00CB10DE"/>
    <w:rsid w:val="00CB1165"/>
    <w:rsid w:val="00CB116E"/>
    <w:rsid w:val="00CB12A4"/>
    <w:rsid w:val="00CB14AA"/>
    <w:rsid w:val="00CB14AF"/>
    <w:rsid w:val="00CB14BC"/>
    <w:rsid w:val="00CB14EC"/>
    <w:rsid w:val="00CB15F2"/>
    <w:rsid w:val="00CB1640"/>
    <w:rsid w:val="00CB167C"/>
    <w:rsid w:val="00CB17B2"/>
    <w:rsid w:val="00CB17BC"/>
    <w:rsid w:val="00CB17E3"/>
    <w:rsid w:val="00CB17FA"/>
    <w:rsid w:val="00CB1843"/>
    <w:rsid w:val="00CB1844"/>
    <w:rsid w:val="00CB18C2"/>
    <w:rsid w:val="00CB18E7"/>
    <w:rsid w:val="00CB18E8"/>
    <w:rsid w:val="00CB194C"/>
    <w:rsid w:val="00CB19CC"/>
    <w:rsid w:val="00CB19FF"/>
    <w:rsid w:val="00CB1AAC"/>
    <w:rsid w:val="00CB1AFA"/>
    <w:rsid w:val="00CB1B98"/>
    <w:rsid w:val="00CB1BE6"/>
    <w:rsid w:val="00CB1C10"/>
    <w:rsid w:val="00CB1C33"/>
    <w:rsid w:val="00CB1C7A"/>
    <w:rsid w:val="00CB1CC4"/>
    <w:rsid w:val="00CB1D54"/>
    <w:rsid w:val="00CB1D57"/>
    <w:rsid w:val="00CB1D90"/>
    <w:rsid w:val="00CB1E86"/>
    <w:rsid w:val="00CB1EEC"/>
    <w:rsid w:val="00CB1EF2"/>
    <w:rsid w:val="00CB1F34"/>
    <w:rsid w:val="00CB20D2"/>
    <w:rsid w:val="00CB2117"/>
    <w:rsid w:val="00CB212C"/>
    <w:rsid w:val="00CB216C"/>
    <w:rsid w:val="00CB21AA"/>
    <w:rsid w:val="00CB223A"/>
    <w:rsid w:val="00CB22B4"/>
    <w:rsid w:val="00CB22CC"/>
    <w:rsid w:val="00CB22FE"/>
    <w:rsid w:val="00CB2337"/>
    <w:rsid w:val="00CB2366"/>
    <w:rsid w:val="00CB236F"/>
    <w:rsid w:val="00CB23B5"/>
    <w:rsid w:val="00CB2508"/>
    <w:rsid w:val="00CB2538"/>
    <w:rsid w:val="00CB25A6"/>
    <w:rsid w:val="00CB25CA"/>
    <w:rsid w:val="00CB25F8"/>
    <w:rsid w:val="00CB261B"/>
    <w:rsid w:val="00CB2747"/>
    <w:rsid w:val="00CB284D"/>
    <w:rsid w:val="00CB28ED"/>
    <w:rsid w:val="00CB299B"/>
    <w:rsid w:val="00CB2A83"/>
    <w:rsid w:val="00CB2B14"/>
    <w:rsid w:val="00CB2BB1"/>
    <w:rsid w:val="00CB2D88"/>
    <w:rsid w:val="00CB2DAC"/>
    <w:rsid w:val="00CB2E7E"/>
    <w:rsid w:val="00CB2F1D"/>
    <w:rsid w:val="00CB2F27"/>
    <w:rsid w:val="00CB2F33"/>
    <w:rsid w:val="00CB2F55"/>
    <w:rsid w:val="00CB2FAB"/>
    <w:rsid w:val="00CB2FC8"/>
    <w:rsid w:val="00CB3003"/>
    <w:rsid w:val="00CB30D0"/>
    <w:rsid w:val="00CB30EF"/>
    <w:rsid w:val="00CB3100"/>
    <w:rsid w:val="00CB31F2"/>
    <w:rsid w:val="00CB3248"/>
    <w:rsid w:val="00CB329D"/>
    <w:rsid w:val="00CB32AE"/>
    <w:rsid w:val="00CB333B"/>
    <w:rsid w:val="00CB344D"/>
    <w:rsid w:val="00CB345F"/>
    <w:rsid w:val="00CB346F"/>
    <w:rsid w:val="00CB34F3"/>
    <w:rsid w:val="00CB353A"/>
    <w:rsid w:val="00CB3652"/>
    <w:rsid w:val="00CB3747"/>
    <w:rsid w:val="00CB3773"/>
    <w:rsid w:val="00CB3898"/>
    <w:rsid w:val="00CB38F9"/>
    <w:rsid w:val="00CB38FB"/>
    <w:rsid w:val="00CB3999"/>
    <w:rsid w:val="00CB39DF"/>
    <w:rsid w:val="00CB3AB3"/>
    <w:rsid w:val="00CB3BE4"/>
    <w:rsid w:val="00CB3C58"/>
    <w:rsid w:val="00CB3D02"/>
    <w:rsid w:val="00CB3D15"/>
    <w:rsid w:val="00CB3D2F"/>
    <w:rsid w:val="00CB3D92"/>
    <w:rsid w:val="00CB3D9F"/>
    <w:rsid w:val="00CB3DDE"/>
    <w:rsid w:val="00CB3DF4"/>
    <w:rsid w:val="00CB3DFB"/>
    <w:rsid w:val="00CB3E90"/>
    <w:rsid w:val="00CB3F35"/>
    <w:rsid w:val="00CB3F3F"/>
    <w:rsid w:val="00CB3F6D"/>
    <w:rsid w:val="00CB40C2"/>
    <w:rsid w:val="00CB4110"/>
    <w:rsid w:val="00CB411B"/>
    <w:rsid w:val="00CB4175"/>
    <w:rsid w:val="00CB4190"/>
    <w:rsid w:val="00CB41D2"/>
    <w:rsid w:val="00CB41F0"/>
    <w:rsid w:val="00CB4250"/>
    <w:rsid w:val="00CB42A9"/>
    <w:rsid w:val="00CB43F5"/>
    <w:rsid w:val="00CB442A"/>
    <w:rsid w:val="00CB44AD"/>
    <w:rsid w:val="00CB44B9"/>
    <w:rsid w:val="00CB44D1"/>
    <w:rsid w:val="00CB450A"/>
    <w:rsid w:val="00CB45DA"/>
    <w:rsid w:val="00CB46CB"/>
    <w:rsid w:val="00CB46ED"/>
    <w:rsid w:val="00CB4722"/>
    <w:rsid w:val="00CB4778"/>
    <w:rsid w:val="00CB4935"/>
    <w:rsid w:val="00CB498B"/>
    <w:rsid w:val="00CB49DF"/>
    <w:rsid w:val="00CB4A1A"/>
    <w:rsid w:val="00CB4B79"/>
    <w:rsid w:val="00CB4BDA"/>
    <w:rsid w:val="00CB4C59"/>
    <w:rsid w:val="00CB4CAF"/>
    <w:rsid w:val="00CB4D14"/>
    <w:rsid w:val="00CB4E3C"/>
    <w:rsid w:val="00CB4E7B"/>
    <w:rsid w:val="00CB4EBC"/>
    <w:rsid w:val="00CB4EFA"/>
    <w:rsid w:val="00CB4F2A"/>
    <w:rsid w:val="00CB4FBA"/>
    <w:rsid w:val="00CB4FCC"/>
    <w:rsid w:val="00CB4FCF"/>
    <w:rsid w:val="00CB502D"/>
    <w:rsid w:val="00CB5075"/>
    <w:rsid w:val="00CB509D"/>
    <w:rsid w:val="00CB50A4"/>
    <w:rsid w:val="00CB50C7"/>
    <w:rsid w:val="00CB50FC"/>
    <w:rsid w:val="00CB5208"/>
    <w:rsid w:val="00CB5232"/>
    <w:rsid w:val="00CB533A"/>
    <w:rsid w:val="00CB5344"/>
    <w:rsid w:val="00CB535F"/>
    <w:rsid w:val="00CB53A2"/>
    <w:rsid w:val="00CB5447"/>
    <w:rsid w:val="00CB549A"/>
    <w:rsid w:val="00CB54D6"/>
    <w:rsid w:val="00CB550A"/>
    <w:rsid w:val="00CB562B"/>
    <w:rsid w:val="00CB5667"/>
    <w:rsid w:val="00CB5693"/>
    <w:rsid w:val="00CB56C7"/>
    <w:rsid w:val="00CB5703"/>
    <w:rsid w:val="00CB576B"/>
    <w:rsid w:val="00CB5787"/>
    <w:rsid w:val="00CB5790"/>
    <w:rsid w:val="00CB57A4"/>
    <w:rsid w:val="00CB583E"/>
    <w:rsid w:val="00CB5851"/>
    <w:rsid w:val="00CB5897"/>
    <w:rsid w:val="00CB5916"/>
    <w:rsid w:val="00CB59B0"/>
    <w:rsid w:val="00CB59BD"/>
    <w:rsid w:val="00CB5AD7"/>
    <w:rsid w:val="00CB5AE9"/>
    <w:rsid w:val="00CB5B90"/>
    <w:rsid w:val="00CB5BC1"/>
    <w:rsid w:val="00CB5C39"/>
    <w:rsid w:val="00CB5C4C"/>
    <w:rsid w:val="00CB5CB8"/>
    <w:rsid w:val="00CB5CFB"/>
    <w:rsid w:val="00CB5D65"/>
    <w:rsid w:val="00CB5DDB"/>
    <w:rsid w:val="00CB5DDC"/>
    <w:rsid w:val="00CB5E2D"/>
    <w:rsid w:val="00CB5E55"/>
    <w:rsid w:val="00CB5F0C"/>
    <w:rsid w:val="00CB5F7F"/>
    <w:rsid w:val="00CB5FA2"/>
    <w:rsid w:val="00CB5FA6"/>
    <w:rsid w:val="00CB5FD3"/>
    <w:rsid w:val="00CB602F"/>
    <w:rsid w:val="00CB611B"/>
    <w:rsid w:val="00CB6189"/>
    <w:rsid w:val="00CB6197"/>
    <w:rsid w:val="00CB6216"/>
    <w:rsid w:val="00CB6370"/>
    <w:rsid w:val="00CB63B9"/>
    <w:rsid w:val="00CB643E"/>
    <w:rsid w:val="00CB6505"/>
    <w:rsid w:val="00CB65B2"/>
    <w:rsid w:val="00CB66DC"/>
    <w:rsid w:val="00CB66E7"/>
    <w:rsid w:val="00CB6735"/>
    <w:rsid w:val="00CB68DF"/>
    <w:rsid w:val="00CB68FD"/>
    <w:rsid w:val="00CB696D"/>
    <w:rsid w:val="00CB698A"/>
    <w:rsid w:val="00CB699A"/>
    <w:rsid w:val="00CB6C18"/>
    <w:rsid w:val="00CB6DB7"/>
    <w:rsid w:val="00CB6F95"/>
    <w:rsid w:val="00CB6FE1"/>
    <w:rsid w:val="00CB7194"/>
    <w:rsid w:val="00CB71BE"/>
    <w:rsid w:val="00CB721A"/>
    <w:rsid w:val="00CB7228"/>
    <w:rsid w:val="00CB73A6"/>
    <w:rsid w:val="00CB73B1"/>
    <w:rsid w:val="00CB7416"/>
    <w:rsid w:val="00CB7418"/>
    <w:rsid w:val="00CB7501"/>
    <w:rsid w:val="00CB7510"/>
    <w:rsid w:val="00CB7575"/>
    <w:rsid w:val="00CB7587"/>
    <w:rsid w:val="00CB75D2"/>
    <w:rsid w:val="00CB7641"/>
    <w:rsid w:val="00CB773F"/>
    <w:rsid w:val="00CB778D"/>
    <w:rsid w:val="00CB77AC"/>
    <w:rsid w:val="00CB77B0"/>
    <w:rsid w:val="00CB77F9"/>
    <w:rsid w:val="00CB7839"/>
    <w:rsid w:val="00CB784C"/>
    <w:rsid w:val="00CB7879"/>
    <w:rsid w:val="00CB7909"/>
    <w:rsid w:val="00CB7914"/>
    <w:rsid w:val="00CB7917"/>
    <w:rsid w:val="00CB7955"/>
    <w:rsid w:val="00CB79BC"/>
    <w:rsid w:val="00CB7A3D"/>
    <w:rsid w:val="00CB7A80"/>
    <w:rsid w:val="00CB7AAC"/>
    <w:rsid w:val="00CB7BEC"/>
    <w:rsid w:val="00CB7D6B"/>
    <w:rsid w:val="00CB7D7C"/>
    <w:rsid w:val="00CB7DE4"/>
    <w:rsid w:val="00CB7E4F"/>
    <w:rsid w:val="00CB7EDC"/>
    <w:rsid w:val="00CB7F42"/>
    <w:rsid w:val="00CB7F4A"/>
    <w:rsid w:val="00CB7F7F"/>
    <w:rsid w:val="00CB7FA1"/>
    <w:rsid w:val="00CC0049"/>
    <w:rsid w:val="00CC00AD"/>
    <w:rsid w:val="00CC0108"/>
    <w:rsid w:val="00CC0145"/>
    <w:rsid w:val="00CC01E6"/>
    <w:rsid w:val="00CC021E"/>
    <w:rsid w:val="00CC0250"/>
    <w:rsid w:val="00CC0302"/>
    <w:rsid w:val="00CC035E"/>
    <w:rsid w:val="00CC036F"/>
    <w:rsid w:val="00CC0395"/>
    <w:rsid w:val="00CC03DA"/>
    <w:rsid w:val="00CC03F7"/>
    <w:rsid w:val="00CC0458"/>
    <w:rsid w:val="00CC058D"/>
    <w:rsid w:val="00CC05AD"/>
    <w:rsid w:val="00CC0657"/>
    <w:rsid w:val="00CC070F"/>
    <w:rsid w:val="00CC0744"/>
    <w:rsid w:val="00CC0770"/>
    <w:rsid w:val="00CC07E2"/>
    <w:rsid w:val="00CC0961"/>
    <w:rsid w:val="00CC0962"/>
    <w:rsid w:val="00CC0A27"/>
    <w:rsid w:val="00CC0A49"/>
    <w:rsid w:val="00CC0A6C"/>
    <w:rsid w:val="00CC0AF4"/>
    <w:rsid w:val="00CC0BC2"/>
    <w:rsid w:val="00CC0BCA"/>
    <w:rsid w:val="00CC0C13"/>
    <w:rsid w:val="00CC0D1B"/>
    <w:rsid w:val="00CC0D3A"/>
    <w:rsid w:val="00CC0DBD"/>
    <w:rsid w:val="00CC0DC9"/>
    <w:rsid w:val="00CC0DDF"/>
    <w:rsid w:val="00CC0E68"/>
    <w:rsid w:val="00CC0E96"/>
    <w:rsid w:val="00CC0F29"/>
    <w:rsid w:val="00CC107A"/>
    <w:rsid w:val="00CC10D0"/>
    <w:rsid w:val="00CC110E"/>
    <w:rsid w:val="00CC1259"/>
    <w:rsid w:val="00CC12EF"/>
    <w:rsid w:val="00CC1326"/>
    <w:rsid w:val="00CC1369"/>
    <w:rsid w:val="00CC1386"/>
    <w:rsid w:val="00CC14DF"/>
    <w:rsid w:val="00CC1508"/>
    <w:rsid w:val="00CC1512"/>
    <w:rsid w:val="00CC1531"/>
    <w:rsid w:val="00CC158D"/>
    <w:rsid w:val="00CC15B1"/>
    <w:rsid w:val="00CC15BD"/>
    <w:rsid w:val="00CC160F"/>
    <w:rsid w:val="00CC1642"/>
    <w:rsid w:val="00CC17CD"/>
    <w:rsid w:val="00CC1804"/>
    <w:rsid w:val="00CC1837"/>
    <w:rsid w:val="00CC1864"/>
    <w:rsid w:val="00CC18D3"/>
    <w:rsid w:val="00CC18F1"/>
    <w:rsid w:val="00CC18FD"/>
    <w:rsid w:val="00CC191E"/>
    <w:rsid w:val="00CC1983"/>
    <w:rsid w:val="00CC1A06"/>
    <w:rsid w:val="00CC1A10"/>
    <w:rsid w:val="00CC1A34"/>
    <w:rsid w:val="00CC1A88"/>
    <w:rsid w:val="00CC1ABA"/>
    <w:rsid w:val="00CC1B59"/>
    <w:rsid w:val="00CC1B8D"/>
    <w:rsid w:val="00CC1C0A"/>
    <w:rsid w:val="00CC1C70"/>
    <w:rsid w:val="00CC1CC3"/>
    <w:rsid w:val="00CC1CED"/>
    <w:rsid w:val="00CC1D05"/>
    <w:rsid w:val="00CC1D9D"/>
    <w:rsid w:val="00CC1DE0"/>
    <w:rsid w:val="00CC1E04"/>
    <w:rsid w:val="00CC1E67"/>
    <w:rsid w:val="00CC1F20"/>
    <w:rsid w:val="00CC1F2F"/>
    <w:rsid w:val="00CC1F76"/>
    <w:rsid w:val="00CC1FB5"/>
    <w:rsid w:val="00CC1FDE"/>
    <w:rsid w:val="00CC2023"/>
    <w:rsid w:val="00CC20A2"/>
    <w:rsid w:val="00CC2158"/>
    <w:rsid w:val="00CC21AF"/>
    <w:rsid w:val="00CC2237"/>
    <w:rsid w:val="00CC22F2"/>
    <w:rsid w:val="00CC22FA"/>
    <w:rsid w:val="00CC2320"/>
    <w:rsid w:val="00CC2372"/>
    <w:rsid w:val="00CC23C8"/>
    <w:rsid w:val="00CC23D6"/>
    <w:rsid w:val="00CC244C"/>
    <w:rsid w:val="00CC25A6"/>
    <w:rsid w:val="00CC25D9"/>
    <w:rsid w:val="00CC2604"/>
    <w:rsid w:val="00CC2614"/>
    <w:rsid w:val="00CC263A"/>
    <w:rsid w:val="00CC263B"/>
    <w:rsid w:val="00CC2730"/>
    <w:rsid w:val="00CC27E5"/>
    <w:rsid w:val="00CC2889"/>
    <w:rsid w:val="00CC295B"/>
    <w:rsid w:val="00CC29B0"/>
    <w:rsid w:val="00CC29C7"/>
    <w:rsid w:val="00CC2A54"/>
    <w:rsid w:val="00CC2AB7"/>
    <w:rsid w:val="00CC2AC3"/>
    <w:rsid w:val="00CC2AFF"/>
    <w:rsid w:val="00CC2B01"/>
    <w:rsid w:val="00CC2B0F"/>
    <w:rsid w:val="00CC2B85"/>
    <w:rsid w:val="00CC2C51"/>
    <w:rsid w:val="00CC2C5C"/>
    <w:rsid w:val="00CC2C8C"/>
    <w:rsid w:val="00CC2CA0"/>
    <w:rsid w:val="00CC2CF7"/>
    <w:rsid w:val="00CC2D68"/>
    <w:rsid w:val="00CC2DDF"/>
    <w:rsid w:val="00CC2DE8"/>
    <w:rsid w:val="00CC2E02"/>
    <w:rsid w:val="00CC2E32"/>
    <w:rsid w:val="00CC2EC7"/>
    <w:rsid w:val="00CC2FA4"/>
    <w:rsid w:val="00CC302D"/>
    <w:rsid w:val="00CC3048"/>
    <w:rsid w:val="00CC3064"/>
    <w:rsid w:val="00CC307A"/>
    <w:rsid w:val="00CC30B4"/>
    <w:rsid w:val="00CC30CB"/>
    <w:rsid w:val="00CC30E9"/>
    <w:rsid w:val="00CC31BE"/>
    <w:rsid w:val="00CC31C3"/>
    <w:rsid w:val="00CC3259"/>
    <w:rsid w:val="00CC32D2"/>
    <w:rsid w:val="00CC3305"/>
    <w:rsid w:val="00CC3388"/>
    <w:rsid w:val="00CC3397"/>
    <w:rsid w:val="00CC33B3"/>
    <w:rsid w:val="00CC3495"/>
    <w:rsid w:val="00CC3511"/>
    <w:rsid w:val="00CC3555"/>
    <w:rsid w:val="00CC356D"/>
    <w:rsid w:val="00CC3572"/>
    <w:rsid w:val="00CC3577"/>
    <w:rsid w:val="00CC35FA"/>
    <w:rsid w:val="00CC3703"/>
    <w:rsid w:val="00CC382F"/>
    <w:rsid w:val="00CC38D2"/>
    <w:rsid w:val="00CC39EE"/>
    <w:rsid w:val="00CC39FF"/>
    <w:rsid w:val="00CC3A87"/>
    <w:rsid w:val="00CC3A8A"/>
    <w:rsid w:val="00CC3B15"/>
    <w:rsid w:val="00CC3B40"/>
    <w:rsid w:val="00CC3BC0"/>
    <w:rsid w:val="00CC3C0D"/>
    <w:rsid w:val="00CC3C13"/>
    <w:rsid w:val="00CC3C47"/>
    <w:rsid w:val="00CC3D38"/>
    <w:rsid w:val="00CC3D40"/>
    <w:rsid w:val="00CC3D87"/>
    <w:rsid w:val="00CC3DE4"/>
    <w:rsid w:val="00CC3E36"/>
    <w:rsid w:val="00CC3EA0"/>
    <w:rsid w:val="00CC3ED3"/>
    <w:rsid w:val="00CC4084"/>
    <w:rsid w:val="00CC4095"/>
    <w:rsid w:val="00CC42E5"/>
    <w:rsid w:val="00CC4419"/>
    <w:rsid w:val="00CC442F"/>
    <w:rsid w:val="00CC4449"/>
    <w:rsid w:val="00CC4483"/>
    <w:rsid w:val="00CC44F1"/>
    <w:rsid w:val="00CC4568"/>
    <w:rsid w:val="00CC4628"/>
    <w:rsid w:val="00CC467B"/>
    <w:rsid w:val="00CC4683"/>
    <w:rsid w:val="00CC4692"/>
    <w:rsid w:val="00CC470F"/>
    <w:rsid w:val="00CC4850"/>
    <w:rsid w:val="00CC48E2"/>
    <w:rsid w:val="00CC496F"/>
    <w:rsid w:val="00CC49FF"/>
    <w:rsid w:val="00CC4A01"/>
    <w:rsid w:val="00CC4A52"/>
    <w:rsid w:val="00CC4AEF"/>
    <w:rsid w:val="00CC4C1F"/>
    <w:rsid w:val="00CC4C3B"/>
    <w:rsid w:val="00CC4D5F"/>
    <w:rsid w:val="00CC4E3A"/>
    <w:rsid w:val="00CC4E99"/>
    <w:rsid w:val="00CC4F97"/>
    <w:rsid w:val="00CC4FCD"/>
    <w:rsid w:val="00CC4FE7"/>
    <w:rsid w:val="00CC4FF6"/>
    <w:rsid w:val="00CC505F"/>
    <w:rsid w:val="00CC508E"/>
    <w:rsid w:val="00CC52C1"/>
    <w:rsid w:val="00CC52E7"/>
    <w:rsid w:val="00CC52ED"/>
    <w:rsid w:val="00CC531A"/>
    <w:rsid w:val="00CC5559"/>
    <w:rsid w:val="00CC5596"/>
    <w:rsid w:val="00CC55A7"/>
    <w:rsid w:val="00CC55AB"/>
    <w:rsid w:val="00CC55BD"/>
    <w:rsid w:val="00CC568F"/>
    <w:rsid w:val="00CC56BC"/>
    <w:rsid w:val="00CC57BF"/>
    <w:rsid w:val="00CC57F7"/>
    <w:rsid w:val="00CC5810"/>
    <w:rsid w:val="00CC5879"/>
    <w:rsid w:val="00CC58E0"/>
    <w:rsid w:val="00CC5906"/>
    <w:rsid w:val="00CC5962"/>
    <w:rsid w:val="00CC5A22"/>
    <w:rsid w:val="00CC5A3D"/>
    <w:rsid w:val="00CC5B0E"/>
    <w:rsid w:val="00CC5B12"/>
    <w:rsid w:val="00CC5C26"/>
    <w:rsid w:val="00CC5CD8"/>
    <w:rsid w:val="00CC5D37"/>
    <w:rsid w:val="00CC5D78"/>
    <w:rsid w:val="00CC5D89"/>
    <w:rsid w:val="00CC5E6D"/>
    <w:rsid w:val="00CC5ECC"/>
    <w:rsid w:val="00CC5F8F"/>
    <w:rsid w:val="00CC602F"/>
    <w:rsid w:val="00CC60F9"/>
    <w:rsid w:val="00CC6174"/>
    <w:rsid w:val="00CC6182"/>
    <w:rsid w:val="00CC61AE"/>
    <w:rsid w:val="00CC61B2"/>
    <w:rsid w:val="00CC6204"/>
    <w:rsid w:val="00CC62BC"/>
    <w:rsid w:val="00CC62DC"/>
    <w:rsid w:val="00CC6311"/>
    <w:rsid w:val="00CC632B"/>
    <w:rsid w:val="00CC6368"/>
    <w:rsid w:val="00CC63E9"/>
    <w:rsid w:val="00CC641D"/>
    <w:rsid w:val="00CC64F1"/>
    <w:rsid w:val="00CC6538"/>
    <w:rsid w:val="00CC65F3"/>
    <w:rsid w:val="00CC664F"/>
    <w:rsid w:val="00CC66A7"/>
    <w:rsid w:val="00CC67AE"/>
    <w:rsid w:val="00CC6841"/>
    <w:rsid w:val="00CC684A"/>
    <w:rsid w:val="00CC690D"/>
    <w:rsid w:val="00CC690F"/>
    <w:rsid w:val="00CC6958"/>
    <w:rsid w:val="00CC6963"/>
    <w:rsid w:val="00CC69EA"/>
    <w:rsid w:val="00CC6A11"/>
    <w:rsid w:val="00CC6A34"/>
    <w:rsid w:val="00CC6B7C"/>
    <w:rsid w:val="00CC6BC3"/>
    <w:rsid w:val="00CC6C30"/>
    <w:rsid w:val="00CC6C55"/>
    <w:rsid w:val="00CC6C8C"/>
    <w:rsid w:val="00CC6CAB"/>
    <w:rsid w:val="00CC6CD5"/>
    <w:rsid w:val="00CC6CE5"/>
    <w:rsid w:val="00CC6DDA"/>
    <w:rsid w:val="00CC6E4A"/>
    <w:rsid w:val="00CC6F18"/>
    <w:rsid w:val="00CC6F92"/>
    <w:rsid w:val="00CC6FF3"/>
    <w:rsid w:val="00CC704C"/>
    <w:rsid w:val="00CC7088"/>
    <w:rsid w:val="00CC7134"/>
    <w:rsid w:val="00CC71B1"/>
    <w:rsid w:val="00CC72C5"/>
    <w:rsid w:val="00CC72FF"/>
    <w:rsid w:val="00CC7392"/>
    <w:rsid w:val="00CC73F0"/>
    <w:rsid w:val="00CC7493"/>
    <w:rsid w:val="00CC7550"/>
    <w:rsid w:val="00CC756A"/>
    <w:rsid w:val="00CC7589"/>
    <w:rsid w:val="00CC7605"/>
    <w:rsid w:val="00CC7621"/>
    <w:rsid w:val="00CC765C"/>
    <w:rsid w:val="00CC7732"/>
    <w:rsid w:val="00CC7754"/>
    <w:rsid w:val="00CC785E"/>
    <w:rsid w:val="00CC78A5"/>
    <w:rsid w:val="00CC78D6"/>
    <w:rsid w:val="00CC7926"/>
    <w:rsid w:val="00CC7934"/>
    <w:rsid w:val="00CC7974"/>
    <w:rsid w:val="00CC7981"/>
    <w:rsid w:val="00CC79F6"/>
    <w:rsid w:val="00CC7A59"/>
    <w:rsid w:val="00CC7ADB"/>
    <w:rsid w:val="00CC7AFC"/>
    <w:rsid w:val="00CC7BBA"/>
    <w:rsid w:val="00CC7C03"/>
    <w:rsid w:val="00CC7C1C"/>
    <w:rsid w:val="00CC7CC3"/>
    <w:rsid w:val="00CC7CF5"/>
    <w:rsid w:val="00CC7D49"/>
    <w:rsid w:val="00CC7D6B"/>
    <w:rsid w:val="00CC7E00"/>
    <w:rsid w:val="00CC7EA3"/>
    <w:rsid w:val="00CC7EE9"/>
    <w:rsid w:val="00CC7EEA"/>
    <w:rsid w:val="00CD0329"/>
    <w:rsid w:val="00CD0338"/>
    <w:rsid w:val="00CD03A4"/>
    <w:rsid w:val="00CD03D9"/>
    <w:rsid w:val="00CD046F"/>
    <w:rsid w:val="00CD04D3"/>
    <w:rsid w:val="00CD050A"/>
    <w:rsid w:val="00CD05F9"/>
    <w:rsid w:val="00CD067E"/>
    <w:rsid w:val="00CD06B6"/>
    <w:rsid w:val="00CD06F9"/>
    <w:rsid w:val="00CD0717"/>
    <w:rsid w:val="00CD0733"/>
    <w:rsid w:val="00CD075D"/>
    <w:rsid w:val="00CD0821"/>
    <w:rsid w:val="00CD088E"/>
    <w:rsid w:val="00CD090E"/>
    <w:rsid w:val="00CD0927"/>
    <w:rsid w:val="00CD0A02"/>
    <w:rsid w:val="00CD0A50"/>
    <w:rsid w:val="00CD0A74"/>
    <w:rsid w:val="00CD0A87"/>
    <w:rsid w:val="00CD0A90"/>
    <w:rsid w:val="00CD0AB3"/>
    <w:rsid w:val="00CD0B75"/>
    <w:rsid w:val="00CD0B9A"/>
    <w:rsid w:val="00CD0BED"/>
    <w:rsid w:val="00CD0C56"/>
    <w:rsid w:val="00CD0C64"/>
    <w:rsid w:val="00CD0C6B"/>
    <w:rsid w:val="00CD0C87"/>
    <w:rsid w:val="00CD0CA5"/>
    <w:rsid w:val="00CD0CFD"/>
    <w:rsid w:val="00CD0D1A"/>
    <w:rsid w:val="00CD0D29"/>
    <w:rsid w:val="00CD0D55"/>
    <w:rsid w:val="00CD0D95"/>
    <w:rsid w:val="00CD0E8C"/>
    <w:rsid w:val="00CD0EE2"/>
    <w:rsid w:val="00CD0EF4"/>
    <w:rsid w:val="00CD0F04"/>
    <w:rsid w:val="00CD0F32"/>
    <w:rsid w:val="00CD0FC5"/>
    <w:rsid w:val="00CD1033"/>
    <w:rsid w:val="00CD111C"/>
    <w:rsid w:val="00CD1140"/>
    <w:rsid w:val="00CD1199"/>
    <w:rsid w:val="00CD11F1"/>
    <w:rsid w:val="00CD12AA"/>
    <w:rsid w:val="00CD1349"/>
    <w:rsid w:val="00CD1388"/>
    <w:rsid w:val="00CD13EE"/>
    <w:rsid w:val="00CD13F3"/>
    <w:rsid w:val="00CD1423"/>
    <w:rsid w:val="00CD143F"/>
    <w:rsid w:val="00CD1540"/>
    <w:rsid w:val="00CD1567"/>
    <w:rsid w:val="00CD1590"/>
    <w:rsid w:val="00CD160D"/>
    <w:rsid w:val="00CD161A"/>
    <w:rsid w:val="00CD167E"/>
    <w:rsid w:val="00CD171A"/>
    <w:rsid w:val="00CD1746"/>
    <w:rsid w:val="00CD17DB"/>
    <w:rsid w:val="00CD18F5"/>
    <w:rsid w:val="00CD1A19"/>
    <w:rsid w:val="00CD1A9C"/>
    <w:rsid w:val="00CD1AAC"/>
    <w:rsid w:val="00CD1B23"/>
    <w:rsid w:val="00CD1B26"/>
    <w:rsid w:val="00CD1BEC"/>
    <w:rsid w:val="00CD1C6C"/>
    <w:rsid w:val="00CD1C79"/>
    <w:rsid w:val="00CD1E32"/>
    <w:rsid w:val="00CD1E7F"/>
    <w:rsid w:val="00CD2002"/>
    <w:rsid w:val="00CD2006"/>
    <w:rsid w:val="00CD202F"/>
    <w:rsid w:val="00CD206E"/>
    <w:rsid w:val="00CD20A3"/>
    <w:rsid w:val="00CD2126"/>
    <w:rsid w:val="00CD216E"/>
    <w:rsid w:val="00CD21DF"/>
    <w:rsid w:val="00CD222E"/>
    <w:rsid w:val="00CD2253"/>
    <w:rsid w:val="00CD2279"/>
    <w:rsid w:val="00CD22AA"/>
    <w:rsid w:val="00CD22AC"/>
    <w:rsid w:val="00CD22E9"/>
    <w:rsid w:val="00CD232B"/>
    <w:rsid w:val="00CD233B"/>
    <w:rsid w:val="00CD2367"/>
    <w:rsid w:val="00CD2381"/>
    <w:rsid w:val="00CD23A7"/>
    <w:rsid w:val="00CD241D"/>
    <w:rsid w:val="00CD245F"/>
    <w:rsid w:val="00CD252D"/>
    <w:rsid w:val="00CD254E"/>
    <w:rsid w:val="00CD2608"/>
    <w:rsid w:val="00CD26B1"/>
    <w:rsid w:val="00CD273F"/>
    <w:rsid w:val="00CD27DB"/>
    <w:rsid w:val="00CD2841"/>
    <w:rsid w:val="00CD284B"/>
    <w:rsid w:val="00CD2895"/>
    <w:rsid w:val="00CD2908"/>
    <w:rsid w:val="00CD29A0"/>
    <w:rsid w:val="00CD2ADF"/>
    <w:rsid w:val="00CD2AEF"/>
    <w:rsid w:val="00CD2BC0"/>
    <w:rsid w:val="00CD2C52"/>
    <w:rsid w:val="00CD2C69"/>
    <w:rsid w:val="00CD2D16"/>
    <w:rsid w:val="00CD2D38"/>
    <w:rsid w:val="00CD2DB6"/>
    <w:rsid w:val="00CD2E27"/>
    <w:rsid w:val="00CD2E5B"/>
    <w:rsid w:val="00CD2F2A"/>
    <w:rsid w:val="00CD2F74"/>
    <w:rsid w:val="00CD30DF"/>
    <w:rsid w:val="00CD30E5"/>
    <w:rsid w:val="00CD3179"/>
    <w:rsid w:val="00CD3183"/>
    <w:rsid w:val="00CD31D4"/>
    <w:rsid w:val="00CD325F"/>
    <w:rsid w:val="00CD32CA"/>
    <w:rsid w:val="00CD3434"/>
    <w:rsid w:val="00CD34AC"/>
    <w:rsid w:val="00CD34CF"/>
    <w:rsid w:val="00CD3504"/>
    <w:rsid w:val="00CD363E"/>
    <w:rsid w:val="00CD3691"/>
    <w:rsid w:val="00CD36CA"/>
    <w:rsid w:val="00CD36F3"/>
    <w:rsid w:val="00CD379D"/>
    <w:rsid w:val="00CD3839"/>
    <w:rsid w:val="00CD388E"/>
    <w:rsid w:val="00CD38AB"/>
    <w:rsid w:val="00CD38CB"/>
    <w:rsid w:val="00CD3989"/>
    <w:rsid w:val="00CD39A3"/>
    <w:rsid w:val="00CD3A0A"/>
    <w:rsid w:val="00CD3A25"/>
    <w:rsid w:val="00CD3AD1"/>
    <w:rsid w:val="00CD3AEF"/>
    <w:rsid w:val="00CD3B4D"/>
    <w:rsid w:val="00CD3C25"/>
    <w:rsid w:val="00CD3CE8"/>
    <w:rsid w:val="00CD3CFA"/>
    <w:rsid w:val="00CD3DCD"/>
    <w:rsid w:val="00CD3DFE"/>
    <w:rsid w:val="00CD3E6C"/>
    <w:rsid w:val="00CD3EA3"/>
    <w:rsid w:val="00CD3EAE"/>
    <w:rsid w:val="00CD3F42"/>
    <w:rsid w:val="00CD4008"/>
    <w:rsid w:val="00CD400C"/>
    <w:rsid w:val="00CD4123"/>
    <w:rsid w:val="00CD4171"/>
    <w:rsid w:val="00CD41CE"/>
    <w:rsid w:val="00CD4253"/>
    <w:rsid w:val="00CD425A"/>
    <w:rsid w:val="00CD42AA"/>
    <w:rsid w:val="00CD42DD"/>
    <w:rsid w:val="00CD42DE"/>
    <w:rsid w:val="00CD438A"/>
    <w:rsid w:val="00CD440C"/>
    <w:rsid w:val="00CD444E"/>
    <w:rsid w:val="00CD453E"/>
    <w:rsid w:val="00CD459A"/>
    <w:rsid w:val="00CD45D9"/>
    <w:rsid w:val="00CD45E1"/>
    <w:rsid w:val="00CD45F8"/>
    <w:rsid w:val="00CD46DD"/>
    <w:rsid w:val="00CD4772"/>
    <w:rsid w:val="00CD488C"/>
    <w:rsid w:val="00CD496C"/>
    <w:rsid w:val="00CD49D2"/>
    <w:rsid w:val="00CD49FF"/>
    <w:rsid w:val="00CD4B05"/>
    <w:rsid w:val="00CD4C59"/>
    <w:rsid w:val="00CD4C61"/>
    <w:rsid w:val="00CD4C82"/>
    <w:rsid w:val="00CD4D4A"/>
    <w:rsid w:val="00CD4D74"/>
    <w:rsid w:val="00CD4D95"/>
    <w:rsid w:val="00CD4DAC"/>
    <w:rsid w:val="00CD4E53"/>
    <w:rsid w:val="00CD4E7E"/>
    <w:rsid w:val="00CD4EA2"/>
    <w:rsid w:val="00CD4F4F"/>
    <w:rsid w:val="00CD4F71"/>
    <w:rsid w:val="00CD5028"/>
    <w:rsid w:val="00CD503E"/>
    <w:rsid w:val="00CD50F6"/>
    <w:rsid w:val="00CD5102"/>
    <w:rsid w:val="00CD518D"/>
    <w:rsid w:val="00CD51B9"/>
    <w:rsid w:val="00CD51C5"/>
    <w:rsid w:val="00CD5237"/>
    <w:rsid w:val="00CD528C"/>
    <w:rsid w:val="00CD52A6"/>
    <w:rsid w:val="00CD52F0"/>
    <w:rsid w:val="00CD52FA"/>
    <w:rsid w:val="00CD538E"/>
    <w:rsid w:val="00CD5392"/>
    <w:rsid w:val="00CD539C"/>
    <w:rsid w:val="00CD53CE"/>
    <w:rsid w:val="00CD5456"/>
    <w:rsid w:val="00CD54D9"/>
    <w:rsid w:val="00CD5577"/>
    <w:rsid w:val="00CD55AD"/>
    <w:rsid w:val="00CD5624"/>
    <w:rsid w:val="00CD5634"/>
    <w:rsid w:val="00CD5691"/>
    <w:rsid w:val="00CD56DE"/>
    <w:rsid w:val="00CD577C"/>
    <w:rsid w:val="00CD57B1"/>
    <w:rsid w:val="00CD5836"/>
    <w:rsid w:val="00CD5854"/>
    <w:rsid w:val="00CD5866"/>
    <w:rsid w:val="00CD593B"/>
    <w:rsid w:val="00CD5964"/>
    <w:rsid w:val="00CD596E"/>
    <w:rsid w:val="00CD59A0"/>
    <w:rsid w:val="00CD59BF"/>
    <w:rsid w:val="00CD5A5C"/>
    <w:rsid w:val="00CD5AE2"/>
    <w:rsid w:val="00CD5B79"/>
    <w:rsid w:val="00CD5BA7"/>
    <w:rsid w:val="00CD5BE6"/>
    <w:rsid w:val="00CD5C10"/>
    <w:rsid w:val="00CD5C3C"/>
    <w:rsid w:val="00CD5C3D"/>
    <w:rsid w:val="00CD5C87"/>
    <w:rsid w:val="00CD5CD5"/>
    <w:rsid w:val="00CD5CF4"/>
    <w:rsid w:val="00CD5D38"/>
    <w:rsid w:val="00CD5D7F"/>
    <w:rsid w:val="00CD5DE9"/>
    <w:rsid w:val="00CD5E2B"/>
    <w:rsid w:val="00CD5E96"/>
    <w:rsid w:val="00CD5F0D"/>
    <w:rsid w:val="00CD5FA8"/>
    <w:rsid w:val="00CD603F"/>
    <w:rsid w:val="00CD6059"/>
    <w:rsid w:val="00CD619F"/>
    <w:rsid w:val="00CD6389"/>
    <w:rsid w:val="00CD6409"/>
    <w:rsid w:val="00CD646A"/>
    <w:rsid w:val="00CD64D2"/>
    <w:rsid w:val="00CD6532"/>
    <w:rsid w:val="00CD656E"/>
    <w:rsid w:val="00CD664E"/>
    <w:rsid w:val="00CD6673"/>
    <w:rsid w:val="00CD66C2"/>
    <w:rsid w:val="00CD66D5"/>
    <w:rsid w:val="00CD671F"/>
    <w:rsid w:val="00CD6724"/>
    <w:rsid w:val="00CD67EE"/>
    <w:rsid w:val="00CD684C"/>
    <w:rsid w:val="00CD6854"/>
    <w:rsid w:val="00CD689D"/>
    <w:rsid w:val="00CD692C"/>
    <w:rsid w:val="00CD69A6"/>
    <w:rsid w:val="00CD69D2"/>
    <w:rsid w:val="00CD6A4E"/>
    <w:rsid w:val="00CD6A5C"/>
    <w:rsid w:val="00CD6BCF"/>
    <w:rsid w:val="00CD6BF2"/>
    <w:rsid w:val="00CD6BF6"/>
    <w:rsid w:val="00CD6C00"/>
    <w:rsid w:val="00CD6CC9"/>
    <w:rsid w:val="00CD6D49"/>
    <w:rsid w:val="00CD6D55"/>
    <w:rsid w:val="00CD6E4D"/>
    <w:rsid w:val="00CD6E9C"/>
    <w:rsid w:val="00CD6ECF"/>
    <w:rsid w:val="00CD6F48"/>
    <w:rsid w:val="00CD6FD1"/>
    <w:rsid w:val="00CD7060"/>
    <w:rsid w:val="00CD70F0"/>
    <w:rsid w:val="00CD7176"/>
    <w:rsid w:val="00CD71BD"/>
    <w:rsid w:val="00CD7214"/>
    <w:rsid w:val="00CD7244"/>
    <w:rsid w:val="00CD7259"/>
    <w:rsid w:val="00CD728A"/>
    <w:rsid w:val="00CD72C6"/>
    <w:rsid w:val="00CD74A4"/>
    <w:rsid w:val="00CD74CF"/>
    <w:rsid w:val="00CD74E1"/>
    <w:rsid w:val="00CD7672"/>
    <w:rsid w:val="00CD7772"/>
    <w:rsid w:val="00CD782E"/>
    <w:rsid w:val="00CD78B3"/>
    <w:rsid w:val="00CD7964"/>
    <w:rsid w:val="00CD7978"/>
    <w:rsid w:val="00CD79AA"/>
    <w:rsid w:val="00CD79B4"/>
    <w:rsid w:val="00CD79B7"/>
    <w:rsid w:val="00CD79E0"/>
    <w:rsid w:val="00CD7A67"/>
    <w:rsid w:val="00CD7C0E"/>
    <w:rsid w:val="00CD7C75"/>
    <w:rsid w:val="00CD7D01"/>
    <w:rsid w:val="00CD7D0C"/>
    <w:rsid w:val="00CD7D84"/>
    <w:rsid w:val="00CD7DA3"/>
    <w:rsid w:val="00CD7ECE"/>
    <w:rsid w:val="00CD7F72"/>
    <w:rsid w:val="00CD7F8E"/>
    <w:rsid w:val="00CD7FBC"/>
    <w:rsid w:val="00CE008C"/>
    <w:rsid w:val="00CE00D8"/>
    <w:rsid w:val="00CE0204"/>
    <w:rsid w:val="00CE02A3"/>
    <w:rsid w:val="00CE02AB"/>
    <w:rsid w:val="00CE02B3"/>
    <w:rsid w:val="00CE0370"/>
    <w:rsid w:val="00CE038A"/>
    <w:rsid w:val="00CE03BC"/>
    <w:rsid w:val="00CE047D"/>
    <w:rsid w:val="00CE0485"/>
    <w:rsid w:val="00CE0500"/>
    <w:rsid w:val="00CE0564"/>
    <w:rsid w:val="00CE05F8"/>
    <w:rsid w:val="00CE0693"/>
    <w:rsid w:val="00CE06B8"/>
    <w:rsid w:val="00CE0800"/>
    <w:rsid w:val="00CE085C"/>
    <w:rsid w:val="00CE0899"/>
    <w:rsid w:val="00CE089B"/>
    <w:rsid w:val="00CE08F6"/>
    <w:rsid w:val="00CE095D"/>
    <w:rsid w:val="00CE097C"/>
    <w:rsid w:val="00CE09DF"/>
    <w:rsid w:val="00CE0C24"/>
    <w:rsid w:val="00CE0D4F"/>
    <w:rsid w:val="00CE0D57"/>
    <w:rsid w:val="00CE0D5B"/>
    <w:rsid w:val="00CE0DBA"/>
    <w:rsid w:val="00CE0DE7"/>
    <w:rsid w:val="00CE0E71"/>
    <w:rsid w:val="00CE0E92"/>
    <w:rsid w:val="00CE1034"/>
    <w:rsid w:val="00CE104E"/>
    <w:rsid w:val="00CE106E"/>
    <w:rsid w:val="00CE11C7"/>
    <w:rsid w:val="00CE11F0"/>
    <w:rsid w:val="00CE1206"/>
    <w:rsid w:val="00CE1210"/>
    <w:rsid w:val="00CE126B"/>
    <w:rsid w:val="00CE12DC"/>
    <w:rsid w:val="00CE1341"/>
    <w:rsid w:val="00CE1396"/>
    <w:rsid w:val="00CE151B"/>
    <w:rsid w:val="00CE155E"/>
    <w:rsid w:val="00CE1583"/>
    <w:rsid w:val="00CE158D"/>
    <w:rsid w:val="00CE1598"/>
    <w:rsid w:val="00CE159E"/>
    <w:rsid w:val="00CE165C"/>
    <w:rsid w:val="00CE1669"/>
    <w:rsid w:val="00CE1719"/>
    <w:rsid w:val="00CE1722"/>
    <w:rsid w:val="00CE1748"/>
    <w:rsid w:val="00CE17C9"/>
    <w:rsid w:val="00CE181A"/>
    <w:rsid w:val="00CE18FF"/>
    <w:rsid w:val="00CE1903"/>
    <w:rsid w:val="00CE199D"/>
    <w:rsid w:val="00CE199F"/>
    <w:rsid w:val="00CE19A2"/>
    <w:rsid w:val="00CE1A03"/>
    <w:rsid w:val="00CE1B28"/>
    <w:rsid w:val="00CE1B94"/>
    <w:rsid w:val="00CE1BC1"/>
    <w:rsid w:val="00CE1BFD"/>
    <w:rsid w:val="00CE1C01"/>
    <w:rsid w:val="00CE1C87"/>
    <w:rsid w:val="00CE1E04"/>
    <w:rsid w:val="00CE1E33"/>
    <w:rsid w:val="00CE1EB0"/>
    <w:rsid w:val="00CE1F3D"/>
    <w:rsid w:val="00CE1F8F"/>
    <w:rsid w:val="00CE1FAB"/>
    <w:rsid w:val="00CE1FFB"/>
    <w:rsid w:val="00CE2002"/>
    <w:rsid w:val="00CE20A7"/>
    <w:rsid w:val="00CE2199"/>
    <w:rsid w:val="00CE21A6"/>
    <w:rsid w:val="00CE21CE"/>
    <w:rsid w:val="00CE21FB"/>
    <w:rsid w:val="00CE2202"/>
    <w:rsid w:val="00CE22EC"/>
    <w:rsid w:val="00CE237B"/>
    <w:rsid w:val="00CE2388"/>
    <w:rsid w:val="00CE2393"/>
    <w:rsid w:val="00CE23C9"/>
    <w:rsid w:val="00CE244F"/>
    <w:rsid w:val="00CE2463"/>
    <w:rsid w:val="00CE25B2"/>
    <w:rsid w:val="00CE26D5"/>
    <w:rsid w:val="00CE2887"/>
    <w:rsid w:val="00CE294B"/>
    <w:rsid w:val="00CE2960"/>
    <w:rsid w:val="00CE2967"/>
    <w:rsid w:val="00CE2AAB"/>
    <w:rsid w:val="00CE2AD3"/>
    <w:rsid w:val="00CE2B19"/>
    <w:rsid w:val="00CE2C1F"/>
    <w:rsid w:val="00CE2C7F"/>
    <w:rsid w:val="00CE2C9F"/>
    <w:rsid w:val="00CE2D2D"/>
    <w:rsid w:val="00CE2DCC"/>
    <w:rsid w:val="00CE2DEA"/>
    <w:rsid w:val="00CE2E4D"/>
    <w:rsid w:val="00CE2ED6"/>
    <w:rsid w:val="00CE2EE1"/>
    <w:rsid w:val="00CE2F56"/>
    <w:rsid w:val="00CE2FFD"/>
    <w:rsid w:val="00CE3054"/>
    <w:rsid w:val="00CE30C8"/>
    <w:rsid w:val="00CE30E8"/>
    <w:rsid w:val="00CE3159"/>
    <w:rsid w:val="00CE31CF"/>
    <w:rsid w:val="00CE31EA"/>
    <w:rsid w:val="00CE3221"/>
    <w:rsid w:val="00CE33A0"/>
    <w:rsid w:val="00CE34CE"/>
    <w:rsid w:val="00CE34FA"/>
    <w:rsid w:val="00CE3571"/>
    <w:rsid w:val="00CE3676"/>
    <w:rsid w:val="00CE36BB"/>
    <w:rsid w:val="00CE370A"/>
    <w:rsid w:val="00CE377F"/>
    <w:rsid w:val="00CE397B"/>
    <w:rsid w:val="00CE39C1"/>
    <w:rsid w:val="00CE39D0"/>
    <w:rsid w:val="00CE39FF"/>
    <w:rsid w:val="00CE3B3C"/>
    <w:rsid w:val="00CE3C53"/>
    <w:rsid w:val="00CE3EC8"/>
    <w:rsid w:val="00CE3ECA"/>
    <w:rsid w:val="00CE3EFE"/>
    <w:rsid w:val="00CE3F0D"/>
    <w:rsid w:val="00CE3F0E"/>
    <w:rsid w:val="00CE3F0F"/>
    <w:rsid w:val="00CE3FAA"/>
    <w:rsid w:val="00CE40BC"/>
    <w:rsid w:val="00CE4106"/>
    <w:rsid w:val="00CE41BE"/>
    <w:rsid w:val="00CE420A"/>
    <w:rsid w:val="00CE4240"/>
    <w:rsid w:val="00CE438A"/>
    <w:rsid w:val="00CE43A2"/>
    <w:rsid w:val="00CE443C"/>
    <w:rsid w:val="00CE4464"/>
    <w:rsid w:val="00CE44D0"/>
    <w:rsid w:val="00CE4500"/>
    <w:rsid w:val="00CE4591"/>
    <w:rsid w:val="00CE4619"/>
    <w:rsid w:val="00CE4766"/>
    <w:rsid w:val="00CE4796"/>
    <w:rsid w:val="00CE47CF"/>
    <w:rsid w:val="00CE4929"/>
    <w:rsid w:val="00CE49DB"/>
    <w:rsid w:val="00CE49DC"/>
    <w:rsid w:val="00CE4A00"/>
    <w:rsid w:val="00CE4A64"/>
    <w:rsid w:val="00CE4A71"/>
    <w:rsid w:val="00CE4A8B"/>
    <w:rsid w:val="00CE4BD2"/>
    <w:rsid w:val="00CE4C23"/>
    <w:rsid w:val="00CE4CD1"/>
    <w:rsid w:val="00CE4E54"/>
    <w:rsid w:val="00CE4E97"/>
    <w:rsid w:val="00CE4EAD"/>
    <w:rsid w:val="00CE4EC0"/>
    <w:rsid w:val="00CE4ED9"/>
    <w:rsid w:val="00CE4FB9"/>
    <w:rsid w:val="00CE5009"/>
    <w:rsid w:val="00CE50AA"/>
    <w:rsid w:val="00CE50BD"/>
    <w:rsid w:val="00CE50EB"/>
    <w:rsid w:val="00CE511B"/>
    <w:rsid w:val="00CE51AD"/>
    <w:rsid w:val="00CE51F3"/>
    <w:rsid w:val="00CE52BE"/>
    <w:rsid w:val="00CE53DA"/>
    <w:rsid w:val="00CE5472"/>
    <w:rsid w:val="00CE54EF"/>
    <w:rsid w:val="00CE5582"/>
    <w:rsid w:val="00CE567D"/>
    <w:rsid w:val="00CE56EB"/>
    <w:rsid w:val="00CE5798"/>
    <w:rsid w:val="00CE57BA"/>
    <w:rsid w:val="00CE582E"/>
    <w:rsid w:val="00CE588C"/>
    <w:rsid w:val="00CE591B"/>
    <w:rsid w:val="00CE597D"/>
    <w:rsid w:val="00CE5A8D"/>
    <w:rsid w:val="00CE5ACD"/>
    <w:rsid w:val="00CE5AE5"/>
    <w:rsid w:val="00CE5B46"/>
    <w:rsid w:val="00CE5B5D"/>
    <w:rsid w:val="00CE5B6D"/>
    <w:rsid w:val="00CE5B98"/>
    <w:rsid w:val="00CE5C1D"/>
    <w:rsid w:val="00CE5C49"/>
    <w:rsid w:val="00CE5C4E"/>
    <w:rsid w:val="00CE5D0A"/>
    <w:rsid w:val="00CE5D42"/>
    <w:rsid w:val="00CE5D5A"/>
    <w:rsid w:val="00CE5D99"/>
    <w:rsid w:val="00CE5DE9"/>
    <w:rsid w:val="00CE605B"/>
    <w:rsid w:val="00CE605D"/>
    <w:rsid w:val="00CE6060"/>
    <w:rsid w:val="00CE60B0"/>
    <w:rsid w:val="00CE60F8"/>
    <w:rsid w:val="00CE620E"/>
    <w:rsid w:val="00CE622B"/>
    <w:rsid w:val="00CE6258"/>
    <w:rsid w:val="00CE62A2"/>
    <w:rsid w:val="00CE62F6"/>
    <w:rsid w:val="00CE63B7"/>
    <w:rsid w:val="00CE63C4"/>
    <w:rsid w:val="00CE6451"/>
    <w:rsid w:val="00CE6505"/>
    <w:rsid w:val="00CE6563"/>
    <w:rsid w:val="00CE6597"/>
    <w:rsid w:val="00CE6665"/>
    <w:rsid w:val="00CE6689"/>
    <w:rsid w:val="00CE66B5"/>
    <w:rsid w:val="00CE66D1"/>
    <w:rsid w:val="00CE673F"/>
    <w:rsid w:val="00CE6746"/>
    <w:rsid w:val="00CE6777"/>
    <w:rsid w:val="00CE678A"/>
    <w:rsid w:val="00CE6791"/>
    <w:rsid w:val="00CE686E"/>
    <w:rsid w:val="00CE6974"/>
    <w:rsid w:val="00CE6A4B"/>
    <w:rsid w:val="00CE6B4D"/>
    <w:rsid w:val="00CE6B7E"/>
    <w:rsid w:val="00CE6BA5"/>
    <w:rsid w:val="00CE6C58"/>
    <w:rsid w:val="00CE6C9C"/>
    <w:rsid w:val="00CE6CD5"/>
    <w:rsid w:val="00CE6CE7"/>
    <w:rsid w:val="00CE6D44"/>
    <w:rsid w:val="00CE6D84"/>
    <w:rsid w:val="00CE6DA6"/>
    <w:rsid w:val="00CE6E3C"/>
    <w:rsid w:val="00CE6E75"/>
    <w:rsid w:val="00CE6F74"/>
    <w:rsid w:val="00CE70BB"/>
    <w:rsid w:val="00CE714C"/>
    <w:rsid w:val="00CE7166"/>
    <w:rsid w:val="00CE71CE"/>
    <w:rsid w:val="00CE7215"/>
    <w:rsid w:val="00CE7276"/>
    <w:rsid w:val="00CE7313"/>
    <w:rsid w:val="00CE740B"/>
    <w:rsid w:val="00CE7416"/>
    <w:rsid w:val="00CE747E"/>
    <w:rsid w:val="00CE74F6"/>
    <w:rsid w:val="00CE759B"/>
    <w:rsid w:val="00CE75D1"/>
    <w:rsid w:val="00CE763A"/>
    <w:rsid w:val="00CE76B8"/>
    <w:rsid w:val="00CE76EA"/>
    <w:rsid w:val="00CE770C"/>
    <w:rsid w:val="00CE7860"/>
    <w:rsid w:val="00CE7949"/>
    <w:rsid w:val="00CE7A5E"/>
    <w:rsid w:val="00CE7AAB"/>
    <w:rsid w:val="00CE7AB7"/>
    <w:rsid w:val="00CE7B24"/>
    <w:rsid w:val="00CE7B42"/>
    <w:rsid w:val="00CE7B9D"/>
    <w:rsid w:val="00CE7B9E"/>
    <w:rsid w:val="00CE7BB2"/>
    <w:rsid w:val="00CE7BBA"/>
    <w:rsid w:val="00CE7C7A"/>
    <w:rsid w:val="00CE7C7E"/>
    <w:rsid w:val="00CE7CE9"/>
    <w:rsid w:val="00CE7D18"/>
    <w:rsid w:val="00CE7D73"/>
    <w:rsid w:val="00CE7DE9"/>
    <w:rsid w:val="00CE7E3F"/>
    <w:rsid w:val="00CE7EED"/>
    <w:rsid w:val="00CE7EFF"/>
    <w:rsid w:val="00CE7F08"/>
    <w:rsid w:val="00CE7F9F"/>
    <w:rsid w:val="00CF0016"/>
    <w:rsid w:val="00CF0181"/>
    <w:rsid w:val="00CF0211"/>
    <w:rsid w:val="00CF0217"/>
    <w:rsid w:val="00CF02CC"/>
    <w:rsid w:val="00CF02F6"/>
    <w:rsid w:val="00CF0329"/>
    <w:rsid w:val="00CF03A3"/>
    <w:rsid w:val="00CF03A4"/>
    <w:rsid w:val="00CF0471"/>
    <w:rsid w:val="00CF0581"/>
    <w:rsid w:val="00CF05CE"/>
    <w:rsid w:val="00CF05D7"/>
    <w:rsid w:val="00CF05DB"/>
    <w:rsid w:val="00CF05ED"/>
    <w:rsid w:val="00CF05FD"/>
    <w:rsid w:val="00CF060A"/>
    <w:rsid w:val="00CF0631"/>
    <w:rsid w:val="00CF0683"/>
    <w:rsid w:val="00CF06B8"/>
    <w:rsid w:val="00CF06FB"/>
    <w:rsid w:val="00CF07B9"/>
    <w:rsid w:val="00CF07CC"/>
    <w:rsid w:val="00CF07F4"/>
    <w:rsid w:val="00CF08A8"/>
    <w:rsid w:val="00CF09AA"/>
    <w:rsid w:val="00CF0A1B"/>
    <w:rsid w:val="00CF0A7A"/>
    <w:rsid w:val="00CF0A96"/>
    <w:rsid w:val="00CF0A98"/>
    <w:rsid w:val="00CF0B01"/>
    <w:rsid w:val="00CF0B16"/>
    <w:rsid w:val="00CF0BD4"/>
    <w:rsid w:val="00CF0BF1"/>
    <w:rsid w:val="00CF0C64"/>
    <w:rsid w:val="00CF0C8A"/>
    <w:rsid w:val="00CF0D02"/>
    <w:rsid w:val="00CF0D43"/>
    <w:rsid w:val="00CF0DC3"/>
    <w:rsid w:val="00CF0DCB"/>
    <w:rsid w:val="00CF0E40"/>
    <w:rsid w:val="00CF0E7C"/>
    <w:rsid w:val="00CF0FDE"/>
    <w:rsid w:val="00CF1117"/>
    <w:rsid w:val="00CF1175"/>
    <w:rsid w:val="00CF1199"/>
    <w:rsid w:val="00CF11E6"/>
    <w:rsid w:val="00CF12DF"/>
    <w:rsid w:val="00CF12E6"/>
    <w:rsid w:val="00CF1375"/>
    <w:rsid w:val="00CF1417"/>
    <w:rsid w:val="00CF14EC"/>
    <w:rsid w:val="00CF162E"/>
    <w:rsid w:val="00CF16CB"/>
    <w:rsid w:val="00CF16D7"/>
    <w:rsid w:val="00CF170F"/>
    <w:rsid w:val="00CF177C"/>
    <w:rsid w:val="00CF1811"/>
    <w:rsid w:val="00CF1860"/>
    <w:rsid w:val="00CF1970"/>
    <w:rsid w:val="00CF1998"/>
    <w:rsid w:val="00CF1A76"/>
    <w:rsid w:val="00CF1A9B"/>
    <w:rsid w:val="00CF1ACC"/>
    <w:rsid w:val="00CF1AF4"/>
    <w:rsid w:val="00CF1B69"/>
    <w:rsid w:val="00CF1B98"/>
    <w:rsid w:val="00CF1C3F"/>
    <w:rsid w:val="00CF1C7D"/>
    <w:rsid w:val="00CF1CBE"/>
    <w:rsid w:val="00CF1D5E"/>
    <w:rsid w:val="00CF1D8D"/>
    <w:rsid w:val="00CF1DD0"/>
    <w:rsid w:val="00CF1DE5"/>
    <w:rsid w:val="00CF1DFE"/>
    <w:rsid w:val="00CF1E08"/>
    <w:rsid w:val="00CF1E8D"/>
    <w:rsid w:val="00CF1EA0"/>
    <w:rsid w:val="00CF1FD6"/>
    <w:rsid w:val="00CF2081"/>
    <w:rsid w:val="00CF20BA"/>
    <w:rsid w:val="00CF211B"/>
    <w:rsid w:val="00CF2132"/>
    <w:rsid w:val="00CF2202"/>
    <w:rsid w:val="00CF2214"/>
    <w:rsid w:val="00CF2289"/>
    <w:rsid w:val="00CF22D7"/>
    <w:rsid w:val="00CF2349"/>
    <w:rsid w:val="00CF23CE"/>
    <w:rsid w:val="00CF244F"/>
    <w:rsid w:val="00CF246E"/>
    <w:rsid w:val="00CF24E4"/>
    <w:rsid w:val="00CF2528"/>
    <w:rsid w:val="00CF257E"/>
    <w:rsid w:val="00CF263C"/>
    <w:rsid w:val="00CF2701"/>
    <w:rsid w:val="00CF272D"/>
    <w:rsid w:val="00CF273E"/>
    <w:rsid w:val="00CF28BC"/>
    <w:rsid w:val="00CF2962"/>
    <w:rsid w:val="00CF2A4C"/>
    <w:rsid w:val="00CF2A57"/>
    <w:rsid w:val="00CF2A90"/>
    <w:rsid w:val="00CF2B55"/>
    <w:rsid w:val="00CF2B7D"/>
    <w:rsid w:val="00CF2BCB"/>
    <w:rsid w:val="00CF2BE7"/>
    <w:rsid w:val="00CF2C02"/>
    <w:rsid w:val="00CF2C09"/>
    <w:rsid w:val="00CF2C3E"/>
    <w:rsid w:val="00CF2C60"/>
    <w:rsid w:val="00CF2C65"/>
    <w:rsid w:val="00CF2CF0"/>
    <w:rsid w:val="00CF2D47"/>
    <w:rsid w:val="00CF2D72"/>
    <w:rsid w:val="00CF2DFA"/>
    <w:rsid w:val="00CF2E47"/>
    <w:rsid w:val="00CF2E8E"/>
    <w:rsid w:val="00CF2ED6"/>
    <w:rsid w:val="00CF2EE8"/>
    <w:rsid w:val="00CF2F12"/>
    <w:rsid w:val="00CF2F99"/>
    <w:rsid w:val="00CF303A"/>
    <w:rsid w:val="00CF3049"/>
    <w:rsid w:val="00CF3103"/>
    <w:rsid w:val="00CF319B"/>
    <w:rsid w:val="00CF33B3"/>
    <w:rsid w:val="00CF33EE"/>
    <w:rsid w:val="00CF34FF"/>
    <w:rsid w:val="00CF3540"/>
    <w:rsid w:val="00CF35A8"/>
    <w:rsid w:val="00CF35D4"/>
    <w:rsid w:val="00CF3605"/>
    <w:rsid w:val="00CF362A"/>
    <w:rsid w:val="00CF36BB"/>
    <w:rsid w:val="00CF36D1"/>
    <w:rsid w:val="00CF36E6"/>
    <w:rsid w:val="00CF36EF"/>
    <w:rsid w:val="00CF3751"/>
    <w:rsid w:val="00CF3821"/>
    <w:rsid w:val="00CF383B"/>
    <w:rsid w:val="00CF3855"/>
    <w:rsid w:val="00CF387B"/>
    <w:rsid w:val="00CF3908"/>
    <w:rsid w:val="00CF3912"/>
    <w:rsid w:val="00CF3990"/>
    <w:rsid w:val="00CF39E1"/>
    <w:rsid w:val="00CF3A48"/>
    <w:rsid w:val="00CF3AB4"/>
    <w:rsid w:val="00CF3AF5"/>
    <w:rsid w:val="00CF3B0E"/>
    <w:rsid w:val="00CF3B94"/>
    <w:rsid w:val="00CF3C82"/>
    <w:rsid w:val="00CF3D21"/>
    <w:rsid w:val="00CF3D9E"/>
    <w:rsid w:val="00CF3DA7"/>
    <w:rsid w:val="00CF3DBF"/>
    <w:rsid w:val="00CF3E38"/>
    <w:rsid w:val="00CF3E5F"/>
    <w:rsid w:val="00CF3EAC"/>
    <w:rsid w:val="00CF3F03"/>
    <w:rsid w:val="00CF3F0F"/>
    <w:rsid w:val="00CF3F8D"/>
    <w:rsid w:val="00CF3F97"/>
    <w:rsid w:val="00CF3FA8"/>
    <w:rsid w:val="00CF400B"/>
    <w:rsid w:val="00CF4047"/>
    <w:rsid w:val="00CF4082"/>
    <w:rsid w:val="00CF40BE"/>
    <w:rsid w:val="00CF4180"/>
    <w:rsid w:val="00CF41A3"/>
    <w:rsid w:val="00CF4207"/>
    <w:rsid w:val="00CF4242"/>
    <w:rsid w:val="00CF4353"/>
    <w:rsid w:val="00CF43BF"/>
    <w:rsid w:val="00CF448C"/>
    <w:rsid w:val="00CF450B"/>
    <w:rsid w:val="00CF4537"/>
    <w:rsid w:val="00CF4552"/>
    <w:rsid w:val="00CF456F"/>
    <w:rsid w:val="00CF4686"/>
    <w:rsid w:val="00CF47E7"/>
    <w:rsid w:val="00CF4827"/>
    <w:rsid w:val="00CF4877"/>
    <w:rsid w:val="00CF4896"/>
    <w:rsid w:val="00CF48E2"/>
    <w:rsid w:val="00CF4928"/>
    <w:rsid w:val="00CF4962"/>
    <w:rsid w:val="00CF4A1E"/>
    <w:rsid w:val="00CF4AB9"/>
    <w:rsid w:val="00CF4B25"/>
    <w:rsid w:val="00CF4B4F"/>
    <w:rsid w:val="00CF4C06"/>
    <w:rsid w:val="00CF4C3B"/>
    <w:rsid w:val="00CF4C7E"/>
    <w:rsid w:val="00CF4D73"/>
    <w:rsid w:val="00CF4E15"/>
    <w:rsid w:val="00CF4EB5"/>
    <w:rsid w:val="00CF4F7B"/>
    <w:rsid w:val="00CF4F97"/>
    <w:rsid w:val="00CF4FC4"/>
    <w:rsid w:val="00CF510E"/>
    <w:rsid w:val="00CF52D9"/>
    <w:rsid w:val="00CF52E7"/>
    <w:rsid w:val="00CF52F8"/>
    <w:rsid w:val="00CF531C"/>
    <w:rsid w:val="00CF537C"/>
    <w:rsid w:val="00CF5399"/>
    <w:rsid w:val="00CF53C6"/>
    <w:rsid w:val="00CF53F0"/>
    <w:rsid w:val="00CF5401"/>
    <w:rsid w:val="00CF550C"/>
    <w:rsid w:val="00CF5569"/>
    <w:rsid w:val="00CF558F"/>
    <w:rsid w:val="00CF55D5"/>
    <w:rsid w:val="00CF55EF"/>
    <w:rsid w:val="00CF564A"/>
    <w:rsid w:val="00CF56A4"/>
    <w:rsid w:val="00CF573F"/>
    <w:rsid w:val="00CF5794"/>
    <w:rsid w:val="00CF57F3"/>
    <w:rsid w:val="00CF5820"/>
    <w:rsid w:val="00CF5849"/>
    <w:rsid w:val="00CF587C"/>
    <w:rsid w:val="00CF58D4"/>
    <w:rsid w:val="00CF5986"/>
    <w:rsid w:val="00CF5A47"/>
    <w:rsid w:val="00CF5B79"/>
    <w:rsid w:val="00CF5BC3"/>
    <w:rsid w:val="00CF5D54"/>
    <w:rsid w:val="00CF5D58"/>
    <w:rsid w:val="00CF5E1F"/>
    <w:rsid w:val="00CF5EB0"/>
    <w:rsid w:val="00CF5F6F"/>
    <w:rsid w:val="00CF5F79"/>
    <w:rsid w:val="00CF5F9A"/>
    <w:rsid w:val="00CF5FCB"/>
    <w:rsid w:val="00CF5FD1"/>
    <w:rsid w:val="00CF5FE5"/>
    <w:rsid w:val="00CF60A7"/>
    <w:rsid w:val="00CF61C0"/>
    <w:rsid w:val="00CF61E7"/>
    <w:rsid w:val="00CF61EB"/>
    <w:rsid w:val="00CF6327"/>
    <w:rsid w:val="00CF633C"/>
    <w:rsid w:val="00CF638D"/>
    <w:rsid w:val="00CF645F"/>
    <w:rsid w:val="00CF6497"/>
    <w:rsid w:val="00CF6545"/>
    <w:rsid w:val="00CF658D"/>
    <w:rsid w:val="00CF659E"/>
    <w:rsid w:val="00CF65B5"/>
    <w:rsid w:val="00CF65B8"/>
    <w:rsid w:val="00CF668C"/>
    <w:rsid w:val="00CF6718"/>
    <w:rsid w:val="00CF684E"/>
    <w:rsid w:val="00CF6896"/>
    <w:rsid w:val="00CF6899"/>
    <w:rsid w:val="00CF691B"/>
    <w:rsid w:val="00CF6946"/>
    <w:rsid w:val="00CF6961"/>
    <w:rsid w:val="00CF6A6C"/>
    <w:rsid w:val="00CF6A82"/>
    <w:rsid w:val="00CF6A93"/>
    <w:rsid w:val="00CF6A9A"/>
    <w:rsid w:val="00CF6B96"/>
    <w:rsid w:val="00CF6C58"/>
    <w:rsid w:val="00CF6C5B"/>
    <w:rsid w:val="00CF6C5F"/>
    <w:rsid w:val="00CF6C65"/>
    <w:rsid w:val="00CF6CEC"/>
    <w:rsid w:val="00CF6D17"/>
    <w:rsid w:val="00CF6D46"/>
    <w:rsid w:val="00CF6D68"/>
    <w:rsid w:val="00CF6D96"/>
    <w:rsid w:val="00CF6DA2"/>
    <w:rsid w:val="00CF6F14"/>
    <w:rsid w:val="00CF6FB7"/>
    <w:rsid w:val="00CF6FD7"/>
    <w:rsid w:val="00CF7058"/>
    <w:rsid w:val="00CF7131"/>
    <w:rsid w:val="00CF7141"/>
    <w:rsid w:val="00CF71B6"/>
    <w:rsid w:val="00CF71C7"/>
    <w:rsid w:val="00CF7289"/>
    <w:rsid w:val="00CF7295"/>
    <w:rsid w:val="00CF7328"/>
    <w:rsid w:val="00CF73D8"/>
    <w:rsid w:val="00CF74F3"/>
    <w:rsid w:val="00CF7670"/>
    <w:rsid w:val="00CF768B"/>
    <w:rsid w:val="00CF76D4"/>
    <w:rsid w:val="00CF77AF"/>
    <w:rsid w:val="00CF788D"/>
    <w:rsid w:val="00CF78A5"/>
    <w:rsid w:val="00CF78CF"/>
    <w:rsid w:val="00CF7946"/>
    <w:rsid w:val="00CF7976"/>
    <w:rsid w:val="00CF7997"/>
    <w:rsid w:val="00CF7A77"/>
    <w:rsid w:val="00CF7A79"/>
    <w:rsid w:val="00CF7AA9"/>
    <w:rsid w:val="00CF7AFB"/>
    <w:rsid w:val="00CF7B17"/>
    <w:rsid w:val="00CF7B19"/>
    <w:rsid w:val="00CF7B63"/>
    <w:rsid w:val="00CF7C08"/>
    <w:rsid w:val="00CF7D6B"/>
    <w:rsid w:val="00CF7E03"/>
    <w:rsid w:val="00CF7E13"/>
    <w:rsid w:val="00CF7E18"/>
    <w:rsid w:val="00CF7E7D"/>
    <w:rsid w:val="00CF7E85"/>
    <w:rsid w:val="00CF7E8E"/>
    <w:rsid w:val="00CF7EF1"/>
    <w:rsid w:val="00CF7F05"/>
    <w:rsid w:val="00CF7F42"/>
    <w:rsid w:val="00D0010E"/>
    <w:rsid w:val="00D00318"/>
    <w:rsid w:val="00D00334"/>
    <w:rsid w:val="00D0035D"/>
    <w:rsid w:val="00D0037C"/>
    <w:rsid w:val="00D00436"/>
    <w:rsid w:val="00D004C0"/>
    <w:rsid w:val="00D004CA"/>
    <w:rsid w:val="00D006C8"/>
    <w:rsid w:val="00D00750"/>
    <w:rsid w:val="00D00768"/>
    <w:rsid w:val="00D007A1"/>
    <w:rsid w:val="00D007AD"/>
    <w:rsid w:val="00D007C5"/>
    <w:rsid w:val="00D0084A"/>
    <w:rsid w:val="00D0084C"/>
    <w:rsid w:val="00D00873"/>
    <w:rsid w:val="00D0092F"/>
    <w:rsid w:val="00D0099D"/>
    <w:rsid w:val="00D00A93"/>
    <w:rsid w:val="00D00ABF"/>
    <w:rsid w:val="00D00AF2"/>
    <w:rsid w:val="00D00AF3"/>
    <w:rsid w:val="00D00AFA"/>
    <w:rsid w:val="00D00BE6"/>
    <w:rsid w:val="00D00C4E"/>
    <w:rsid w:val="00D00C52"/>
    <w:rsid w:val="00D00C89"/>
    <w:rsid w:val="00D00D34"/>
    <w:rsid w:val="00D00DA6"/>
    <w:rsid w:val="00D00DEE"/>
    <w:rsid w:val="00D00E3F"/>
    <w:rsid w:val="00D00F09"/>
    <w:rsid w:val="00D00F48"/>
    <w:rsid w:val="00D00F53"/>
    <w:rsid w:val="00D00FFB"/>
    <w:rsid w:val="00D0100E"/>
    <w:rsid w:val="00D01033"/>
    <w:rsid w:val="00D0103B"/>
    <w:rsid w:val="00D01059"/>
    <w:rsid w:val="00D010C9"/>
    <w:rsid w:val="00D011AD"/>
    <w:rsid w:val="00D0129E"/>
    <w:rsid w:val="00D01316"/>
    <w:rsid w:val="00D01467"/>
    <w:rsid w:val="00D0163E"/>
    <w:rsid w:val="00D01650"/>
    <w:rsid w:val="00D01659"/>
    <w:rsid w:val="00D017CF"/>
    <w:rsid w:val="00D017DF"/>
    <w:rsid w:val="00D01816"/>
    <w:rsid w:val="00D0187A"/>
    <w:rsid w:val="00D01933"/>
    <w:rsid w:val="00D01945"/>
    <w:rsid w:val="00D01952"/>
    <w:rsid w:val="00D019E3"/>
    <w:rsid w:val="00D01AB4"/>
    <w:rsid w:val="00D01AE3"/>
    <w:rsid w:val="00D01B56"/>
    <w:rsid w:val="00D01C02"/>
    <w:rsid w:val="00D01C2A"/>
    <w:rsid w:val="00D01C3A"/>
    <w:rsid w:val="00D01CA3"/>
    <w:rsid w:val="00D01DA2"/>
    <w:rsid w:val="00D01DEA"/>
    <w:rsid w:val="00D01DFA"/>
    <w:rsid w:val="00D01F3D"/>
    <w:rsid w:val="00D01FDA"/>
    <w:rsid w:val="00D020ED"/>
    <w:rsid w:val="00D02152"/>
    <w:rsid w:val="00D0215D"/>
    <w:rsid w:val="00D021FA"/>
    <w:rsid w:val="00D021FB"/>
    <w:rsid w:val="00D02239"/>
    <w:rsid w:val="00D022DB"/>
    <w:rsid w:val="00D02309"/>
    <w:rsid w:val="00D02322"/>
    <w:rsid w:val="00D02331"/>
    <w:rsid w:val="00D02391"/>
    <w:rsid w:val="00D023AC"/>
    <w:rsid w:val="00D023EC"/>
    <w:rsid w:val="00D02400"/>
    <w:rsid w:val="00D024C3"/>
    <w:rsid w:val="00D024CC"/>
    <w:rsid w:val="00D02595"/>
    <w:rsid w:val="00D025D0"/>
    <w:rsid w:val="00D02685"/>
    <w:rsid w:val="00D0273F"/>
    <w:rsid w:val="00D0276D"/>
    <w:rsid w:val="00D02794"/>
    <w:rsid w:val="00D02796"/>
    <w:rsid w:val="00D027DF"/>
    <w:rsid w:val="00D028C4"/>
    <w:rsid w:val="00D028CB"/>
    <w:rsid w:val="00D028F6"/>
    <w:rsid w:val="00D02A61"/>
    <w:rsid w:val="00D02A68"/>
    <w:rsid w:val="00D02A7E"/>
    <w:rsid w:val="00D02AD2"/>
    <w:rsid w:val="00D02BEC"/>
    <w:rsid w:val="00D02C6A"/>
    <w:rsid w:val="00D02CB8"/>
    <w:rsid w:val="00D02CD9"/>
    <w:rsid w:val="00D02D54"/>
    <w:rsid w:val="00D02DBB"/>
    <w:rsid w:val="00D02DEF"/>
    <w:rsid w:val="00D02E33"/>
    <w:rsid w:val="00D02E9D"/>
    <w:rsid w:val="00D02F0C"/>
    <w:rsid w:val="00D02F68"/>
    <w:rsid w:val="00D02F77"/>
    <w:rsid w:val="00D03036"/>
    <w:rsid w:val="00D03124"/>
    <w:rsid w:val="00D03132"/>
    <w:rsid w:val="00D03162"/>
    <w:rsid w:val="00D03171"/>
    <w:rsid w:val="00D03191"/>
    <w:rsid w:val="00D03217"/>
    <w:rsid w:val="00D032B6"/>
    <w:rsid w:val="00D0336E"/>
    <w:rsid w:val="00D033DD"/>
    <w:rsid w:val="00D03490"/>
    <w:rsid w:val="00D034A3"/>
    <w:rsid w:val="00D03546"/>
    <w:rsid w:val="00D0358F"/>
    <w:rsid w:val="00D035D3"/>
    <w:rsid w:val="00D03615"/>
    <w:rsid w:val="00D036BB"/>
    <w:rsid w:val="00D036D1"/>
    <w:rsid w:val="00D036DA"/>
    <w:rsid w:val="00D036DD"/>
    <w:rsid w:val="00D03710"/>
    <w:rsid w:val="00D0371D"/>
    <w:rsid w:val="00D03780"/>
    <w:rsid w:val="00D03912"/>
    <w:rsid w:val="00D03A8E"/>
    <w:rsid w:val="00D03AAF"/>
    <w:rsid w:val="00D03AF9"/>
    <w:rsid w:val="00D03B18"/>
    <w:rsid w:val="00D03B1D"/>
    <w:rsid w:val="00D03B7A"/>
    <w:rsid w:val="00D03B89"/>
    <w:rsid w:val="00D03C69"/>
    <w:rsid w:val="00D03D13"/>
    <w:rsid w:val="00D03D3E"/>
    <w:rsid w:val="00D03DE6"/>
    <w:rsid w:val="00D03E80"/>
    <w:rsid w:val="00D03ED0"/>
    <w:rsid w:val="00D03EDE"/>
    <w:rsid w:val="00D03F34"/>
    <w:rsid w:val="00D03F4A"/>
    <w:rsid w:val="00D03FB9"/>
    <w:rsid w:val="00D03FD9"/>
    <w:rsid w:val="00D040A2"/>
    <w:rsid w:val="00D040F6"/>
    <w:rsid w:val="00D04211"/>
    <w:rsid w:val="00D0426B"/>
    <w:rsid w:val="00D04316"/>
    <w:rsid w:val="00D0431E"/>
    <w:rsid w:val="00D043DB"/>
    <w:rsid w:val="00D04417"/>
    <w:rsid w:val="00D04421"/>
    <w:rsid w:val="00D0443E"/>
    <w:rsid w:val="00D0447E"/>
    <w:rsid w:val="00D04509"/>
    <w:rsid w:val="00D04514"/>
    <w:rsid w:val="00D04538"/>
    <w:rsid w:val="00D04546"/>
    <w:rsid w:val="00D04612"/>
    <w:rsid w:val="00D046F0"/>
    <w:rsid w:val="00D0475B"/>
    <w:rsid w:val="00D047D7"/>
    <w:rsid w:val="00D04947"/>
    <w:rsid w:val="00D04980"/>
    <w:rsid w:val="00D04A00"/>
    <w:rsid w:val="00D04A5B"/>
    <w:rsid w:val="00D04B03"/>
    <w:rsid w:val="00D04BCA"/>
    <w:rsid w:val="00D04BE5"/>
    <w:rsid w:val="00D04BFC"/>
    <w:rsid w:val="00D04C11"/>
    <w:rsid w:val="00D04C1F"/>
    <w:rsid w:val="00D04C39"/>
    <w:rsid w:val="00D04C52"/>
    <w:rsid w:val="00D04C58"/>
    <w:rsid w:val="00D04C6C"/>
    <w:rsid w:val="00D04C7E"/>
    <w:rsid w:val="00D04C8D"/>
    <w:rsid w:val="00D04C92"/>
    <w:rsid w:val="00D04C93"/>
    <w:rsid w:val="00D04CF8"/>
    <w:rsid w:val="00D04D59"/>
    <w:rsid w:val="00D04DD7"/>
    <w:rsid w:val="00D04E3E"/>
    <w:rsid w:val="00D04E7F"/>
    <w:rsid w:val="00D04E95"/>
    <w:rsid w:val="00D04F11"/>
    <w:rsid w:val="00D04F46"/>
    <w:rsid w:val="00D04FC8"/>
    <w:rsid w:val="00D04FCE"/>
    <w:rsid w:val="00D04FCF"/>
    <w:rsid w:val="00D05062"/>
    <w:rsid w:val="00D050BF"/>
    <w:rsid w:val="00D05185"/>
    <w:rsid w:val="00D05196"/>
    <w:rsid w:val="00D051A2"/>
    <w:rsid w:val="00D051B8"/>
    <w:rsid w:val="00D0520E"/>
    <w:rsid w:val="00D05256"/>
    <w:rsid w:val="00D052A3"/>
    <w:rsid w:val="00D052B3"/>
    <w:rsid w:val="00D053B4"/>
    <w:rsid w:val="00D053F2"/>
    <w:rsid w:val="00D05434"/>
    <w:rsid w:val="00D05492"/>
    <w:rsid w:val="00D054E6"/>
    <w:rsid w:val="00D054FE"/>
    <w:rsid w:val="00D05670"/>
    <w:rsid w:val="00D0576D"/>
    <w:rsid w:val="00D05770"/>
    <w:rsid w:val="00D05775"/>
    <w:rsid w:val="00D05793"/>
    <w:rsid w:val="00D057BA"/>
    <w:rsid w:val="00D057EE"/>
    <w:rsid w:val="00D05910"/>
    <w:rsid w:val="00D0596E"/>
    <w:rsid w:val="00D05982"/>
    <w:rsid w:val="00D05B11"/>
    <w:rsid w:val="00D05C40"/>
    <w:rsid w:val="00D05C45"/>
    <w:rsid w:val="00D05C6E"/>
    <w:rsid w:val="00D05CBE"/>
    <w:rsid w:val="00D05D53"/>
    <w:rsid w:val="00D05D5D"/>
    <w:rsid w:val="00D05E02"/>
    <w:rsid w:val="00D05E63"/>
    <w:rsid w:val="00D05E8B"/>
    <w:rsid w:val="00D05F61"/>
    <w:rsid w:val="00D05FAA"/>
    <w:rsid w:val="00D06027"/>
    <w:rsid w:val="00D06105"/>
    <w:rsid w:val="00D0610F"/>
    <w:rsid w:val="00D0616E"/>
    <w:rsid w:val="00D061AD"/>
    <w:rsid w:val="00D06248"/>
    <w:rsid w:val="00D0624A"/>
    <w:rsid w:val="00D06253"/>
    <w:rsid w:val="00D06300"/>
    <w:rsid w:val="00D0632D"/>
    <w:rsid w:val="00D06421"/>
    <w:rsid w:val="00D06467"/>
    <w:rsid w:val="00D06492"/>
    <w:rsid w:val="00D064D3"/>
    <w:rsid w:val="00D0652C"/>
    <w:rsid w:val="00D06539"/>
    <w:rsid w:val="00D06540"/>
    <w:rsid w:val="00D065E2"/>
    <w:rsid w:val="00D0667F"/>
    <w:rsid w:val="00D066C9"/>
    <w:rsid w:val="00D06711"/>
    <w:rsid w:val="00D06734"/>
    <w:rsid w:val="00D067BD"/>
    <w:rsid w:val="00D06833"/>
    <w:rsid w:val="00D06878"/>
    <w:rsid w:val="00D069D1"/>
    <w:rsid w:val="00D06A31"/>
    <w:rsid w:val="00D06ADC"/>
    <w:rsid w:val="00D06B07"/>
    <w:rsid w:val="00D06B51"/>
    <w:rsid w:val="00D06B90"/>
    <w:rsid w:val="00D06B9B"/>
    <w:rsid w:val="00D06BBD"/>
    <w:rsid w:val="00D06C31"/>
    <w:rsid w:val="00D06D27"/>
    <w:rsid w:val="00D06D68"/>
    <w:rsid w:val="00D06DD6"/>
    <w:rsid w:val="00D06DE4"/>
    <w:rsid w:val="00D06E31"/>
    <w:rsid w:val="00D06EE9"/>
    <w:rsid w:val="00D06F07"/>
    <w:rsid w:val="00D06F80"/>
    <w:rsid w:val="00D06F87"/>
    <w:rsid w:val="00D06FB7"/>
    <w:rsid w:val="00D06FF9"/>
    <w:rsid w:val="00D0705D"/>
    <w:rsid w:val="00D070DE"/>
    <w:rsid w:val="00D070F9"/>
    <w:rsid w:val="00D0710B"/>
    <w:rsid w:val="00D0711D"/>
    <w:rsid w:val="00D07169"/>
    <w:rsid w:val="00D071C4"/>
    <w:rsid w:val="00D07260"/>
    <w:rsid w:val="00D072CF"/>
    <w:rsid w:val="00D07389"/>
    <w:rsid w:val="00D073C9"/>
    <w:rsid w:val="00D0741F"/>
    <w:rsid w:val="00D07514"/>
    <w:rsid w:val="00D0753D"/>
    <w:rsid w:val="00D07555"/>
    <w:rsid w:val="00D07562"/>
    <w:rsid w:val="00D0756B"/>
    <w:rsid w:val="00D07585"/>
    <w:rsid w:val="00D0759B"/>
    <w:rsid w:val="00D075B5"/>
    <w:rsid w:val="00D075B8"/>
    <w:rsid w:val="00D076AB"/>
    <w:rsid w:val="00D0774F"/>
    <w:rsid w:val="00D0775D"/>
    <w:rsid w:val="00D077A0"/>
    <w:rsid w:val="00D077A5"/>
    <w:rsid w:val="00D078DA"/>
    <w:rsid w:val="00D078F1"/>
    <w:rsid w:val="00D078F4"/>
    <w:rsid w:val="00D07A12"/>
    <w:rsid w:val="00D07A13"/>
    <w:rsid w:val="00D07A15"/>
    <w:rsid w:val="00D07AD5"/>
    <w:rsid w:val="00D07B1B"/>
    <w:rsid w:val="00D07C09"/>
    <w:rsid w:val="00D07CD1"/>
    <w:rsid w:val="00D07DAF"/>
    <w:rsid w:val="00D07DC1"/>
    <w:rsid w:val="00D07EFC"/>
    <w:rsid w:val="00D07FFD"/>
    <w:rsid w:val="00D10030"/>
    <w:rsid w:val="00D100A9"/>
    <w:rsid w:val="00D100AD"/>
    <w:rsid w:val="00D100CC"/>
    <w:rsid w:val="00D10139"/>
    <w:rsid w:val="00D101D0"/>
    <w:rsid w:val="00D101F2"/>
    <w:rsid w:val="00D1024D"/>
    <w:rsid w:val="00D102AB"/>
    <w:rsid w:val="00D102D2"/>
    <w:rsid w:val="00D102DA"/>
    <w:rsid w:val="00D10310"/>
    <w:rsid w:val="00D10400"/>
    <w:rsid w:val="00D1046E"/>
    <w:rsid w:val="00D10472"/>
    <w:rsid w:val="00D10539"/>
    <w:rsid w:val="00D1055A"/>
    <w:rsid w:val="00D1056B"/>
    <w:rsid w:val="00D10607"/>
    <w:rsid w:val="00D10640"/>
    <w:rsid w:val="00D10698"/>
    <w:rsid w:val="00D10718"/>
    <w:rsid w:val="00D1090E"/>
    <w:rsid w:val="00D10A6D"/>
    <w:rsid w:val="00D10AAC"/>
    <w:rsid w:val="00D10B2E"/>
    <w:rsid w:val="00D10C70"/>
    <w:rsid w:val="00D10CB4"/>
    <w:rsid w:val="00D10CB5"/>
    <w:rsid w:val="00D10D6B"/>
    <w:rsid w:val="00D10DC2"/>
    <w:rsid w:val="00D10F84"/>
    <w:rsid w:val="00D10FB5"/>
    <w:rsid w:val="00D10FC4"/>
    <w:rsid w:val="00D1105E"/>
    <w:rsid w:val="00D11091"/>
    <w:rsid w:val="00D110C5"/>
    <w:rsid w:val="00D11118"/>
    <w:rsid w:val="00D11154"/>
    <w:rsid w:val="00D11343"/>
    <w:rsid w:val="00D11467"/>
    <w:rsid w:val="00D11473"/>
    <w:rsid w:val="00D11477"/>
    <w:rsid w:val="00D114C3"/>
    <w:rsid w:val="00D1153F"/>
    <w:rsid w:val="00D115D1"/>
    <w:rsid w:val="00D115DE"/>
    <w:rsid w:val="00D115E3"/>
    <w:rsid w:val="00D1161B"/>
    <w:rsid w:val="00D11693"/>
    <w:rsid w:val="00D117A5"/>
    <w:rsid w:val="00D117FE"/>
    <w:rsid w:val="00D11844"/>
    <w:rsid w:val="00D1187F"/>
    <w:rsid w:val="00D1190C"/>
    <w:rsid w:val="00D11B08"/>
    <w:rsid w:val="00D11B11"/>
    <w:rsid w:val="00D11B22"/>
    <w:rsid w:val="00D11B4C"/>
    <w:rsid w:val="00D11C8F"/>
    <w:rsid w:val="00D11D5C"/>
    <w:rsid w:val="00D11E23"/>
    <w:rsid w:val="00D11E38"/>
    <w:rsid w:val="00D11E4E"/>
    <w:rsid w:val="00D11E5A"/>
    <w:rsid w:val="00D11E69"/>
    <w:rsid w:val="00D11F54"/>
    <w:rsid w:val="00D11F80"/>
    <w:rsid w:val="00D11FC0"/>
    <w:rsid w:val="00D11FE1"/>
    <w:rsid w:val="00D12114"/>
    <w:rsid w:val="00D1219E"/>
    <w:rsid w:val="00D121E9"/>
    <w:rsid w:val="00D1227D"/>
    <w:rsid w:val="00D1232E"/>
    <w:rsid w:val="00D1236C"/>
    <w:rsid w:val="00D12394"/>
    <w:rsid w:val="00D12447"/>
    <w:rsid w:val="00D124BD"/>
    <w:rsid w:val="00D124CA"/>
    <w:rsid w:val="00D1254C"/>
    <w:rsid w:val="00D1271B"/>
    <w:rsid w:val="00D1275A"/>
    <w:rsid w:val="00D12788"/>
    <w:rsid w:val="00D127AD"/>
    <w:rsid w:val="00D12834"/>
    <w:rsid w:val="00D128C5"/>
    <w:rsid w:val="00D128D4"/>
    <w:rsid w:val="00D12954"/>
    <w:rsid w:val="00D129AD"/>
    <w:rsid w:val="00D129B2"/>
    <w:rsid w:val="00D129D0"/>
    <w:rsid w:val="00D12B31"/>
    <w:rsid w:val="00D12B90"/>
    <w:rsid w:val="00D12C36"/>
    <w:rsid w:val="00D12C46"/>
    <w:rsid w:val="00D12CC7"/>
    <w:rsid w:val="00D12CE2"/>
    <w:rsid w:val="00D12E19"/>
    <w:rsid w:val="00D12E90"/>
    <w:rsid w:val="00D12ED4"/>
    <w:rsid w:val="00D12F56"/>
    <w:rsid w:val="00D13041"/>
    <w:rsid w:val="00D13088"/>
    <w:rsid w:val="00D13096"/>
    <w:rsid w:val="00D13097"/>
    <w:rsid w:val="00D130AF"/>
    <w:rsid w:val="00D130BB"/>
    <w:rsid w:val="00D132E2"/>
    <w:rsid w:val="00D13300"/>
    <w:rsid w:val="00D13445"/>
    <w:rsid w:val="00D134E3"/>
    <w:rsid w:val="00D1351F"/>
    <w:rsid w:val="00D1353F"/>
    <w:rsid w:val="00D13545"/>
    <w:rsid w:val="00D135ED"/>
    <w:rsid w:val="00D1361C"/>
    <w:rsid w:val="00D1363C"/>
    <w:rsid w:val="00D13699"/>
    <w:rsid w:val="00D1377C"/>
    <w:rsid w:val="00D1386B"/>
    <w:rsid w:val="00D13953"/>
    <w:rsid w:val="00D13A0E"/>
    <w:rsid w:val="00D13A18"/>
    <w:rsid w:val="00D13A86"/>
    <w:rsid w:val="00D13ADA"/>
    <w:rsid w:val="00D13B42"/>
    <w:rsid w:val="00D13B54"/>
    <w:rsid w:val="00D13B9B"/>
    <w:rsid w:val="00D13BA8"/>
    <w:rsid w:val="00D13BD2"/>
    <w:rsid w:val="00D13BE0"/>
    <w:rsid w:val="00D13C4D"/>
    <w:rsid w:val="00D13D2A"/>
    <w:rsid w:val="00D13D3F"/>
    <w:rsid w:val="00D13D71"/>
    <w:rsid w:val="00D13E19"/>
    <w:rsid w:val="00D13EB3"/>
    <w:rsid w:val="00D13F13"/>
    <w:rsid w:val="00D13F24"/>
    <w:rsid w:val="00D13F39"/>
    <w:rsid w:val="00D1402B"/>
    <w:rsid w:val="00D1404D"/>
    <w:rsid w:val="00D1408E"/>
    <w:rsid w:val="00D140FE"/>
    <w:rsid w:val="00D14190"/>
    <w:rsid w:val="00D1419F"/>
    <w:rsid w:val="00D14264"/>
    <w:rsid w:val="00D1427B"/>
    <w:rsid w:val="00D14290"/>
    <w:rsid w:val="00D142BD"/>
    <w:rsid w:val="00D14301"/>
    <w:rsid w:val="00D1431A"/>
    <w:rsid w:val="00D143B9"/>
    <w:rsid w:val="00D143BE"/>
    <w:rsid w:val="00D14484"/>
    <w:rsid w:val="00D14541"/>
    <w:rsid w:val="00D145AA"/>
    <w:rsid w:val="00D145BB"/>
    <w:rsid w:val="00D145EA"/>
    <w:rsid w:val="00D1465A"/>
    <w:rsid w:val="00D14686"/>
    <w:rsid w:val="00D146A7"/>
    <w:rsid w:val="00D146D9"/>
    <w:rsid w:val="00D146FA"/>
    <w:rsid w:val="00D147AC"/>
    <w:rsid w:val="00D1480F"/>
    <w:rsid w:val="00D1482F"/>
    <w:rsid w:val="00D14863"/>
    <w:rsid w:val="00D148DF"/>
    <w:rsid w:val="00D14908"/>
    <w:rsid w:val="00D14941"/>
    <w:rsid w:val="00D14974"/>
    <w:rsid w:val="00D14A59"/>
    <w:rsid w:val="00D14A91"/>
    <w:rsid w:val="00D14A97"/>
    <w:rsid w:val="00D14AD0"/>
    <w:rsid w:val="00D14AF8"/>
    <w:rsid w:val="00D14B54"/>
    <w:rsid w:val="00D14BAD"/>
    <w:rsid w:val="00D14BE3"/>
    <w:rsid w:val="00D14C02"/>
    <w:rsid w:val="00D14C20"/>
    <w:rsid w:val="00D14CDE"/>
    <w:rsid w:val="00D14CE3"/>
    <w:rsid w:val="00D14D2F"/>
    <w:rsid w:val="00D14D3B"/>
    <w:rsid w:val="00D14DBA"/>
    <w:rsid w:val="00D14DC3"/>
    <w:rsid w:val="00D14E5B"/>
    <w:rsid w:val="00D14E5D"/>
    <w:rsid w:val="00D14E6B"/>
    <w:rsid w:val="00D14F10"/>
    <w:rsid w:val="00D14F43"/>
    <w:rsid w:val="00D14F65"/>
    <w:rsid w:val="00D15099"/>
    <w:rsid w:val="00D150BF"/>
    <w:rsid w:val="00D1514B"/>
    <w:rsid w:val="00D151A9"/>
    <w:rsid w:val="00D151E5"/>
    <w:rsid w:val="00D151FC"/>
    <w:rsid w:val="00D15249"/>
    <w:rsid w:val="00D15380"/>
    <w:rsid w:val="00D1540F"/>
    <w:rsid w:val="00D15486"/>
    <w:rsid w:val="00D154D6"/>
    <w:rsid w:val="00D15510"/>
    <w:rsid w:val="00D1551C"/>
    <w:rsid w:val="00D15550"/>
    <w:rsid w:val="00D1563F"/>
    <w:rsid w:val="00D1572D"/>
    <w:rsid w:val="00D15737"/>
    <w:rsid w:val="00D1577C"/>
    <w:rsid w:val="00D157E1"/>
    <w:rsid w:val="00D158AE"/>
    <w:rsid w:val="00D1591F"/>
    <w:rsid w:val="00D15986"/>
    <w:rsid w:val="00D15A57"/>
    <w:rsid w:val="00D15AD9"/>
    <w:rsid w:val="00D15ADC"/>
    <w:rsid w:val="00D15AFD"/>
    <w:rsid w:val="00D15B06"/>
    <w:rsid w:val="00D15BB4"/>
    <w:rsid w:val="00D15C78"/>
    <w:rsid w:val="00D15D36"/>
    <w:rsid w:val="00D15DCA"/>
    <w:rsid w:val="00D15E22"/>
    <w:rsid w:val="00D15E32"/>
    <w:rsid w:val="00D15F22"/>
    <w:rsid w:val="00D15F99"/>
    <w:rsid w:val="00D15FF8"/>
    <w:rsid w:val="00D160BC"/>
    <w:rsid w:val="00D16133"/>
    <w:rsid w:val="00D16280"/>
    <w:rsid w:val="00D16290"/>
    <w:rsid w:val="00D1630B"/>
    <w:rsid w:val="00D1632C"/>
    <w:rsid w:val="00D164A2"/>
    <w:rsid w:val="00D16539"/>
    <w:rsid w:val="00D1653A"/>
    <w:rsid w:val="00D1655F"/>
    <w:rsid w:val="00D16573"/>
    <w:rsid w:val="00D166BE"/>
    <w:rsid w:val="00D16717"/>
    <w:rsid w:val="00D1672E"/>
    <w:rsid w:val="00D16772"/>
    <w:rsid w:val="00D1688D"/>
    <w:rsid w:val="00D1697F"/>
    <w:rsid w:val="00D16A4B"/>
    <w:rsid w:val="00D16A60"/>
    <w:rsid w:val="00D16AFD"/>
    <w:rsid w:val="00D16B03"/>
    <w:rsid w:val="00D16B40"/>
    <w:rsid w:val="00D16B44"/>
    <w:rsid w:val="00D16BDF"/>
    <w:rsid w:val="00D16C4C"/>
    <w:rsid w:val="00D16C59"/>
    <w:rsid w:val="00D16C7C"/>
    <w:rsid w:val="00D16CF9"/>
    <w:rsid w:val="00D16CFA"/>
    <w:rsid w:val="00D16D38"/>
    <w:rsid w:val="00D16D81"/>
    <w:rsid w:val="00D16DB2"/>
    <w:rsid w:val="00D16E79"/>
    <w:rsid w:val="00D16EEE"/>
    <w:rsid w:val="00D170F5"/>
    <w:rsid w:val="00D1714B"/>
    <w:rsid w:val="00D1727C"/>
    <w:rsid w:val="00D17357"/>
    <w:rsid w:val="00D17380"/>
    <w:rsid w:val="00D17448"/>
    <w:rsid w:val="00D175DC"/>
    <w:rsid w:val="00D175DE"/>
    <w:rsid w:val="00D1760B"/>
    <w:rsid w:val="00D176EE"/>
    <w:rsid w:val="00D17739"/>
    <w:rsid w:val="00D1774A"/>
    <w:rsid w:val="00D17773"/>
    <w:rsid w:val="00D1784B"/>
    <w:rsid w:val="00D17992"/>
    <w:rsid w:val="00D17993"/>
    <w:rsid w:val="00D179DD"/>
    <w:rsid w:val="00D17A57"/>
    <w:rsid w:val="00D17ABE"/>
    <w:rsid w:val="00D17B3B"/>
    <w:rsid w:val="00D17B3E"/>
    <w:rsid w:val="00D17C80"/>
    <w:rsid w:val="00D17D0A"/>
    <w:rsid w:val="00D17D18"/>
    <w:rsid w:val="00D17D50"/>
    <w:rsid w:val="00D17DE6"/>
    <w:rsid w:val="00D17ED0"/>
    <w:rsid w:val="00D17F86"/>
    <w:rsid w:val="00D20088"/>
    <w:rsid w:val="00D200B0"/>
    <w:rsid w:val="00D200E6"/>
    <w:rsid w:val="00D2013A"/>
    <w:rsid w:val="00D201B6"/>
    <w:rsid w:val="00D201E3"/>
    <w:rsid w:val="00D202B0"/>
    <w:rsid w:val="00D202CE"/>
    <w:rsid w:val="00D20300"/>
    <w:rsid w:val="00D203A1"/>
    <w:rsid w:val="00D203BB"/>
    <w:rsid w:val="00D2041E"/>
    <w:rsid w:val="00D20422"/>
    <w:rsid w:val="00D2042B"/>
    <w:rsid w:val="00D20443"/>
    <w:rsid w:val="00D20650"/>
    <w:rsid w:val="00D207C2"/>
    <w:rsid w:val="00D20803"/>
    <w:rsid w:val="00D20822"/>
    <w:rsid w:val="00D20828"/>
    <w:rsid w:val="00D208BB"/>
    <w:rsid w:val="00D20930"/>
    <w:rsid w:val="00D20A1F"/>
    <w:rsid w:val="00D20A90"/>
    <w:rsid w:val="00D20A9C"/>
    <w:rsid w:val="00D20AD0"/>
    <w:rsid w:val="00D20B5D"/>
    <w:rsid w:val="00D20C49"/>
    <w:rsid w:val="00D20C5C"/>
    <w:rsid w:val="00D20EE9"/>
    <w:rsid w:val="00D20F89"/>
    <w:rsid w:val="00D20F98"/>
    <w:rsid w:val="00D21070"/>
    <w:rsid w:val="00D2108B"/>
    <w:rsid w:val="00D210BD"/>
    <w:rsid w:val="00D2114D"/>
    <w:rsid w:val="00D211CD"/>
    <w:rsid w:val="00D21221"/>
    <w:rsid w:val="00D212C0"/>
    <w:rsid w:val="00D21342"/>
    <w:rsid w:val="00D2138D"/>
    <w:rsid w:val="00D213C8"/>
    <w:rsid w:val="00D213DB"/>
    <w:rsid w:val="00D2143F"/>
    <w:rsid w:val="00D214D1"/>
    <w:rsid w:val="00D2154B"/>
    <w:rsid w:val="00D21569"/>
    <w:rsid w:val="00D21658"/>
    <w:rsid w:val="00D216BE"/>
    <w:rsid w:val="00D21797"/>
    <w:rsid w:val="00D21798"/>
    <w:rsid w:val="00D217AE"/>
    <w:rsid w:val="00D217D7"/>
    <w:rsid w:val="00D217E2"/>
    <w:rsid w:val="00D219A7"/>
    <w:rsid w:val="00D21A31"/>
    <w:rsid w:val="00D21A64"/>
    <w:rsid w:val="00D21B83"/>
    <w:rsid w:val="00D21C11"/>
    <w:rsid w:val="00D21C87"/>
    <w:rsid w:val="00D21CE1"/>
    <w:rsid w:val="00D21D24"/>
    <w:rsid w:val="00D21E04"/>
    <w:rsid w:val="00D21E8B"/>
    <w:rsid w:val="00D21E95"/>
    <w:rsid w:val="00D21EAB"/>
    <w:rsid w:val="00D21EB8"/>
    <w:rsid w:val="00D21EBA"/>
    <w:rsid w:val="00D21EC3"/>
    <w:rsid w:val="00D21F45"/>
    <w:rsid w:val="00D21FAA"/>
    <w:rsid w:val="00D21FB1"/>
    <w:rsid w:val="00D21FB8"/>
    <w:rsid w:val="00D21FF9"/>
    <w:rsid w:val="00D2203F"/>
    <w:rsid w:val="00D2209B"/>
    <w:rsid w:val="00D2217D"/>
    <w:rsid w:val="00D221AF"/>
    <w:rsid w:val="00D221B2"/>
    <w:rsid w:val="00D221EB"/>
    <w:rsid w:val="00D2226A"/>
    <w:rsid w:val="00D22319"/>
    <w:rsid w:val="00D22406"/>
    <w:rsid w:val="00D22438"/>
    <w:rsid w:val="00D22454"/>
    <w:rsid w:val="00D22490"/>
    <w:rsid w:val="00D224D0"/>
    <w:rsid w:val="00D2254F"/>
    <w:rsid w:val="00D22610"/>
    <w:rsid w:val="00D22640"/>
    <w:rsid w:val="00D22719"/>
    <w:rsid w:val="00D22736"/>
    <w:rsid w:val="00D227F1"/>
    <w:rsid w:val="00D2282A"/>
    <w:rsid w:val="00D22860"/>
    <w:rsid w:val="00D228B0"/>
    <w:rsid w:val="00D2297B"/>
    <w:rsid w:val="00D229EB"/>
    <w:rsid w:val="00D22A87"/>
    <w:rsid w:val="00D22C25"/>
    <w:rsid w:val="00D22C27"/>
    <w:rsid w:val="00D22C48"/>
    <w:rsid w:val="00D22C94"/>
    <w:rsid w:val="00D22D95"/>
    <w:rsid w:val="00D22DD7"/>
    <w:rsid w:val="00D22E1E"/>
    <w:rsid w:val="00D22E94"/>
    <w:rsid w:val="00D22F56"/>
    <w:rsid w:val="00D2301E"/>
    <w:rsid w:val="00D23089"/>
    <w:rsid w:val="00D23113"/>
    <w:rsid w:val="00D2315E"/>
    <w:rsid w:val="00D232D9"/>
    <w:rsid w:val="00D23303"/>
    <w:rsid w:val="00D23314"/>
    <w:rsid w:val="00D2334B"/>
    <w:rsid w:val="00D233A1"/>
    <w:rsid w:val="00D233A6"/>
    <w:rsid w:val="00D2346B"/>
    <w:rsid w:val="00D234C9"/>
    <w:rsid w:val="00D23550"/>
    <w:rsid w:val="00D235F9"/>
    <w:rsid w:val="00D23607"/>
    <w:rsid w:val="00D23634"/>
    <w:rsid w:val="00D23695"/>
    <w:rsid w:val="00D236B6"/>
    <w:rsid w:val="00D236BE"/>
    <w:rsid w:val="00D23812"/>
    <w:rsid w:val="00D23814"/>
    <w:rsid w:val="00D23816"/>
    <w:rsid w:val="00D2385A"/>
    <w:rsid w:val="00D238E3"/>
    <w:rsid w:val="00D238F0"/>
    <w:rsid w:val="00D2393C"/>
    <w:rsid w:val="00D2397C"/>
    <w:rsid w:val="00D239F1"/>
    <w:rsid w:val="00D23AC7"/>
    <w:rsid w:val="00D23B30"/>
    <w:rsid w:val="00D23B41"/>
    <w:rsid w:val="00D23C34"/>
    <w:rsid w:val="00D23C73"/>
    <w:rsid w:val="00D23D50"/>
    <w:rsid w:val="00D23DCE"/>
    <w:rsid w:val="00D23DF4"/>
    <w:rsid w:val="00D23DFC"/>
    <w:rsid w:val="00D23F2A"/>
    <w:rsid w:val="00D23F34"/>
    <w:rsid w:val="00D23F7C"/>
    <w:rsid w:val="00D23FA3"/>
    <w:rsid w:val="00D23FAD"/>
    <w:rsid w:val="00D23FE1"/>
    <w:rsid w:val="00D2400D"/>
    <w:rsid w:val="00D24091"/>
    <w:rsid w:val="00D240D1"/>
    <w:rsid w:val="00D24136"/>
    <w:rsid w:val="00D2418F"/>
    <w:rsid w:val="00D24195"/>
    <w:rsid w:val="00D2419C"/>
    <w:rsid w:val="00D24204"/>
    <w:rsid w:val="00D2428B"/>
    <w:rsid w:val="00D242CC"/>
    <w:rsid w:val="00D242E8"/>
    <w:rsid w:val="00D242EA"/>
    <w:rsid w:val="00D24348"/>
    <w:rsid w:val="00D24369"/>
    <w:rsid w:val="00D243EB"/>
    <w:rsid w:val="00D24464"/>
    <w:rsid w:val="00D24470"/>
    <w:rsid w:val="00D2448F"/>
    <w:rsid w:val="00D244CE"/>
    <w:rsid w:val="00D2456B"/>
    <w:rsid w:val="00D245AF"/>
    <w:rsid w:val="00D24615"/>
    <w:rsid w:val="00D246BB"/>
    <w:rsid w:val="00D246F5"/>
    <w:rsid w:val="00D24761"/>
    <w:rsid w:val="00D2484D"/>
    <w:rsid w:val="00D2485E"/>
    <w:rsid w:val="00D24893"/>
    <w:rsid w:val="00D248DD"/>
    <w:rsid w:val="00D24955"/>
    <w:rsid w:val="00D249E2"/>
    <w:rsid w:val="00D24ABD"/>
    <w:rsid w:val="00D24AE4"/>
    <w:rsid w:val="00D24B07"/>
    <w:rsid w:val="00D24B80"/>
    <w:rsid w:val="00D24D3F"/>
    <w:rsid w:val="00D24F93"/>
    <w:rsid w:val="00D25010"/>
    <w:rsid w:val="00D2501C"/>
    <w:rsid w:val="00D25027"/>
    <w:rsid w:val="00D25077"/>
    <w:rsid w:val="00D250B4"/>
    <w:rsid w:val="00D250F2"/>
    <w:rsid w:val="00D25105"/>
    <w:rsid w:val="00D25185"/>
    <w:rsid w:val="00D251FC"/>
    <w:rsid w:val="00D25207"/>
    <w:rsid w:val="00D2529A"/>
    <w:rsid w:val="00D252AC"/>
    <w:rsid w:val="00D252C6"/>
    <w:rsid w:val="00D253BC"/>
    <w:rsid w:val="00D2541E"/>
    <w:rsid w:val="00D25452"/>
    <w:rsid w:val="00D254F7"/>
    <w:rsid w:val="00D2555F"/>
    <w:rsid w:val="00D25631"/>
    <w:rsid w:val="00D25658"/>
    <w:rsid w:val="00D2566D"/>
    <w:rsid w:val="00D25697"/>
    <w:rsid w:val="00D25735"/>
    <w:rsid w:val="00D25755"/>
    <w:rsid w:val="00D25780"/>
    <w:rsid w:val="00D25797"/>
    <w:rsid w:val="00D257A8"/>
    <w:rsid w:val="00D257D0"/>
    <w:rsid w:val="00D25849"/>
    <w:rsid w:val="00D25858"/>
    <w:rsid w:val="00D25916"/>
    <w:rsid w:val="00D2593A"/>
    <w:rsid w:val="00D25A6C"/>
    <w:rsid w:val="00D25ABA"/>
    <w:rsid w:val="00D25AC0"/>
    <w:rsid w:val="00D25B07"/>
    <w:rsid w:val="00D25B3B"/>
    <w:rsid w:val="00D25B7F"/>
    <w:rsid w:val="00D25C03"/>
    <w:rsid w:val="00D25C9F"/>
    <w:rsid w:val="00D25CFA"/>
    <w:rsid w:val="00D25D8B"/>
    <w:rsid w:val="00D25E3E"/>
    <w:rsid w:val="00D25E7E"/>
    <w:rsid w:val="00D25F18"/>
    <w:rsid w:val="00D25F77"/>
    <w:rsid w:val="00D25F7F"/>
    <w:rsid w:val="00D25FD2"/>
    <w:rsid w:val="00D26094"/>
    <w:rsid w:val="00D260D4"/>
    <w:rsid w:val="00D262C3"/>
    <w:rsid w:val="00D2631C"/>
    <w:rsid w:val="00D263B2"/>
    <w:rsid w:val="00D263F9"/>
    <w:rsid w:val="00D26443"/>
    <w:rsid w:val="00D26460"/>
    <w:rsid w:val="00D26472"/>
    <w:rsid w:val="00D264B0"/>
    <w:rsid w:val="00D26523"/>
    <w:rsid w:val="00D26637"/>
    <w:rsid w:val="00D26692"/>
    <w:rsid w:val="00D266A0"/>
    <w:rsid w:val="00D26717"/>
    <w:rsid w:val="00D26733"/>
    <w:rsid w:val="00D26782"/>
    <w:rsid w:val="00D267D2"/>
    <w:rsid w:val="00D2680B"/>
    <w:rsid w:val="00D2685B"/>
    <w:rsid w:val="00D26AC0"/>
    <w:rsid w:val="00D26AC9"/>
    <w:rsid w:val="00D26B45"/>
    <w:rsid w:val="00D26BA7"/>
    <w:rsid w:val="00D26BE6"/>
    <w:rsid w:val="00D26C77"/>
    <w:rsid w:val="00D26C7A"/>
    <w:rsid w:val="00D26C9B"/>
    <w:rsid w:val="00D26C9D"/>
    <w:rsid w:val="00D26D2B"/>
    <w:rsid w:val="00D26D6E"/>
    <w:rsid w:val="00D26D9A"/>
    <w:rsid w:val="00D26EF4"/>
    <w:rsid w:val="00D26EF8"/>
    <w:rsid w:val="00D26F32"/>
    <w:rsid w:val="00D26FD2"/>
    <w:rsid w:val="00D27035"/>
    <w:rsid w:val="00D270B1"/>
    <w:rsid w:val="00D270C2"/>
    <w:rsid w:val="00D271AC"/>
    <w:rsid w:val="00D27223"/>
    <w:rsid w:val="00D2725D"/>
    <w:rsid w:val="00D272E6"/>
    <w:rsid w:val="00D272F3"/>
    <w:rsid w:val="00D272F8"/>
    <w:rsid w:val="00D2740F"/>
    <w:rsid w:val="00D2741B"/>
    <w:rsid w:val="00D27460"/>
    <w:rsid w:val="00D274FC"/>
    <w:rsid w:val="00D27530"/>
    <w:rsid w:val="00D27536"/>
    <w:rsid w:val="00D275EA"/>
    <w:rsid w:val="00D27636"/>
    <w:rsid w:val="00D27647"/>
    <w:rsid w:val="00D27673"/>
    <w:rsid w:val="00D2768A"/>
    <w:rsid w:val="00D276F0"/>
    <w:rsid w:val="00D27733"/>
    <w:rsid w:val="00D27875"/>
    <w:rsid w:val="00D2788A"/>
    <w:rsid w:val="00D2793D"/>
    <w:rsid w:val="00D27997"/>
    <w:rsid w:val="00D279D0"/>
    <w:rsid w:val="00D27A24"/>
    <w:rsid w:val="00D27A98"/>
    <w:rsid w:val="00D27B6A"/>
    <w:rsid w:val="00D27BA1"/>
    <w:rsid w:val="00D27C6E"/>
    <w:rsid w:val="00D27C87"/>
    <w:rsid w:val="00D27CE0"/>
    <w:rsid w:val="00D27D5D"/>
    <w:rsid w:val="00D27DBC"/>
    <w:rsid w:val="00D27DD3"/>
    <w:rsid w:val="00D27E76"/>
    <w:rsid w:val="00D27F36"/>
    <w:rsid w:val="00D27F64"/>
    <w:rsid w:val="00D27F72"/>
    <w:rsid w:val="00D27F87"/>
    <w:rsid w:val="00D3003A"/>
    <w:rsid w:val="00D3004B"/>
    <w:rsid w:val="00D3010A"/>
    <w:rsid w:val="00D30187"/>
    <w:rsid w:val="00D301AD"/>
    <w:rsid w:val="00D30226"/>
    <w:rsid w:val="00D30288"/>
    <w:rsid w:val="00D302EC"/>
    <w:rsid w:val="00D3038A"/>
    <w:rsid w:val="00D3041D"/>
    <w:rsid w:val="00D30448"/>
    <w:rsid w:val="00D304AB"/>
    <w:rsid w:val="00D304D0"/>
    <w:rsid w:val="00D304F4"/>
    <w:rsid w:val="00D30511"/>
    <w:rsid w:val="00D30579"/>
    <w:rsid w:val="00D305C6"/>
    <w:rsid w:val="00D305D1"/>
    <w:rsid w:val="00D305F1"/>
    <w:rsid w:val="00D30646"/>
    <w:rsid w:val="00D30723"/>
    <w:rsid w:val="00D30846"/>
    <w:rsid w:val="00D30866"/>
    <w:rsid w:val="00D308DF"/>
    <w:rsid w:val="00D3097C"/>
    <w:rsid w:val="00D309EC"/>
    <w:rsid w:val="00D309EE"/>
    <w:rsid w:val="00D30A49"/>
    <w:rsid w:val="00D30B0A"/>
    <w:rsid w:val="00D30B34"/>
    <w:rsid w:val="00D30BD8"/>
    <w:rsid w:val="00D30C6C"/>
    <w:rsid w:val="00D30CCC"/>
    <w:rsid w:val="00D30D5C"/>
    <w:rsid w:val="00D30D75"/>
    <w:rsid w:val="00D30D9C"/>
    <w:rsid w:val="00D30DB3"/>
    <w:rsid w:val="00D30DBB"/>
    <w:rsid w:val="00D30DDE"/>
    <w:rsid w:val="00D30DE6"/>
    <w:rsid w:val="00D30E12"/>
    <w:rsid w:val="00D30E52"/>
    <w:rsid w:val="00D30E53"/>
    <w:rsid w:val="00D30F1D"/>
    <w:rsid w:val="00D30F7F"/>
    <w:rsid w:val="00D30F83"/>
    <w:rsid w:val="00D31002"/>
    <w:rsid w:val="00D31028"/>
    <w:rsid w:val="00D31031"/>
    <w:rsid w:val="00D31041"/>
    <w:rsid w:val="00D311AC"/>
    <w:rsid w:val="00D312CB"/>
    <w:rsid w:val="00D31432"/>
    <w:rsid w:val="00D314CC"/>
    <w:rsid w:val="00D315B7"/>
    <w:rsid w:val="00D3163A"/>
    <w:rsid w:val="00D3165F"/>
    <w:rsid w:val="00D3168B"/>
    <w:rsid w:val="00D3170C"/>
    <w:rsid w:val="00D31796"/>
    <w:rsid w:val="00D317D3"/>
    <w:rsid w:val="00D317EB"/>
    <w:rsid w:val="00D3187A"/>
    <w:rsid w:val="00D31950"/>
    <w:rsid w:val="00D31960"/>
    <w:rsid w:val="00D3196C"/>
    <w:rsid w:val="00D319EA"/>
    <w:rsid w:val="00D31B4F"/>
    <w:rsid w:val="00D31BBE"/>
    <w:rsid w:val="00D31BC2"/>
    <w:rsid w:val="00D31BC4"/>
    <w:rsid w:val="00D31BF2"/>
    <w:rsid w:val="00D31C0A"/>
    <w:rsid w:val="00D31C6A"/>
    <w:rsid w:val="00D31CF8"/>
    <w:rsid w:val="00D31D51"/>
    <w:rsid w:val="00D31DDB"/>
    <w:rsid w:val="00D31E96"/>
    <w:rsid w:val="00D31F14"/>
    <w:rsid w:val="00D32007"/>
    <w:rsid w:val="00D32055"/>
    <w:rsid w:val="00D32222"/>
    <w:rsid w:val="00D32256"/>
    <w:rsid w:val="00D3225A"/>
    <w:rsid w:val="00D3227E"/>
    <w:rsid w:val="00D322C7"/>
    <w:rsid w:val="00D3230B"/>
    <w:rsid w:val="00D323F5"/>
    <w:rsid w:val="00D3248C"/>
    <w:rsid w:val="00D325CF"/>
    <w:rsid w:val="00D3264B"/>
    <w:rsid w:val="00D32678"/>
    <w:rsid w:val="00D32701"/>
    <w:rsid w:val="00D32865"/>
    <w:rsid w:val="00D3288B"/>
    <w:rsid w:val="00D3289B"/>
    <w:rsid w:val="00D328AD"/>
    <w:rsid w:val="00D328C6"/>
    <w:rsid w:val="00D328DE"/>
    <w:rsid w:val="00D328F8"/>
    <w:rsid w:val="00D3299B"/>
    <w:rsid w:val="00D329A0"/>
    <w:rsid w:val="00D329B9"/>
    <w:rsid w:val="00D329D5"/>
    <w:rsid w:val="00D32A71"/>
    <w:rsid w:val="00D32AB5"/>
    <w:rsid w:val="00D32AB8"/>
    <w:rsid w:val="00D32C8B"/>
    <w:rsid w:val="00D32D3B"/>
    <w:rsid w:val="00D32D70"/>
    <w:rsid w:val="00D32D96"/>
    <w:rsid w:val="00D32E69"/>
    <w:rsid w:val="00D32E6D"/>
    <w:rsid w:val="00D32F21"/>
    <w:rsid w:val="00D32F2E"/>
    <w:rsid w:val="00D330B1"/>
    <w:rsid w:val="00D330D2"/>
    <w:rsid w:val="00D3311F"/>
    <w:rsid w:val="00D33121"/>
    <w:rsid w:val="00D331E1"/>
    <w:rsid w:val="00D33228"/>
    <w:rsid w:val="00D332AB"/>
    <w:rsid w:val="00D332BB"/>
    <w:rsid w:val="00D332D5"/>
    <w:rsid w:val="00D332DC"/>
    <w:rsid w:val="00D3334C"/>
    <w:rsid w:val="00D3339A"/>
    <w:rsid w:val="00D3353D"/>
    <w:rsid w:val="00D335F7"/>
    <w:rsid w:val="00D3368E"/>
    <w:rsid w:val="00D336E8"/>
    <w:rsid w:val="00D337DA"/>
    <w:rsid w:val="00D3382A"/>
    <w:rsid w:val="00D3389D"/>
    <w:rsid w:val="00D338ED"/>
    <w:rsid w:val="00D33963"/>
    <w:rsid w:val="00D33988"/>
    <w:rsid w:val="00D33A12"/>
    <w:rsid w:val="00D33A2C"/>
    <w:rsid w:val="00D33AA9"/>
    <w:rsid w:val="00D33B32"/>
    <w:rsid w:val="00D33B6B"/>
    <w:rsid w:val="00D33B78"/>
    <w:rsid w:val="00D33BC8"/>
    <w:rsid w:val="00D33C2C"/>
    <w:rsid w:val="00D33C8B"/>
    <w:rsid w:val="00D33CDF"/>
    <w:rsid w:val="00D33DE3"/>
    <w:rsid w:val="00D33DFE"/>
    <w:rsid w:val="00D33E38"/>
    <w:rsid w:val="00D33E8D"/>
    <w:rsid w:val="00D34006"/>
    <w:rsid w:val="00D340EA"/>
    <w:rsid w:val="00D340FD"/>
    <w:rsid w:val="00D342D1"/>
    <w:rsid w:val="00D3435F"/>
    <w:rsid w:val="00D3437A"/>
    <w:rsid w:val="00D343A3"/>
    <w:rsid w:val="00D343CC"/>
    <w:rsid w:val="00D34405"/>
    <w:rsid w:val="00D34413"/>
    <w:rsid w:val="00D3449C"/>
    <w:rsid w:val="00D3453D"/>
    <w:rsid w:val="00D3457E"/>
    <w:rsid w:val="00D345E8"/>
    <w:rsid w:val="00D345F5"/>
    <w:rsid w:val="00D346F6"/>
    <w:rsid w:val="00D3471F"/>
    <w:rsid w:val="00D34720"/>
    <w:rsid w:val="00D34722"/>
    <w:rsid w:val="00D3474B"/>
    <w:rsid w:val="00D3478E"/>
    <w:rsid w:val="00D348C9"/>
    <w:rsid w:val="00D3498E"/>
    <w:rsid w:val="00D34A28"/>
    <w:rsid w:val="00D34B4F"/>
    <w:rsid w:val="00D34B5D"/>
    <w:rsid w:val="00D34B75"/>
    <w:rsid w:val="00D34C1F"/>
    <w:rsid w:val="00D34CCC"/>
    <w:rsid w:val="00D34DD4"/>
    <w:rsid w:val="00D34E58"/>
    <w:rsid w:val="00D34EDF"/>
    <w:rsid w:val="00D34F2A"/>
    <w:rsid w:val="00D34F84"/>
    <w:rsid w:val="00D35025"/>
    <w:rsid w:val="00D35090"/>
    <w:rsid w:val="00D350EB"/>
    <w:rsid w:val="00D35112"/>
    <w:rsid w:val="00D35135"/>
    <w:rsid w:val="00D3516A"/>
    <w:rsid w:val="00D35173"/>
    <w:rsid w:val="00D35193"/>
    <w:rsid w:val="00D351D8"/>
    <w:rsid w:val="00D3520B"/>
    <w:rsid w:val="00D3521F"/>
    <w:rsid w:val="00D352F5"/>
    <w:rsid w:val="00D35305"/>
    <w:rsid w:val="00D35314"/>
    <w:rsid w:val="00D35559"/>
    <w:rsid w:val="00D35589"/>
    <w:rsid w:val="00D3560A"/>
    <w:rsid w:val="00D3562C"/>
    <w:rsid w:val="00D35662"/>
    <w:rsid w:val="00D35690"/>
    <w:rsid w:val="00D35755"/>
    <w:rsid w:val="00D3577B"/>
    <w:rsid w:val="00D3584A"/>
    <w:rsid w:val="00D35946"/>
    <w:rsid w:val="00D35948"/>
    <w:rsid w:val="00D3595D"/>
    <w:rsid w:val="00D359D3"/>
    <w:rsid w:val="00D359D6"/>
    <w:rsid w:val="00D35A0C"/>
    <w:rsid w:val="00D35AA6"/>
    <w:rsid w:val="00D35AB7"/>
    <w:rsid w:val="00D35AC2"/>
    <w:rsid w:val="00D35BEB"/>
    <w:rsid w:val="00D35C91"/>
    <w:rsid w:val="00D35D09"/>
    <w:rsid w:val="00D35D50"/>
    <w:rsid w:val="00D35E67"/>
    <w:rsid w:val="00D35E69"/>
    <w:rsid w:val="00D35EE1"/>
    <w:rsid w:val="00D35FB7"/>
    <w:rsid w:val="00D35FE0"/>
    <w:rsid w:val="00D3607A"/>
    <w:rsid w:val="00D360B3"/>
    <w:rsid w:val="00D360B8"/>
    <w:rsid w:val="00D360EF"/>
    <w:rsid w:val="00D36100"/>
    <w:rsid w:val="00D36123"/>
    <w:rsid w:val="00D36187"/>
    <w:rsid w:val="00D361F8"/>
    <w:rsid w:val="00D362FC"/>
    <w:rsid w:val="00D36348"/>
    <w:rsid w:val="00D363C7"/>
    <w:rsid w:val="00D36414"/>
    <w:rsid w:val="00D36423"/>
    <w:rsid w:val="00D36443"/>
    <w:rsid w:val="00D364FC"/>
    <w:rsid w:val="00D365B0"/>
    <w:rsid w:val="00D365BA"/>
    <w:rsid w:val="00D36612"/>
    <w:rsid w:val="00D3661A"/>
    <w:rsid w:val="00D3668B"/>
    <w:rsid w:val="00D36745"/>
    <w:rsid w:val="00D36791"/>
    <w:rsid w:val="00D367AB"/>
    <w:rsid w:val="00D367AD"/>
    <w:rsid w:val="00D36829"/>
    <w:rsid w:val="00D3682E"/>
    <w:rsid w:val="00D36834"/>
    <w:rsid w:val="00D368CC"/>
    <w:rsid w:val="00D36922"/>
    <w:rsid w:val="00D36934"/>
    <w:rsid w:val="00D3696A"/>
    <w:rsid w:val="00D36C88"/>
    <w:rsid w:val="00D36C8B"/>
    <w:rsid w:val="00D36D30"/>
    <w:rsid w:val="00D36D5C"/>
    <w:rsid w:val="00D36DBF"/>
    <w:rsid w:val="00D36DF8"/>
    <w:rsid w:val="00D36E25"/>
    <w:rsid w:val="00D36E29"/>
    <w:rsid w:val="00D36E5E"/>
    <w:rsid w:val="00D36EAB"/>
    <w:rsid w:val="00D36EFA"/>
    <w:rsid w:val="00D36F1F"/>
    <w:rsid w:val="00D36F79"/>
    <w:rsid w:val="00D36F83"/>
    <w:rsid w:val="00D36F95"/>
    <w:rsid w:val="00D36FCE"/>
    <w:rsid w:val="00D3702F"/>
    <w:rsid w:val="00D3705F"/>
    <w:rsid w:val="00D3708D"/>
    <w:rsid w:val="00D370D9"/>
    <w:rsid w:val="00D370F3"/>
    <w:rsid w:val="00D3713A"/>
    <w:rsid w:val="00D37151"/>
    <w:rsid w:val="00D3718A"/>
    <w:rsid w:val="00D371C9"/>
    <w:rsid w:val="00D37237"/>
    <w:rsid w:val="00D37274"/>
    <w:rsid w:val="00D37277"/>
    <w:rsid w:val="00D372AC"/>
    <w:rsid w:val="00D3733C"/>
    <w:rsid w:val="00D37358"/>
    <w:rsid w:val="00D37383"/>
    <w:rsid w:val="00D373D0"/>
    <w:rsid w:val="00D373E1"/>
    <w:rsid w:val="00D37416"/>
    <w:rsid w:val="00D37424"/>
    <w:rsid w:val="00D37437"/>
    <w:rsid w:val="00D3743F"/>
    <w:rsid w:val="00D37441"/>
    <w:rsid w:val="00D374A0"/>
    <w:rsid w:val="00D374B7"/>
    <w:rsid w:val="00D37541"/>
    <w:rsid w:val="00D37636"/>
    <w:rsid w:val="00D3765D"/>
    <w:rsid w:val="00D3765E"/>
    <w:rsid w:val="00D376B2"/>
    <w:rsid w:val="00D37719"/>
    <w:rsid w:val="00D3775C"/>
    <w:rsid w:val="00D377A1"/>
    <w:rsid w:val="00D3785A"/>
    <w:rsid w:val="00D37894"/>
    <w:rsid w:val="00D378CE"/>
    <w:rsid w:val="00D37B4A"/>
    <w:rsid w:val="00D37B76"/>
    <w:rsid w:val="00D37BFD"/>
    <w:rsid w:val="00D37C7E"/>
    <w:rsid w:val="00D37CB0"/>
    <w:rsid w:val="00D37D8D"/>
    <w:rsid w:val="00D37D92"/>
    <w:rsid w:val="00D37E13"/>
    <w:rsid w:val="00D37E3B"/>
    <w:rsid w:val="00D37EAF"/>
    <w:rsid w:val="00D37EFD"/>
    <w:rsid w:val="00D37F24"/>
    <w:rsid w:val="00D37F4F"/>
    <w:rsid w:val="00D3C384"/>
    <w:rsid w:val="00D40006"/>
    <w:rsid w:val="00D400DC"/>
    <w:rsid w:val="00D40123"/>
    <w:rsid w:val="00D40152"/>
    <w:rsid w:val="00D40189"/>
    <w:rsid w:val="00D401C9"/>
    <w:rsid w:val="00D401DB"/>
    <w:rsid w:val="00D40282"/>
    <w:rsid w:val="00D40295"/>
    <w:rsid w:val="00D403A8"/>
    <w:rsid w:val="00D40455"/>
    <w:rsid w:val="00D40483"/>
    <w:rsid w:val="00D404BB"/>
    <w:rsid w:val="00D40518"/>
    <w:rsid w:val="00D40533"/>
    <w:rsid w:val="00D405AF"/>
    <w:rsid w:val="00D405ED"/>
    <w:rsid w:val="00D40710"/>
    <w:rsid w:val="00D40723"/>
    <w:rsid w:val="00D40738"/>
    <w:rsid w:val="00D40918"/>
    <w:rsid w:val="00D40977"/>
    <w:rsid w:val="00D40998"/>
    <w:rsid w:val="00D40A2C"/>
    <w:rsid w:val="00D40B28"/>
    <w:rsid w:val="00D40B79"/>
    <w:rsid w:val="00D40B94"/>
    <w:rsid w:val="00D40BCA"/>
    <w:rsid w:val="00D40C8C"/>
    <w:rsid w:val="00D40CFD"/>
    <w:rsid w:val="00D40DAB"/>
    <w:rsid w:val="00D40E09"/>
    <w:rsid w:val="00D40E0C"/>
    <w:rsid w:val="00D40E0D"/>
    <w:rsid w:val="00D40E30"/>
    <w:rsid w:val="00D40E54"/>
    <w:rsid w:val="00D40E91"/>
    <w:rsid w:val="00D40EDE"/>
    <w:rsid w:val="00D40EF2"/>
    <w:rsid w:val="00D40FDB"/>
    <w:rsid w:val="00D41008"/>
    <w:rsid w:val="00D41026"/>
    <w:rsid w:val="00D4104D"/>
    <w:rsid w:val="00D410C4"/>
    <w:rsid w:val="00D4112D"/>
    <w:rsid w:val="00D4119D"/>
    <w:rsid w:val="00D411A5"/>
    <w:rsid w:val="00D411A6"/>
    <w:rsid w:val="00D411DC"/>
    <w:rsid w:val="00D41295"/>
    <w:rsid w:val="00D412AF"/>
    <w:rsid w:val="00D412BC"/>
    <w:rsid w:val="00D412FB"/>
    <w:rsid w:val="00D41319"/>
    <w:rsid w:val="00D4135F"/>
    <w:rsid w:val="00D41413"/>
    <w:rsid w:val="00D41419"/>
    <w:rsid w:val="00D41580"/>
    <w:rsid w:val="00D4158D"/>
    <w:rsid w:val="00D416D4"/>
    <w:rsid w:val="00D4179D"/>
    <w:rsid w:val="00D417F1"/>
    <w:rsid w:val="00D417FA"/>
    <w:rsid w:val="00D417FB"/>
    <w:rsid w:val="00D41851"/>
    <w:rsid w:val="00D41854"/>
    <w:rsid w:val="00D41860"/>
    <w:rsid w:val="00D4187E"/>
    <w:rsid w:val="00D418AB"/>
    <w:rsid w:val="00D419F9"/>
    <w:rsid w:val="00D419FF"/>
    <w:rsid w:val="00D41A12"/>
    <w:rsid w:val="00D41AB2"/>
    <w:rsid w:val="00D41AC3"/>
    <w:rsid w:val="00D41AED"/>
    <w:rsid w:val="00D41AF8"/>
    <w:rsid w:val="00D41CA0"/>
    <w:rsid w:val="00D41D90"/>
    <w:rsid w:val="00D41DBA"/>
    <w:rsid w:val="00D41DD8"/>
    <w:rsid w:val="00D41E20"/>
    <w:rsid w:val="00D41E4B"/>
    <w:rsid w:val="00D41ED9"/>
    <w:rsid w:val="00D41F2B"/>
    <w:rsid w:val="00D41F53"/>
    <w:rsid w:val="00D41F7E"/>
    <w:rsid w:val="00D41FAD"/>
    <w:rsid w:val="00D42038"/>
    <w:rsid w:val="00D4207C"/>
    <w:rsid w:val="00D42167"/>
    <w:rsid w:val="00D421DC"/>
    <w:rsid w:val="00D421E2"/>
    <w:rsid w:val="00D422E2"/>
    <w:rsid w:val="00D42352"/>
    <w:rsid w:val="00D423C9"/>
    <w:rsid w:val="00D423CF"/>
    <w:rsid w:val="00D42421"/>
    <w:rsid w:val="00D4247D"/>
    <w:rsid w:val="00D424CC"/>
    <w:rsid w:val="00D42549"/>
    <w:rsid w:val="00D425BE"/>
    <w:rsid w:val="00D425E9"/>
    <w:rsid w:val="00D426B0"/>
    <w:rsid w:val="00D426B9"/>
    <w:rsid w:val="00D427DA"/>
    <w:rsid w:val="00D4281C"/>
    <w:rsid w:val="00D42831"/>
    <w:rsid w:val="00D42838"/>
    <w:rsid w:val="00D4294A"/>
    <w:rsid w:val="00D429AB"/>
    <w:rsid w:val="00D429C4"/>
    <w:rsid w:val="00D429E1"/>
    <w:rsid w:val="00D42AE0"/>
    <w:rsid w:val="00D42C31"/>
    <w:rsid w:val="00D42C6B"/>
    <w:rsid w:val="00D42CDB"/>
    <w:rsid w:val="00D42D66"/>
    <w:rsid w:val="00D42D77"/>
    <w:rsid w:val="00D42E53"/>
    <w:rsid w:val="00D42E59"/>
    <w:rsid w:val="00D42E94"/>
    <w:rsid w:val="00D42F01"/>
    <w:rsid w:val="00D42F45"/>
    <w:rsid w:val="00D43081"/>
    <w:rsid w:val="00D43105"/>
    <w:rsid w:val="00D4311B"/>
    <w:rsid w:val="00D4315A"/>
    <w:rsid w:val="00D431C4"/>
    <w:rsid w:val="00D431ED"/>
    <w:rsid w:val="00D431FA"/>
    <w:rsid w:val="00D43269"/>
    <w:rsid w:val="00D43272"/>
    <w:rsid w:val="00D43298"/>
    <w:rsid w:val="00D432BE"/>
    <w:rsid w:val="00D4334A"/>
    <w:rsid w:val="00D433BA"/>
    <w:rsid w:val="00D435B6"/>
    <w:rsid w:val="00D4367E"/>
    <w:rsid w:val="00D43734"/>
    <w:rsid w:val="00D4377C"/>
    <w:rsid w:val="00D437C3"/>
    <w:rsid w:val="00D437DB"/>
    <w:rsid w:val="00D43889"/>
    <w:rsid w:val="00D4399B"/>
    <w:rsid w:val="00D439D6"/>
    <w:rsid w:val="00D43AE8"/>
    <w:rsid w:val="00D43C8E"/>
    <w:rsid w:val="00D43CBD"/>
    <w:rsid w:val="00D43D0D"/>
    <w:rsid w:val="00D43D4F"/>
    <w:rsid w:val="00D43DD8"/>
    <w:rsid w:val="00D43E2E"/>
    <w:rsid w:val="00D43EE2"/>
    <w:rsid w:val="00D43F49"/>
    <w:rsid w:val="00D44055"/>
    <w:rsid w:val="00D4420C"/>
    <w:rsid w:val="00D4427D"/>
    <w:rsid w:val="00D4436D"/>
    <w:rsid w:val="00D443CD"/>
    <w:rsid w:val="00D44441"/>
    <w:rsid w:val="00D44477"/>
    <w:rsid w:val="00D4450F"/>
    <w:rsid w:val="00D44530"/>
    <w:rsid w:val="00D44539"/>
    <w:rsid w:val="00D4456E"/>
    <w:rsid w:val="00D44595"/>
    <w:rsid w:val="00D445D8"/>
    <w:rsid w:val="00D44695"/>
    <w:rsid w:val="00D446AA"/>
    <w:rsid w:val="00D4473C"/>
    <w:rsid w:val="00D44752"/>
    <w:rsid w:val="00D447F6"/>
    <w:rsid w:val="00D4495A"/>
    <w:rsid w:val="00D44978"/>
    <w:rsid w:val="00D44ABF"/>
    <w:rsid w:val="00D44AEF"/>
    <w:rsid w:val="00D44B2F"/>
    <w:rsid w:val="00D44B78"/>
    <w:rsid w:val="00D44B81"/>
    <w:rsid w:val="00D44BF5"/>
    <w:rsid w:val="00D44C12"/>
    <w:rsid w:val="00D44CFD"/>
    <w:rsid w:val="00D44D1D"/>
    <w:rsid w:val="00D44D4F"/>
    <w:rsid w:val="00D44D63"/>
    <w:rsid w:val="00D44D86"/>
    <w:rsid w:val="00D44E4D"/>
    <w:rsid w:val="00D44EE7"/>
    <w:rsid w:val="00D44FA7"/>
    <w:rsid w:val="00D45033"/>
    <w:rsid w:val="00D450CE"/>
    <w:rsid w:val="00D450EC"/>
    <w:rsid w:val="00D45225"/>
    <w:rsid w:val="00D4522D"/>
    <w:rsid w:val="00D4529B"/>
    <w:rsid w:val="00D452E1"/>
    <w:rsid w:val="00D4530B"/>
    <w:rsid w:val="00D4530D"/>
    <w:rsid w:val="00D45325"/>
    <w:rsid w:val="00D45341"/>
    <w:rsid w:val="00D45346"/>
    <w:rsid w:val="00D453B3"/>
    <w:rsid w:val="00D454FB"/>
    <w:rsid w:val="00D45506"/>
    <w:rsid w:val="00D45699"/>
    <w:rsid w:val="00D45794"/>
    <w:rsid w:val="00D457F9"/>
    <w:rsid w:val="00D4583E"/>
    <w:rsid w:val="00D45960"/>
    <w:rsid w:val="00D45A18"/>
    <w:rsid w:val="00D45A4A"/>
    <w:rsid w:val="00D45AAC"/>
    <w:rsid w:val="00D45AC5"/>
    <w:rsid w:val="00D45ADB"/>
    <w:rsid w:val="00D45C1B"/>
    <w:rsid w:val="00D45C33"/>
    <w:rsid w:val="00D45C5B"/>
    <w:rsid w:val="00D45C64"/>
    <w:rsid w:val="00D45CF8"/>
    <w:rsid w:val="00D45CFE"/>
    <w:rsid w:val="00D45D29"/>
    <w:rsid w:val="00D45D9F"/>
    <w:rsid w:val="00D45E08"/>
    <w:rsid w:val="00D45E38"/>
    <w:rsid w:val="00D45E5A"/>
    <w:rsid w:val="00D45F4D"/>
    <w:rsid w:val="00D45F63"/>
    <w:rsid w:val="00D46016"/>
    <w:rsid w:val="00D46035"/>
    <w:rsid w:val="00D4603C"/>
    <w:rsid w:val="00D46121"/>
    <w:rsid w:val="00D46169"/>
    <w:rsid w:val="00D46189"/>
    <w:rsid w:val="00D461CF"/>
    <w:rsid w:val="00D4621A"/>
    <w:rsid w:val="00D46222"/>
    <w:rsid w:val="00D4623A"/>
    <w:rsid w:val="00D46320"/>
    <w:rsid w:val="00D46376"/>
    <w:rsid w:val="00D4646A"/>
    <w:rsid w:val="00D464CA"/>
    <w:rsid w:val="00D464EA"/>
    <w:rsid w:val="00D465A4"/>
    <w:rsid w:val="00D465CA"/>
    <w:rsid w:val="00D46612"/>
    <w:rsid w:val="00D46714"/>
    <w:rsid w:val="00D46718"/>
    <w:rsid w:val="00D4673A"/>
    <w:rsid w:val="00D4679E"/>
    <w:rsid w:val="00D467C6"/>
    <w:rsid w:val="00D46873"/>
    <w:rsid w:val="00D4689C"/>
    <w:rsid w:val="00D468D0"/>
    <w:rsid w:val="00D4690D"/>
    <w:rsid w:val="00D46911"/>
    <w:rsid w:val="00D46924"/>
    <w:rsid w:val="00D46925"/>
    <w:rsid w:val="00D46947"/>
    <w:rsid w:val="00D4696E"/>
    <w:rsid w:val="00D46A67"/>
    <w:rsid w:val="00D46AB2"/>
    <w:rsid w:val="00D46B00"/>
    <w:rsid w:val="00D46B59"/>
    <w:rsid w:val="00D46B6C"/>
    <w:rsid w:val="00D46BC1"/>
    <w:rsid w:val="00D46C02"/>
    <w:rsid w:val="00D46CDD"/>
    <w:rsid w:val="00D46D35"/>
    <w:rsid w:val="00D46D42"/>
    <w:rsid w:val="00D46D7B"/>
    <w:rsid w:val="00D46E07"/>
    <w:rsid w:val="00D46E5D"/>
    <w:rsid w:val="00D46E90"/>
    <w:rsid w:val="00D4701A"/>
    <w:rsid w:val="00D470EE"/>
    <w:rsid w:val="00D47199"/>
    <w:rsid w:val="00D471AE"/>
    <w:rsid w:val="00D471F8"/>
    <w:rsid w:val="00D472C9"/>
    <w:rsid w:val="00D472DC"/>
    <w:rsid w:val="00D4730D"/>
    <w:rsid w:val="00D47331"/>
    <w:rsid w:val="00D4734B"/>
    <w:rsid w:val="00D473D1"/>
    <w:rsid w:val="00D4744A"/>
    <w:rsid w:val="00D4744C"/>
    <w:rsid w:val="00D474C3"/>
    <w:rsid w:val="00D474C4"/>
    <w:rsid w:val="00D474C7"/>
    <w:rsid w:val="00D47540"/>
    <w:rsid w:val="00D4755A"/>
    <w:rsid w:val="00D4756F"/>
    <w:rsid w:val="00D4759C"/>
    <w:rsid w:val="00D4768F"/>
    <w:rsid w:val="00D476CC"/>
    <w:rsid w:val="00D47740"/>
    <w:rsid w:val="00D477E0"/>
    <w:rsid w:val="00D47849"/>
    <w:rsid w:val="00D4787A"/>
    <w:rsid w:val="00D47895"/>
    <w:rsid w:val="00D478AB"/>
    <w:rsid w:val="00D47958"/>
    <w:rsid w:val="00D47967"/>
    <w:rsid w:val="00D47991"/>
    <w:rsid w:val="00D47AF5"/>
    <w:rsid w:val="00D47AF7"/>
    <w:rsid w:val="00D47B21"/>
    <w:rsid w:val="00D47B49"/>
    <w:rsid w:val="00D47CCC"/>
    <w:rsid w:val="00D47EC0"/>
    <w:rsid w:val="00D47ECE"/>
    <w:rsid w:val="00D47FDA"/>
    <w:rsid w:val="00D47FF9"/>
    <w:rsid w:val="00D5004F"/>
    <w:rsid w:val="00D50079"/>
    <w:rsid w:val="00D500C0"/>
    <w:rsid w:val="00D500CF"/>
    <w:rsid w:val="00D500EF"/>
    <w:rsid w:val="00D50119"/>
    <w:rsid w:val="00D5012E"/>
    <w:rsid w:val="00D502C7"/>
    <w:rsid w:val="00D502E1"/>
    <w:rsid w:val="00D50305"/>
    <w:rsid w:val="00D5037E"/>
    <w:rsid w:val="00D50510"/>
    <w:rsid w:val="00D50524"/>
    <w:rsid w:val="00D50636"/>
    <w:rsid w:val="00D50680"/>
    <w:rsid w:val="00D506AA"/>
    <w:rsid w:val="00D50711"/>
    <w:rsid w:val="00D50766"/>
    <w:rsid w:val="00D507DD"/>
    <w:rsid w:val="00D508B5"/>
    <w:rsid w:val="00D50975"/>
    <w:rsid w:val="00D50A47"/>
    <w:rsid w:val="00D50BA8"/>
    <w:rsid w:val="00D50BF7"/>
    <w:rsid w:val="00D50C2C"/>
    <w:rsid w:val="00D50D91"/>
    <w:rsid w:val="00D50DF9"/>
    <w:rsid w:val="00D50E11"/>
    <w:rsid w:val="00D50EE8"/>
    <w:rsid w:val="00D50F5F"/>
    <w:rsid w:val="00D51009"/>
    <w:rsid w:val="00D510DB"/>
    <w:rsid w:val="00D51198"/>
    <w:rsid w:val="00D511F1"/>
    <w:rsid w:val="00D51282"/>
    <w:rsid w:val="00D5139E"/>
    <w:rsid w:val="00D513A3"/>
    <w:rsid w:val="00D513DD"/>
    <w:rsid w:val="00D5140F"/>
    <w:rsid w:val="00D5148F"/>
    <w:rsid w:val="00D5149E"/>
    <w:rsid w:val="00D514CA"/>
    <w:rsid w:val="00D5155C"/>
    <w:rsid w:val="00D515EA"/>
    <w:rsid w:val="00D5175A"/>
    <w:rsid w:val="00D51797"/>
    <w:rsid w:val="00D517DC"/>
    <w:rsid w:val="00D518AA"/>
    <w:rsid w:val="00D5192E"/>
    <w:rsid w:val="00D51AD6"/>
    <w:rsid w:val="00D51AE2"/>
    <w:rsid w:val="00D51B3E"/>
    <w:rsid w:val="00D51BA7"/>
    <w:rsid w:val="00D51BEF"/>
    <w:rsid w:val="00D51C58"/>
    <w:rsid w:val="00D51C72"/>
    <w:rsid w:val="00D51C98"/>
    <w:rsid w:val="00D51CAC"/>
    <w:rsid w:val="00D51CB3"/>
    <w:rsid w:val="00D51CB5"/>
    <w:rsid w:val="00D51CD1"/>
    <w:rsid w:val="00D51D25"/>
    <w:rsid w:val="00D51D46"/>
    <w:rsid w:val="00D51D60"/>
    <w:rsid w:val="00D51E38"/>
    <w:rsid w:val="00D51E4F"/>
    <w:rsid w:val="00D51F5A"/>
    <w:rsid w:val="00D51F6E"/>
    <w:rsid w:val="00D51FF5"/>
    <w:rsid w:val="00D52135"/>
    <w:rsid w:val="00D5218A"/>
    <w:rsid w:val="00D521F8"/>
    <w:rsid w:val="00D522BD"/>
    <w:rsid w:val="00D52406"/>
    <w:rsid w:val="00D52442"/>
    <w:rsid w:val="00D524EC"/>
    <w:rsid w:val="00D52531"/>
    <w:rsid w:val="00D5253C"/>
    <w:rsid w:val="00D5254C"/>
    <w:rsid w:val="00D52589"/>
    <w:rsid w:val="00D5259F"/>
    <w:rsid w:val="00D525DE"/>
    <w:rsid w:val="00D5264D"/>
    <w:rsid w:val="00D52655"/>
    <w:rsid w:val="00D52656"/>
    <w:rsid w:val="00D526A2"/>
    <w:rsid w:val="00D52762"/>
    <w:rsid w:val="00D52763"/>
    <w:rsid w:val="00D5276B"/>
    <w:rsid w:val="00D52776"/>
    <w:rsid w:val="00D529CB"/>
    <w:rsid w:val="00D52A50"/>
    <w:rsid w:val="00D52A90"/>
    <w:rsid w:val="00D52A94"/>
    <w:rsid w:val="00D52AE4"/>
    <w:rsid w:val="00D52B2A"/>
    <w:rsid w:val="00D52BB7"/>
    <w:rsid w:val="00D52BE9"/>
    <w:rsid w:val="00D52C28"/>
    <w:rsid w:val="00D52C95"/>
    <w:rsid w:val="00D52CB2"/>
    <w:rsid w:val="00D52CD9"/>
    <w:rsid w:val="00D52D86"/>
    <w:rsid w:val="00D52DCC"/>
    <w:rsid w:val="00D52E7A"/>
    <w:rsid w:val="00D52EEA"/>
    <w:rsid w:val="00D52F88"/>
    <w:rsid w:val="00D531D6"/>
    <w:rsid w:val="00D5324D"/>
    <w:rsid w:val="00D53292"/>
    <w:rsid w:val="00D532C7"/>
    <w:rsid w:val="00D532D8"/>
    <w:rsid w:val="00D532F5"/>
    <w:rsid w:val="00D533C5"/>
    <w:rsid w:val="00D534ED"/>
    <w:rsid w:val="00D53507"/>
    <w:rsid w:val="00D5359D"/>
    <w:rsid w:val="00D535B5"/>
    <w:rsid w:val="00D53617"/>
    <w:rsid w:val="00D536C3"/>
    <w:rsid w:val="00D53711"/>
    <w:rsid w:val="00D53730"/>
    <w:rsid w:val="00D53782"/>
    <w:rsid w:val="00D53848"/>
    <w:rsid w:val="00D53888"/>
    <w:rsid w:val="00D53932"/>
    <w:rsid w:val="00D53961"/>
    <w:rsid w:val="00D53A8E"/>
    <w:rsid w:val="00D53A96"/>
    <w:rsid w:val="00D53ACA"/>
    <w:rsid w:val="00D53AD1"/>
    <w:rsid w:val="00D53B72"/>
    <w:rsid w:val="00D53C5A"/>
    <w:rsid w:val="00D53C7C"/>
    <w:rsid w:val="00D53DD3"/>
    <w:rsid w:val="00D53DE9"/>
    <w:rsid w:val="00D53DEC"/>
    <w:rsid w:val="00D53E84"/>
    <w:rsid w:val="00D53EF1"/>
    <w:rsid w:val="00D54029"/>
    <w:rsid w:val="00D54300"/>
    <w:rsid w:val="00D5436C"/>
    <w:rsid w:val="00D54379"/>
    <w:rsid w:val="00D54411"/>
    <w:rsid w:val="00D54524"/>
    <w:rsid w:val="00D545A5"/>
    <w:rsid w:val="00D545B0"/>
    <w:rsid w:val="00D54622"/>
    <w:rsid w:val="00D5476E"/>
    <w:rsid w:val="00D547DA"/>
    <w:rsid w:val="00D548CF"/>
    <w:rsid w:val="00D54997"/>
    <w:rsid w:val="00D549E5"/>
    <w:rsid w:val="00D54A30"/>
    <w:rsid w:val="00D54A6E"/>
    <w:rsid w:val="00D54ABB"/>
    <w:rsid w:val="00D54AFD"/>
    <w:rsid w:val="00D54C32"/>
    <w:rsid w:val="00D54C55"/>
    <w:rsid w:val="00D54C58"/>
    <w:rsid w:val="00D54C77"/>
    <w:rsid w:val="00D54CAE"/>
    <w:rsid w:val="00D54D16"/>
    <w:rsid w:val="00D54D83"/>
    <w:rsid w:val="00D54ECA"/>
    <w:rsid w:val="00D54F88"/>
    <w:rsid w:val="00D5512A"/>
    <w:rsid w:val="00D5515A"/>
    <w:rsid w:val="00D5515E"/>
    <w:rsid w:val="00D55160"/>
    <w:rsid w:val="00D55272"/>
    <w:rsid w:val="00D552C2"/>
    <w:rsid w:val="00D552C7"/>
    <w:rsid w:val="00D55372"/>
    <w:rsid w:val="00D553BD"/>
    <w:rsid w:val="00D55439"/>
    <w:rsid w:val="00D554AF"/>
    <w:rsid w:val="00D555A8"/>
    <w:rsid w:val="00D555E5"/>
    <w:rsid w:val="00D55615"/>
    <w:rsid w:val="00D55640"/>
    <w:rsid w:val="00D556ED"/>
    <w:rsid w:val="00D556EF"/>
    <w:rsid w:val="00D557EB"/>
    <w:rsid w:val="00D5580D"/>
    <w:rsid w:val="00D55893"/>
    <w:rsid w:val="00D5594B"/>
    <w:rsid w:val="00D559AA"/>
    <w:rsid w:val="00D559E5"/>
    <w:rsid w:val="00D559F0"/>
    <w:rsid w:val="00D55A3D"/>
    <w:rsid w:val="00D55AA8"/>
    <w:rsid w:val="00D55ABE"/>
    <w:rsid w:val="00D55B1C"/>
    <w:rsid w:val="00D55C53"/>
    <w:rsid w:val="00D55C55"/>
    <w:rsid w:val="00D55C6E"/>
    <w:rsid w:val="00D55C83"/>
    <w:rsid w:val="00D55C94"/>
    <w:rsid w:val="00D55CA5"/>
    <w:rsid w:val="00D55CC1"/>
    <w:rsid w:val="00D55D06"/>
    <w:rsid w:val="00D55D57"/>
    <w:rsid w:val="00D55E4A"/>
    <w:rsid w:val="00D55EA4"/>
    <w:rsid w:val="00D55EDA"/>
    <w:rsid w:val="00D55F42"/>
    <w:rsid w:val="00D55F5A"/>
    <w:rsid w:val="00D56043"/>
    <w:rsid w:val="00D56090"/>
    <w:rsid w:val="00D56190"/>
    <w:rsid w:val="00D561A3"/>
    <w:rsid w:val="00D56217"/>
    <w:rsid w:val="00D562E3"/>
    <w:rsid w:val="00D56379"/>
    <w:rsid w:val="00D56403"/>
    <w:rsid w:val="00D56462"/>
    <w:rsid w:val="00D56537"/>
    <w:rsid w:val="00D56598"/>
    <w:rsid w:val="00D5667F"/>
    <w:rsid w:val="00D566D8"/>
    <w:rsid w:val="00D5670B"/>
    <w:rsid w:val="00D5671E"/>
    <w:rsid w:val="00D56861"/>
    <w:rsid w:val="00D568E2"/>
    <w:rsid w:val="00D56952"/>
    <w:rsid w:val="00D56971"/>
    <w:rsid w:val="00D569A3"/>
    <w:rsid w:val="00D56A3F"/>
    <w:rsid w:val="00D56A50"/>
    <w:rsid w:val="00D56A71"/>
    <w:rsid w:val="00D56AF0"/>
    <w:rsid w:val="00D56C40"/>
    <w:rsid w:val="00D56C51"/>
    <w:rsid w:val="00D56C9E"/>
    <w:rsid w:val="00D56D13"/>
    <w:rsid w:val="00D56D2F"/>
    <w:rsid w:val="00D56D92"/>
    <w:rsid w:val="00D56E46"/>
    <w:rsid w:val="00D56F32"/>
    <w:rsid w:val="00D56F5D"/>
    <w:rsid w:val="00D56FD6"/>
    <w:rsid w:val="00D57002"/>
    <w:rsid w:val="00D5703F"/>
    <w:rsid w:val="00D57092"/>
    <w:rsid w:val="00D57099"/>
    <w:rsid w:val="00D571E0"/>
    <w:rsid w:val="00D571E6"/>
    <w:rsid w:val="00D57221"/>
    <w:rsid w:val="00D57278"/>
    <w:rsid w:val="00D572AE"/>
    <w:rsid w:val="00D57307"/>
    <w:rsid w:val="00D57347"/>
    <w:rsid w:val="00D573C3"/>
    <w:rsid w:val="00D57408"/>
    <w:rsid w:val="00D5748C"/>
    <w:rsid w:val="00D5753A"/>
    <w:rsid w:val="00D57540"/>
    <w:rsid w:val="00D575FD"/>
    <w:rsid w:val="00D57622"/>
    <w:rsid w:val="00D57673"/>
    <w:rsid w:val="00D576CE"/>
    <w:rsid w:val="00D5775D"/>
    <w:rsid w:val="00D577C4"/>
    <w:rsid w:val="00D577C6"/>
    <w:rsid w:val="00D57856"/>
    <w:rsid w:val="00D5791E"/>
    <w:rsid w:val="00D57989"/>
    <w:rsid w:val="00D57A5E"/>
    <w:rsid w:val="00D57A91"/>
    <w:rsid w:val="00D57AFD"/>
    <w:rsid w:val="00D57B6A"/>
    <w:rsid w:val="00D57BA3"/>
    <w:rsid w:val="00D57BAF"/>
    <w:rsid w:val="00D57BD9"/>
    <w:rsid w:val="00D57C59"/>
    <w:rsid w:val="00D57D2B"/>
    <w:rsid w:val="00D57E8E"/>
    <w:rsid w:val="00D57E91"/>
    <w:rsid w:val="00D57EAE"/>
    <w:rsid w:val="00D60036"/>
    <w:rsid w:val="00D6004F"/>
    <w:rsid w:val="00D601D8"/>
    <w:rsid w:val="00D6026D"/>
    <w:rsid w:val="00D603AC"/>
    <w:rsid w:val="00D603C4"/>
    <w:rsid w:val="00D603CE"/>
    <w:rsid w:val="00D60426"/>
    <w:rsid w:val="00D60450"/>
    <w:rsid w:val="00D60621"/>
    <w:rsid w:val="00D6062F"/>
    <w:rsid w:val="00D60740"/>
    <w:rsid w:val="00D60762"/>
    <w:rsid w:val="00D607C8"/>
    <w:rsid w:val="00D607F0"/>
    <w:rsid w:val="00D6089D"/>
    <w:rsid w:val="00D608DD"/>
    <w:rsid w:val="00D608F8"/>
    <w:rsid w:val="00D60982"/>
    <w:rsid w:val="00D609DA"/>
    <w:rsid w:val="00D60A80"/>
    <w:rsid w:val="00D60AAD"/>
    <w:rsid w:val="00D60ABD"/>
    <w:rsid w:val="00D60AF8"/>
    <w:rsid w:val="00D60BF5"/>
    <w:rsid w:val="00D60C0A"/>
    <w:rsid w:val="00D60C47"/>
    <w:rsid w:val="00D60C69"/>
    <w:rsid w:val="00D60CCA"/>
    <w:rsid w:val="00D60CEA"/>
    <w:rsid w:val="00D60D2D"/>
    <w:rsid w:val="00D60D94"/>
    <w:rsid w:val="00D60DF4"/>
    <w:rsid w:val="00D60E19"/>
    <w:rsid w:val="00D60E7F"/>
    <w:rsid w:val="00D60ED0"/>
    <w:rsid w:val="00D60F17"/>
    <w:rsid w:val="00D60FC3"/>
    <w:rsid w:val="00D60FCE"/>
    <w:rsid w:val="00D60FD9"/>
    <w:rsid w:val="00D60FF2"/>
    <w:rsid w:val="00D60FFC"/>
    <w:rsid w:val="00D61047"/>
    <w:rsid w:val="00D61092"/>
    <w:rsid w:val="00D610F0"/>
    <w:rsid w:val="00D61108"/>
    <w:rsid w:val="00D6115C"/>
    <w:rsid w:val="00D612CF"/>
    <w:rsid w:val="00D612E9"/>
    <w:rsid w:val="00D612F6"/>
    <w:rsid w:val="00D613DC"/>
    <w:rsid w:val="00D6148F"/>
    <w:rsid w:val="00D61492"/>
    <w:rsid w:val="00D61509"/>
    <w:rsid w:val="00D61522"/>
    <w:rsid w:val="00D61527"/>
    <w:rsid w:val="00D6153F"/>
    <w:rsid w:val="00D6154B"/>
    <w:rsid w:val="00D61594"/>
    <w:rsid w:val="00D615F4"/>
    <w:rsid w:val="00D61646"/>
    <w:rsid w:val="00D61654"/>
    <w:rsid w:val="00D616DB"/>
    <w:rsid w:val="00D61710"/>
    <w:rsid w:val="00D6174E"/>
    <w:rsid w:val="00D6175B"/>
    <w:rsid w:val="00D6182A"/>
    <w:rsid w:val="00D6184D"/>
    <w:rsid w:val="00D61855"/>
    <w:rsid w:val="00D618DB"/>
    <w:rsid w:val="00D61914"/>
    <w:rsid w:val="00D61AE8"/>
    <w:rsid w:val="00D61B82"/>
    <w:rsid w:val="00D61C71"/>
    <w:rsid w:val="00D61D25"/>
    <w:rsid w:val="00D61D44"/>
    <w:rsid w:val="00D61F3B"/>
    <w:rsid w:val="00D61F97"/>
    <w:rsid w:val="00D61FA1"/>
    <w:rsid w:val="00D61FEA"/>
    <w:rsid w:val="00D62033"/>
    <w:rsid w:val="00D6206A"/>
    <w:rsid w:val="00D620BC"/>
    <w:rsid w:val="00D620F6"/>
    <w:rsid w:val="00D621B8"/>
    <w:rsid w:val="00D6229F"/>
    <w:rsid w:val="00D623F7"/>
    <w:rsid w:val="00D6240E"/>
    <w:rsid w:val="00D62469"/>
    <w:rsid w:val="00D6248D"/>
    <w:rsid w:val="00D6251A"/>
    <w:rsid w:val="00D6257A"/>
    <w:rsid w:val="00D625E9"/>
    <w:rsid w:val="00D625F4"/>
    <w:rsid w:val="00D6264B"/>
    <w:rsid w:val="00D62698"/>
    <w:rsid w:val="00D626DA"/>
    <w:rsid w:val="00D6270F"/>
    <w:rsid w:val="00D62733"/>
    <w:rsid w:val="00D6276F"/>
    <w:rsid w:val="00D627DC"/>
    <w:rsid w:val="00D6283F"/>
    <w:rsid w:val="00D62846"/>
    <w:rsid w:val="00D6287E"/>
    <w:rsid w:val="00D628F2"/>
    <w:rsid w:val="00D62991"/>
    <w:rsid w:val="00D629CE"/>
    <w:rsid w:val="00D62B16"/>
    <w:rsid w:val="00D62BD8"/>
    <w:rsid w:val="00D62BEA"/>
    <w:rsid w:val="00D62CAB"/>
    <w:rsid w:val="00D62D2F"/>
    <w:rsid w:val="00D62D69"/>
    <w:rsid w:val="00D62DA1"/>
    <w:rsid w:val="00D62DB3"/>
    <w:rsid w:val="00D62E07"/>
    <w:rsid w:val="00D62E1C"/>
    <w:rsid w:val="00D62E59"/>
    <w:rsid w:val="00D62EAC"/>
    <w:rsid w:val="00D62EE3"/>
    <w:rsid w:val="00D62F52"/>
    <w:rsid w:val="00D62F5D"/>
    <w:rsid w:val="00D62F74"/>
    <w:rsid w:val="00D62F85"/>
    <w:rsid w:val="00D63063"/>
    <w:rsid w:val="00D63084"/>
    <w:rsid w:val="00D63303"/>
    <w:rsid w:val="00D63322"/>
    <w:rsid w:val="00D6338B"/>
    <w:rsid w:val="00D633C9"/>
    <w:rsid w:val="00D63437"/>
    <w:rsid w:val="00D63488"/>
    <w:rsid w:val="00D634A7"/>
    <w:rsid w:val="00D634AC"/>
    <w:rsid w:val="00D6353B"/>
    <w:rsid w:val="00D6358F"/>
    <w:rsid w:val="00D6362A"/>
    <w:rsid w:val="00D636DF"/>
    <w:rsid w:val="00D637EB"/>
    <w:rsid w:val="00D637EC"/>
    <w:rsid w:val="00D637F5"/>
    <w:rsid w:val="00D63824"/>
    <w:rsid w:val="00D6384D"/>
    <w:rsid w:val="00D63880"/>
    <w:rsid w:val="00D638DF"/>
    <w:rsid w:val="00D639E6"/>
    <w:rsid w:val="00D63A4E"/>
    <w:rsid w:val="00D63A91"/>
    <w:rsid w:val="00D63A9E"/>
    <w:rsid w:val="00D63B1D"/>
    <w:rsid w:val="00D63B93"/>
    <w:rsid w:val="00D63BF0"/>
    <w:rsid w:val="00D63C41"/>
    <w:rsid w:val="00D63DD9"/>
    <w:rsid w:val="00D63E77"/>
    <w:rsid w:val="00D63F9E"/>
    <w:rsid w:val="00D64049"/>
    <w:rsid w:val="00D640B2"/>
    <w:rsid w:val="00D6416E"/>
    <w:rsid w:val="00D64174"/>
    <w:rsid w:val="00D641A7"/>
    <w:rsid w:val="00D64239"/>
    <w:rsid w:val="00D64269"/>
    <w:rsid w:val="00D642B9"/>
    <w:rsid w:val="00D642C7"/>
    <w:rsid w:val="00D64395"/>
    <w:rsid w:val="00D643C8"/>
    <w:rsid w:val="00D6455C"/>
    <w:rsid w:val="00D64605"/>
    <w:rsid w:val="00D64682"/>
    <w:rsid w:val="00D64804"/>
    <w:rsid w:val="00D6486A"/>
    <w:rsid w:val="00D64883"/>
    <w:rsid w:val="00D649E8"/>
    <w:rsid w:val="00D64B28"/>
    <w:rsid w:val="00D64B9D"/>
    <w:rsid w:val="00D64C57"/>
    <w:rsid w:val="00D64CCF"/>
    <w:rsid w:val="00D64E24"/>
    <w:rsid w:val="00D64E32"/>
    <w:rsid w:val="00D64E35"/>
    <w:rsid w:val="00D64E4B"/>
    <w:rsid w:val="00D64E9D"/>
    <w:rsid w:val="00D64F27"/>
    <w:rsid w:val="00D64FFD"/>
    <w:rsid w:val="00D6502C"/>
    <w:rsid w:val="00D6506A"/>
    <w:rsid w:val="00D650DB"/>
    <w:rsid w:val="00D65161"/>
    <w:rsid w:val="00D651CB"/>
    <w:rsid w:val="00D65257"/>
    <w:rsid w:val="00D65308"/>
    <w:rsid w:val="00D65339"/>
    <w:rsid w:val="00D654A0"/>
    <w:rsid w:val="00D654BE"/>
    <w:rsid w:val="00D654DA"/>
    <w:rsid w:val="00D654E0"/>
    <w:rsid w:val="00D65574"/>
    <w:rsid w:val="00D655A7"/>
    <w:rsid w:val="00D655B3"/>
    <w:rsid w:val="00D65626"/>
    <w:rsid w:val="00D6567B"/>
    <w:rsid w:val="00D656B1"/>
    <w:rsid w:val="00D656EA"/>
    <w:rsid w:val="00D6581A"/>
    <w:rsid w:val="00D65885"/>
    <w:rsid w:val="00D65988"/>
    <w:rsid w:val="00D659D3"/>
    <w:rsid w:val="00D65A20"/>
    <w:rsid w:val="00D65A50"/>
    <w:rsid w:val="00D65A58"/>
    <w:rsid w:val="00D65A67"/>
    <w:rsid w:val="00D65AB7"/>
    <w:rsid w:val="00D65AE9"/>
    <w:rsid w:val="00D65AFC"/>
    <w:rsid w:val="00D65B36"/>
    <w:rsid w:val="00D65CDA"/>
    <w:rsid w:val="00D65D02"/>
    <w:rsid w:val="00D65D53"/>
    <w:rsid w:val="00D65DD9"/>
    <w:rsid w:val="00D65E17"/>
    <w:rsid w:val="00D65EFB"/>
    <w:rsid w:val="00D65F13"/>
    <w:rsid w:val="00D65F28"/>
    <w:rsid w:val="00D6612C"/>
    <w:rsid w:val="00D6613B"/>
    <w:rsid w:val="00D661EE"/>
    <w:rsid w:val="00D6624F"/>
    <w:rsid w:val="00D6630B"/>
    <w:rsid w:val="00D66409"/>
    <w:rsid w:val="00D66418"/>
    <w:rsid w:val="00D66594"/>
    <w:rsid w:val="00D6667E"/>
    <w:rsid w:val="00D66716"/>
    <w:rsid w:val="00D66745"/>
    <w:rsid w:val="00D66764"/>
    <w:rsid w:val="00D6676B"/>
    <w:rsid w:val="00D66858"/>
    <w:rsid w:val="00D6688E"/>
    <w:rsid w:val="00D668C7"/>
    <w:rsid w:val="00D66975"/>
    <w:rsid w:val="00D669B7"/>
    <w:rsid w:val="00D669BF"/>
    <w:rsid w:val="00D669C9"/>
    <w:rsid w:val="00D66A0A"/>
    <w:rsid w:val="00D66A5B"/>
    <w:rsid w:val="00D66A6E"/>
    <w:rsid w:val="00D66B73"/>
    <w:rsid w:val="00D66B81"/>
    <w:rsid w:val="00D66B8F"/>
    <w:rsid w:val="00D66CD2"/>
    <w:rsid w:val="00D66D56"/>
    <w:rsid w:val="00D66E06"/>
    <w:rsid w:val="00D66F18"/>
    <w:rsid w:val="00D66F2C"/>
    <w:rsid w:val="00D66FED"/>
    <w:rsid w:val="00D67043"/>
    <w:rsid w:val="00D670D0"/>
    <w:rsid w:val="00D670D3"/>
    <w:rsid w:val="00D670EB"/>
    <w:rsid w:val="00D67143"/>
    <w:rsid w:val="00D67202"/>
    <w:rsid w:val="00D6749F"/>
    <w:rsid w:val="00D674A2"/>
    <w:rsid w:val="00D674C1"/>
    <w:rsid w:val="00D6750D"/>
    <w:rsid w:val="00D6759B"/>
    <w:rsid w:val="00D675EF"/>
    <w:rsid w:val="00D67638"/>
    <w:rsid w:val="00D67688"/>
    <w:rsid w:val="00D676FA"/>
    <w:rsid w:val="00D67788"/>
    <w:rsid w:val="00D677F5"/>
    <w:rsid w:val="00D67862"/>
    <w:rsid w:val="00D67866"/>
    <w:rsid w:val="00D678A0"/>
    <w:rsid w:val="00D678D8"/>
    <w:rsid w:val="00D67963"/>
    <w:rsid w:val="00D6799A"/>
    <w:rsid w:val="00D67A8E"/>
    <w:rsid w:val="00D67A9E"/>
    <w:rsid w:val="00D67AAE"/>
    <w:rsid w:val="00D67ADF"/>
    <w:rsid w:val="00D67B8C"/>
    <w:rsid w:val="00D67C50"/>
    <w:rsid w:val="00D67CB3"/>
    <w:rsid w:val="00D67CDF"/>
    <w:rsid w:val="00D67D06"/>
    <w:rsid w:val="00D67D26"/>
    <w:rsid w:val="00D67D91"/>
    <w:rsid w:val="00D67DD4"/>
    <w:rsid w:val="00D67DFD"/>
    <w:rsid w:val="00D67E31"/>
    <w:rsid w:val="00D67EAC"/>
    <w:rsid w:val="00D67ED3"/>
    <w:rsid w:val="00D6FD0D"/>
    <w:rsid w:val="00D70042"/>
    <w:rsid w:val="00D70086"/>
    <w:rsid w:val="00D70152"/>
    <w:rsid w:val="00D7018A"/>
    <w:rsid w:val="00D70278"/>
    <w:rsid w:val="00D70328"/>
    <w:rsid w:val="00D70372"/>
    <w:rsid w:val="00D70380"/>
    <w:rsid w:val="00D7046A"/>
    <w:rsid w:val="00D704C3"/>
    <w:rsid w:val="00D704D0"/>
    <w:rsid w:val="00D70504"/>
    <w:rsid w:val="00D70513"/>
    <w:rsid w:val="00D705D4"/>
    <w:rsid w:val="00D70622"/>
    <w:rsid w:val="00D70660"/>
    <w:rsid w:val="00D70780"/>
    <w:rsid w:val="00D7082E"/>
    <w:rsid w:val="00D70848"/>
    <w:rsid w:val="00D70873"/>
    <w:rsid w:val="00D708DC"/>
    <w:rsid w:val="00D70942"/>
    <w:rsid w:val="00D7094A"/>
    <w:rsid w:val="00D70A29"/>
    <w:rsid w:val="00D70A6E"/>
    <w:rsid w:val="00D70A72"/>
    <w:rsid w:val="00D70ABF"/>
    <w:rsid w:val="00D70AF8"/>
    <w:rsid w:val="00D70B0B"/>
    <w:rsid w:val="00D70B1D"/>
    <w:rsid w:val="00D70B26"/>
    <w:rsid w:val="00D70BF6"/>
    <w:rsid w:val="00D70C64"/>
    <w:rsid w:val="00D70D49"/>
    <w:rsid w:val="00D70DCE"/>
    <w:rsid w:val="00D70E3A"/>
    <w:rsid w:val="00D70F16"/>
    <w:rsid w:val="00D70FCF"/>
    <w:rsid w:val="00D70FD6"/>
    <w:rsid w:val="00D710FD"/>
    <w:rsid w:val="00D71140"/>
    <w:rsid w:val="00D71196"/>
    <w:rsid w:val="00D711FC"/>
    <w:rsid w:val="00D713AD"/>
    <w:rsid w:val="00D713F9"/>
    <w:rsid w:val="00D7140C"/>
    <w:rsid w:val="00D7149F"/>
    <w:rsid w:val="00D714B0"/>
    <w:rsid w:val="00D7158F"/>
    <w:rsid w:val="00D715AB"/>
    <w:rsid w:val="00D715AC"/>
    <w:rsid w:val="00D7170B"/>
    <w:rsid w:val="00D71741"/>
    <w:rsid w:val="00D71753"/>
    <w:rsid w:val="00D717F8"/>
    <w:rsid w:val="00D717FF"/>
    <w:rsid w:val="00D71831"/>
    <w:rsid w:val="00D718AF"/>
    <w:rsid w:val="00D718DA"/>
    <w:rsid w:val="00D719C5"/>
    <w:rsid w:val="00D71A56"/>
    <w:rsid w:val="00D71AB3"/>
    <w:rsid w:val="00D71B84"/>
    <w:rsid w:val="00D71C2B"/>
    <w:rsid w:val="00D71C45"/>
    <w:rsid w:val="00D71D1E"/>
    <w:rsid w:val="00D71D4F"/>
    <w:rsid w:val="00D71D69"/>
    <w:rsid w:val="00D71E18"/>
    <w:rsid w:val="00D71E24"/>
    <w:rsid w:val="00D71E5A"/>
    <w:rsid w:val="00D71E89"/>
    <w:rsid w:val="00D71EDD"/>
    <w:rsid w:val="00D71FCA"/>
    <w:rsid w:val="00D7206E"/>
    <w:rsid w:val="00D72072"/>
    <w:rsid w:val="00D720CB"/>
    <w:rsid w:val="00D720DE"/>
    <w:rsid w:val="00D7211C"/>
    <w:rsid w:val="00D7218C"/>
    <w:rsid w:val="00D721A2"/>
    <w:rsid w:val="00D7229E"/>
    <w:rsid w:val="00D722C3"/>
    <w:rsid w:val="00D7232D"/>
    <w:rsid w:val="00D7233D"/>
    <w:rsid w:val="00D723A7"/>
    <w:rsid w:val="00D723DF"/>
    <w:rsid w:val="00D72400"/>
    <w:rsid w:val="00D72451"/>
    <w:rsid w:val="00D724CE"/>
    <w:rsid w:val="00D72527"/>
    <w:rsid w:val="00D72582"/>
    <w:rsid w:val="00D72700"/>
    <w:rsid w:val="00D72741"/>
    <w:rsid w:val="00D72757"/>
    <w:rsid w:val="00D7288F"/>
    <w:rsid w:val="00D728A9"/>
    <w:rsid w:val="00D728CE"/>
    <w:rsid w:val="00D729C6"/>
    <w:rsid w:val="00D72A0A"/>
    <w:rsid w:val="00D72A64"/>
    <w:rsid w:val="00D72A73"/>
    <w:rsid w:val="00D72A94"/>
    <w:rsid w:val="00D72B69"/>
    <w:rsid w:val="00D72BE3"/>
    <w:rsid w:val="00D72C03"/>
    <w:rsid w:val="00D72DC0"/>
    <w:rsid w:val="00D72DCE"/>
    <w:rsid w:val="00D72E6C"/>
    <w:rsid w:val="00D72E89"/>
    <w:rsid w:val="00D72EB2"/>
    <w:rsid w:val="00D72F05"/>
    <w:rsid w:val="00D72F3D"/>
    <w:rsid w:val="00D73032"/>
    <w:rsid w:val="00D730D2"/>
    <w:rsid w:val="00D730E9"/>
    <w:rsid w:val="00D730F7"/>
    <w:rsid w:val="00D73122"/>
    <w:rsid w:val="00D7312C"/>
    <w:rsid w:val="00D73151"/>
    <w:rsid w:val="00D731A9"/>
    <w:rsid w:val="00D731AC"/>
    <w:rsid w:val="00D732B9"/>
    <w:rsid w:val="00D732F7"/>
    <w:rsid w:val="00D73331"/>
    <w:rsid w:val="00D7333F"/>
    <w:rsid w:val="00D7334F"/>
    <w:rsid w:val="00D733C5"/>
    <w:rsid w:val="00D733F0"/>
    <w:rsid w:val="00D733FB"/>
    <w:rsid w:val="00D7343B"/>
    <w:rsid w:val="00D734E9"/>
    <w:rsid w:val="00D73624"/>
    <w:rsid w:val="00D73626"/>
    <w:rsid w:val="00D7380E"/>
    <w:rsid w:val="00D73922"/>
    <w:rsid w:val="00D7395F"/>
    <w:rsid w:val="00D73979"/>
    <w:rsid w:val="00D73981"/>
    <w:rsid w:val="00D73AA9"/>
    <w:rsid w:val="00D73AB0"/>
    <w:rsid w:val="00D73B1F"/>
    <w:rsid w:val="00D73B44"/>
    <w:rsid w:val="00D73B52"/>
    <w:rsid w:val="00D73B9C"/>
    <w:rsid w:val="00D73C05"/>
    <w:rsid w:val="00D73C25"/>
    <w:rsid w:val="00D73D0A"/>
    <w:rsid w:val="00D73D20"/>
    <w:rsid w:val="00D73D5C"/>
    <w:rsid w:val="00D73D82"/>
    <w:rsid w:val="00D73F01"/>
    <w:rsid w:val="00D73F0A"/>
    <w:rsid w:val="00D73F55"/>
    <w:rsid w:val="00D73F61"/>
    <w:rsid w:val="00D73F7D"/>
    <w:rsid w:val="00D74019"/>
    <w:rsid w:val="00D74040"/>
    <w:rsid w:val="00D74073"/>
    <w:rsid w:val="00D74108"/>
    <w:rsid w:val="00D741CE"/>
    <w:rsid w:val="00D7428B"/>
    <w:rsid w:val="00D743B1"/>
    <w:rsid w:val="00D743CA"/>
    <w:rsid w:val="00D744D7"/>
    <w:rsid w:val="00D7453F"/>
    <w:rsid w:val="00D74553"/>
    <w:rsid w:val="00D7460D"/>
    <w:rsid w:val="00D747B6"/>
    <w:rsid w:val="00D747D7"/>
    <w:rsid w:val="00D747E5"/>
    <w:rsid w:val="00D74834"/>
    <w:rsid w:val="00D748BC"/>
    <w:rsid w:val="00D748EC"/>
    <w:rsid w:val="00D74903"/>
    <w:rsid w:val="00D74924"/>
    <w:rsid w:val="00D749F5"/>
    <w:rsid w:val="00D74B20"/>
    <w:rsid w:val="00D74BE6"/>
    <w:rsid w:val="00D74C89"/>
    <w:rsid w:val="00D74CEA"/>
    <w:rsid w:val="00D74D13"/>
    <w:rsid w:val="00D74D2C"/>
    <w:rsid w:val="00D74D55"/>
    <w:rsid w:val="00D74DDA"/>
    <w:rsid w:val="00D74E64"/>
    <w:rsid w:val="00D74ECA"/>
    <w:rsid w:val="00D74F0A"/>
    <w:rsid w:val="00D74F91"/>
    <w:rsid w:val="00D750BF"/>
    <w:rsid w:val="00D750C3"/>
    <w:rsid w:val="00D750FC"/>
    <w:rsid w:val="00D75186"/>
    <w:rsid w:val="00D7519B"/>
    <w:rsid w:val="00D751BB"/>
    <w:rsid w:val="00D75243"/>
    <w:rsid w:val="00D75250"/>
    <w:rsid w:val="00D752EF"/>
    <w:rsid w:val="00D75325"/>
    <w:rsid w:val="00D75331"/>
    <w:rsid w:val="00D75455"/>
    <w:rsid w:val="00D7545A"/>
    <w:rsid w:val="00D754BA"/>
    <w:rsid w:val="00D754F8"/>
    <w:rsid w:val="00D7550D"/>
    <w:rsid w:val="00D755D3"/>
    <w:rsid w:val="00D75684"/>
    <w:rsid w:val="00D756E4"/>
    <w:rsid w:val="00D756FC"/>
    <w:rsid w:val="00D75702"/>
    <w:rsid w:val="00D75731"/>
    <w:rsid w:val="00D75759"/>
    <w:rsid w:val="00D75867"/>
    <w:rsid w:val="00D7598A"/>
    <w:rsid w:val="00D759B2"/>
    <w:rsid w:val="00D759F7"/>
    <w:rsid w:val="00D759FF"/>
    <w:rsid w:val="00D75AFD"/>
    <w:rsid w:val="00D75B09"/>
    <w:rsid w:val="00D75B21"/>
    <w:rsid w:val="00D75C75"/>
    <w:rsid w:val="00D75CF1"/>
    <w:rsid w:val="00D75D8D"/>
    <w:rsid w:val="00D75E3F"/>
    <w:rsid w:val="00D75FAF"/>
    <w:rsid w:val="00D75FD2"/>
    <w:rsid w:val="00D76056"/>
    <w:rsid w:val="00D760EC"/>
    <w:rsid w:val="00D760F8"/>
    <w:rsid w:val="00D76118"/>
    <w:rsid w:val="00D76122"/>
    <w:rsid w:val="00D76138"/>
    <w:rsid w:val="00D76208"/>
    <w:rsid w:val="00D7622B"/>
    <w:rsid w:val="00D7636F"/>
    <w:rsid w:val="00D76382"/>
    <w:rsid w:val="00D7639B"/>
    <w:rsid w:val="00D763EC"/>
    <w:rsid w:val="00D76433"/>
    <w:rsid w:val="00D7649E"/>
    <w:rsid w:val="00D764DB"/>
    <w:rsid w:val="00D7652C"/>
    <w:rsid w:val="00D765F6"/>
    <w:rsid w:val="00D766A6"/>
    <w:rsid w:val="00D76758"/>
    <w:rsid w:val="00D767BF"/>
    <w:rsid w:val="00D7680D"/>
    <w:rsid w:val="00D768E2"/>
    <w:rsid w:val="00D7693F"/>
    <w:rsid w:val="00D76999"/>
    <w:rsid w:val="00D76A44"/>
    <w:rsid w:val="00D76A54"/>
    <w:rsid w:val="00D76A9F"/>
    <w:rsid w:val="00D76B3E"/>
    <w:rsid w:val="00D76B70"/>
    <w:rsid w:val="00D76C37"/>
    <w:rsid w:val="00D76CF4"/>
    <w:rsid w:val="00D76D23"/>
    <w:rsid w:val="00D76E26"/>
    <w:rsid w:val="00D76E93"/>
    <w:rsid w:val="00D76EC4"/>
    <w:rsid w:val="00D7702B"/>
    <w:rsid w:val="00D771B5"/>
    <w:rsid w:val="00D77303"/>
    <w:rsid w:val="00D77362"/>
    <w:rsid w:val="00D7745F"/>
    <w:rsid w:val="00D774F0"/>
    <w:rsid w:val="00D776CD"/>
    <w:rsid w:val="00D77710"/>
    <w:rsid w:val="00D7771A"/>
    <w:rsid w:val="00D7773A"/>
    <w:rsid w:val="00D77741"/>
    <w:rsid w:val="00D777E0"/>
    <w:rsid w:val="00D7789D"/>
    <w:rsid w:val="00D7796A"/>
    <w:rsid w:val="00D779B9"/>
    <w:rsid w:val="00D779D5"/>
    <w:rsid w:val="00D77A34"/>
    <w:rsid w:val="00D77A86"/>
    <w:rsid w:val="00D77A98"/>
    <w:rsid w:val="00D77BE0"/>
    <w:rsid w:val="00D77C8A"/>
    <w:rsid w:val="00D77CF4"/>
    <w:rsid w:val="00D77D22"/>
    <w:rsid w:val="00D77D57"/>
    <w:rsid w:val="00D77DA4"/>
    <w:rsid w:val="00D77DCB"/>
    <w:rsid w:val="00D77DEE"/>
    <w:rsid w:val="00D77F0D"/>
    <w:rsid w:val="00D77F28"/>
    <w:rsid w:val="00D77F61"/>
    <w:rsid w:val="00D77FA8"/>
    <w:rsid w:val="00D77FA9"/>
    <w:rsid w:val="00D7F6E8"/>
    <w:rsid w:val="00D80077"/>
    <w:rsid w:val="00D800AE"/>
    <w:rsid w:val="00D8012D"/>
    <w:rsid w:val="00D80181"/>
    <w:rsid w:val="00D80191"/>
    <w:rsid w:val="00D801D4"/>
    <w:rsid w:val="00D8020C"/>
    <w:rsid w:val="00D80226"/>
    <w:rsid w:val="00D8025E"/>
    <w:rsid w:val="00D8027C"/>
    <w:rsid w:val="00D80401"/>
    <w:rsid w:val="00D8048A"/>
    <w:rsid w:val="00D804C7"/>
    <w:rsid w:val="00D80527"/>
    <w:rsid w:val="00D80532"/>
    <w:rsid w:val="00D8053D"/>
    <w:rsid w:val="00D80612"/>
    <w:rsid w:val="00D80634"/>
    <w:rsid w:val="00D80725"/>
    <w:rsid w:val="00D80747"/>
    <w:rsid w:val="00D80766"/>
    <w:rsid w:val="00D80794"/>
    <w:rsid w:val="00D807AF"/>
    <w:rsid w:val="00D80821"/>
    <w:rsid w:val="00D8087F"/>
    <w:rsid w:val="00D808BA"/>
    <w:rsid w:val="00D808DC"/>
    <w:rsid w:val="00D8091F"/>
    <w:rsid w:val="00D80931"/>
    <w:rsid w:val="00D80976"/>
    <w:rsid w:val="00D80A60"/>
    <w:rsid w:val="00D80A72"/>
    <w:rsid w:val="00D80A80"/>
    <w:rsid w:val="00D80AB7"/>
    <w:rsid w:val="00D80C0D"/>
    <w:rsid w:val="00D80C8A"/>
    <w:rsid w:val="00D80E4E"/>
    <w:rsid w:val="00D80E52"/>
    <w:rsid w:val="00D80E7F"/>
    <w:rsid w:val="00D80EEA"/>
    <w:rsid w:val="00D80F03"/>
    <w:rsid w:val="00D81018"/>
    <w:rsid w:val="00D810D4"/>
    <w:rsid w:val="00D8117D"/>
    <w:rsid w:val="00D81285"/>
    <w:rsid w:val="00D81373"/>
    <w:rsid w:val="00D813A4"/>
    <w:rsid w:val="00D8150A"/>
    <w:rsid w:val="00D81521"/>
    <w:rsid w:val="00D81534"/>
    <w:rsid w:val="00D81541"/>
    <w:rsid w:val="00D815E2"/>
    <w:rsid w:val="00D8163C"/>
    <w:rsid w:val="00D8169B"/>
    <w:rsid w:val="00D81758"/>
    <w:rsid w:val="00D8179D"/>
    <w:rsid w:val="00D817CD"/>
    <w:rsid w:val="00D81818"/>
    <w:rsid w:val="00D818D9"/>
    <w:rsid w:val="00D818E8"/>
    <w:rsid w:val="00D81952"/>
    <w:rsid w:val="00D81961"/>
    <w:rsid w:val="00D81A6E"/>
    <w:rsid w:val="00D81A7A"/>
    <w:rsid w:val="00D81BF6"/>
    <w:rsid w:val="00D81C84"/>
    <w:rsid w:val="00D81CC4"/>
    <w:rsid w:val="00D81EEA"/>
    <w:rsid w:val="00D82027"/>
    <w:rsid w:val="00D8206A"/>
    <w:rsid w:val="00D820D4"/>
    <w:rsid w:val="00D82159"/>
    <w:rsid w:val="00D821B4"/>
    <w:rsid w:val="00D822C9"/>
    <w:rsid w:val="00D8233B"/>
    <w:rsid w:val="00D823A5"/>
    <w:rsid w:val="00D823AF"/>
    <w:rsid w:val="00D82425"/>
    <w:rsid w:val="00D82434"/>
    <w:rsid w:val="00D824BF"/>
    <w:rsid w:val="00D82511"/>
    <w:rsid w:val="00D82523"/>
    <w:rsid w:val="00D8252C"/>
    <w:rsid w:val="00D825F0"/>
    <w:rsid w:val="00D82672"/>
    <w:rsid w:val="00D826A5"/>
    <w:rsid w:val="00D826C4"/>
    <w:rsid w:val="00D8287C"/>
    <w:rsid w:val="00D828D2"/>
    <w:rsid w:val="00D828DE"/>
    <w:rsid w:val="00D8293B"/>
    <w:rsid w:val="00D82A5A"/>
    <w:rsid w:val="00D82AA9"/>
    <w:rsid w:val="00D82AD4"/>
    <w:rsid w:val="00D82C0E"/>
    <w:rsid w:val="00D82C3F"/>
    <w:rsid w:val="00D82D2B"/>
    <w:rsid w:val="00D82D5B"/>
    <w:rsid w:val="00D82E48"/>
    <w:rsid w:val="00D82E99"/>
    <w:rsid w:val="00D82EA3"/>
    <w:rsid w:val="00D82F22"/>
    <w:rsid w:val="00D82F84"/>
    <w:rsid w:val="00D82F8E"/>
    <w:rsid w:val="00D82FDF"/>
    <w:rsid w:val="00D83000"/>
    <w:rsid w:val="00D8302A"/>
    <w:rsid w:val="00D830D0"/>
    <w:rsid w:val="00D830E3"/>
    <w:rsid w:val="00D83125"/>
    <w:rsid w:val="00D83171"/>
    <w:rsid w:val="00D8322F"/>
    <w:rsid w:val="00D83241"/>
    <w:rsid w:val="00D83372"/>
    <w:rsid w:val="00D83438"/>
    <w:rsid w:val="00D83446"/>
    <w:rsid w:val="00D834C5"/>
    <w:rsid w:val="00D8357F"/>
    <w:rsid w:val="00D8364D"/>
    <w:rsid w:val="00D83664"/>
    <w:rsid w:val="00D8368A"/>
    <w:rsid w:val="00D836AA"/>
    <w:rsid w:val="00D836C4"/>
    <w:rsid w:val="00D836F6"/>
    <w:rsid w:val="00D83707"/>
    <w:rsid w:val="00D8370A"/>
    <w:rsid w:val="00D83736"/>
    <w:rsid w:val="00D83776"/>
    <w:rsid w:val="00D837C0"/>
    <w:rsid w:val="00D837C1"/>
    <w:rsid w:val="00D837E8"/>
    <w:rsid w:val="00D83858"/>
    <w:rsid w:val="00D83859"/>
    <w:rsid w:val="00D8398E"/>
    <w:rsid w:val="00D83A43"/>
    <w:rsid w:val="00D83A46"/>
    <w:rsid w:val="00D83A47"/>
    <w:rsid w:val="00D83A79"/>
    <w:rsid w:val="00D83BC1"/>
    <w:rsid w:val="00D83BCC"/>
    <w:rsid w:val="00D83D1E"/>
    <w:rsid w:val="00D83F13"/>
    <w:rsid w:val="00D83FEB"/>
    <w:rsid w:val="00D84011"/>
    <w:rsid w:val="00D8408B"/>
    <w:rsid w:val="00D8409E"/>
    <w:rsid w:val="00D840C8"/>
    <w:rsid w:val="00D84105"/>
    <w:rsid w:val="00D8435E"/>
    <w:rsid w:val="00D8442B"/>
    <w:rsid w:val="00D84595"/>
    <w:rsid w:val="00D845B7"/>
    <w:rsid w:val="00D845C0"/>
    <w:rsid w:val="00D845D6"/>
    <w:rsid w:val="00D8469D"/>
    <w:rsid w:val="00D846A5"/>
    <w:rsid w:val="00D84753"/>
    <w:rsid w:val="00D847C8"/>
    <w:rsid w:val="00D847E3"/>
    <w:rsid w:val="00D847F3"/>
    <w:rsid w:val="00D848C8"/>
    <w:rsid w:val="00D84957"/>
    <w:rsid w:val="00D849D0"/>
    <w:rsid w:val="00D84A4C"/>
    <w:rsid w:val="00D84A8B"/>
    <w:rsid w:val="00D84B23"/>
    <w:rsid w:val="00D84C37"/>
    <w:rsid w:val="00D84C7C"/>
    <w:rsid w:val="00D84C88"/>
    <w:rsid w:val="00D84D65"/>
    <w:rsid w:val="00D84D84"/>
    <w:rsid w:val="00D84DEB"/>
    <w:rsid w:val="00D84E52"/>
    <w:rsid w:val="00D84F58"/>
    <w:rsid w:val="00D84F6C"/>
    <w:rsid w:val="00D84FD6"/>
    <w:rsid w:val="00D84FEA"/>
    <w:rsid w:val="00D84FEB"/>
    <w:rsid w:val="00D84FEF"/>
    <w:rsid w:val="00D85083"/>
    <w:rsid w:val="00D850C9"/>
    <w:rsid w:val="00D851AB"/>
    <w:rsid w:val="00D851DE"/>
    <w:rsid w:val="00D85203"/>
    <w:rsid w:val="00D852C8"/>
    <w:rsid w:val="00D85303"/>
    <w:rsid w:val="00D85337"/>
    <w:rsid w:val="00D85343"/>
    <w:rsid w:val="00D853F9"/>
    <w:rsid w:val="00D8542A"/>
    <w:rsid w:val="00D8556F"/>
    <w:rsid w:val="00D85607"/>
    <w:rsid w:val="00D8562D"/>
    <w:rsid w:val="00D8567A"/>
    <w:rsid w:val="00D8568F"/>
    <w:rsid w:val="00D856B3"/>
    <w:rsid w:val="00D85764"/>
    <w:rsid w:val="00D857E3"/>
    <w:rsid w:val="00D8581A"/>
    <w:rsid w:val="00D8585F"/>
    <w:rsid w:val="00D8586B"/>
    <w:rsid w:val="00D8588F"/>
    <w:rsid w:val="00D85895"/>
    <w:rsid w:val="00D85916"/>
    <w:rsid w:val="00D85918"/>
    <w:rsid w:val="00D859A0"/>
    <w:rsid w:val="00D85B7E"/>
    <w:rsid w:val="00D85C04"/>
    <w:rsid w:val="00D85C41"/>
    <w:rsid w:val="00D85CB9"/>
    <w:rsid w:val="00D85CE5"/>
    <w:rsid w:val="00D85CEE"/>
    <w:rsid w:val="00D85D5B"/>
    <w:rsid w:val="00D85D5F"/>
    <w:rsid w:val="00D85E68"/>
    <w:rsid w:val="00D85F37"/>
    <w:rsid w:val="00D85F70"/>
    <w:rsid w:val="00D85F92"/>
    <w:rsid w:val="00D86027"/>
    <w:rsid w:val="00D860B1"/>
    <w:rsid w:val="00D86286"/>
    <w:rsid w:val="00D862BC"/>
    <w:rsid w:val="00D863A9"/>
    <w:rsid w:val="00D86460"/>
    <w:rsid w:val="00D864AB"/>
    <w:rsid w:val="00D86588"/>
    <w:rsid w:val="00D8665D"/>
    <w:rsid w:val="00D8677A"/>
    <w:rsid w:val="00D8678B"/>
    <w:rsid w:val="00D8683E"/>
    <w:rsid w:val="00D86852"/>
    <w:rsid w:val="00D86862"/>
    <w:rsid w:val="00D86959"/>
    <w:rsid w:val="00D869C1"/>
    <w:rsid w:val="00D86A6D"/>
    <w:rsid w:val="00D86AB0"/>
    <w:rsid w:val="00D86AFC"/>
    <w:rsid w:val="00D86B00"/>
    <w:rsid w:val="00D86B80"/>
    <w:rsid w:val="00D86BCA"/>
    <w:rsid w:val="00D86C1B"/>
    <w:rsid w:val="00D86CD3"/>
    <w:rsid w:val="00D86D0A"/>
    <w:rsid w:val="00D86D81"/>
    <w:rsid w:val="00D86D8B"/>
    <w:rsid w:val="00D86E26"/>
    <w:rsid w:val="00D86E31"/>
    <w:rsid w:val="00D86F47"/>
    <w:rsid w:val="00D86FCE"/>
    <w:rsid w:val="00D86FEC"/>
    <w:rsid w:val="00D86FF1"/>
    <w:rsid w:val="00D87096"/>
    <w:rsid w:val="00D870FC"/>
    <w:rsid w:val="00D87230"/>
    <w:rsid w:val="00D87234"/>
    <w:rsid w:val="00D8746D"/>
    <w:rsid w:val="00D8748D"/>
    <w:rsid w:val="00D874B6"/>
    <w:rsid w:val="00D874BE"/>
    <w:rsid w:val="00D874DE"/>
    <w:rsid w:val="00D875A4"/>
    <w:rsid w:val="00D875BC"/>
    <w:rsid w:val="00D87694"/>
    <w:rsid w:val="00D876F5"/>
    <w:rsid w:val="00D877D8"/>
    <w:rsid w:val="00D87889"/>
    <w:rsid w:val="00D87902"/>
    <w:rsid w:val="00D87904"/>
    <w:rsid w:val="00D8796F"/>
    <w:rsid w:val="00D87A28"/>
    <w:rsid w:val="00D87A83"/>
    <w:rsid w:val="00D87A9F"/>
    <w:rsid w:val="00D87B00"/>
    <w:rsid w:val="00D87BBE"/>
    <w:rsid w:val="00D87C0E"/>
    <w:rsid w:val="00D87C15"/>
    <w:rsid w:val="00D87CFD"/>
    <w:rsid w:val="00D87D15"/>
    <w:rsid w:val="00D87D4C"/>
    <w:rsid w:val="00D87D7D"/>
    <w:rsid w:val="00D87EBB"/>
    <w:rsid w:val="00D87EFB"/>
    <w:rsid w:val="00D87F1F"/>
    <w:rsid w:val="00D87FA7"/>
    <w:rsid w:val="00D900AE"/>
    <w:rsid w:val="00D90101"/>
    <w:rsid w:val="00D90136"/>
    <w:rsid w:val="00D9018A"/>
    <w:rsid w:val="00D90287"/>
    <w:rsid w:val="00D9029D"/>
    <w:rsid w:val="00D902CF"/>
    <w:rsid w:val="00D90301"/>
    <w:rsid w:val="00D90305"/>
    <w:rsid w:val="00D9035F"/>
    <w:rsid w:val="00D903D3"/>
    <w:rsid w:val="00D903E1"/>
    <w:rsid w:val="00D9041A"/>
    <w:rsid w:val="00D9041F"/>
    <w:rsid w:val="00D9044B"/>
    <w:rsid w:val="00D90670"/>
    <w:rsid w:val="00D9067A"/>
    <w:rsid w:val="00D907AD"/>
    <w:rsid w:val="00D907FA"/>
    <w:rsid w:val="00D908A9"/>
    <w:rsid w:val="00D90A27"/>
    <w:rsid w:val="00D90A77"/>
    <w:rsid w:val="00D90A80"/>
    <w:rsid w:val="00D90AE6"/>
    <w:rsid w:val="00D90B6C"/>
    <w:rsid w:val="00D90B9D"/>
    <w:rsid w:val="00D90BA2"/>
    <w:rsid w:val="00D90C68"/>
    <w:rsid w:val="00D90CB1"/>
    <w:rsid w:val="00D90CE5"/>
    <w:rsid w:val="00D90DF4"/>
    <w:rsid w:val="00D90E0B"/>
    <w:rsid w:val="00D90E45"/>
    <w:rsid w:val="00D90EFA"/>
    <w:rsid w:val="00D90F11"/>
    <w:rsid w:val="00D90F22"/>
    <w:rsid w:val="00D90FE9"/>
    <w:rsid w:val="00D90FF5"/>
    <w:rsid w:val="00D91029"/>
    <w:rsid w:val="00D9102D"/>
    <w:rsid w:val="00D91185"/>
    <w:rsid w:val="00D911A4"/>
    <w:rsid w:val="00D911C4"/>
    <w:rsid w:val="00D91219"/>
    <w:rsid w:val="00D9121C"/>
    <w:rsid w:val="00D91241"/>
    <w:rsid w:val="00D912DB"/>
    <w:rsid w:val="00D91328"/>
    <w:rsid w:val="00D913F8"/>
    <w:rsid w:val="00D91454"/>
    <w:rsid w:val="00D9147E"/>
    <w:rsid w:val="00D91592"/>
    <w:rsid w:val="00D915BF"/>
    <w:rsid w:val="00D9164F"/>
    <w:rsid w:val="00D9171E"/>
    <w:rsid w:val="00D91802"/>
    <w:rsid w:val="00D918EF"/>
    <w:rsid w:val="00D91919"/>
    <w:rsid w:val="00D91923"/>
    <w:rsid w:val="00D91A3B"/>
    <w:rsid w:val="00D91BAF"/>
    <w:rsid w:val="00D91BE5"/>
    <w:rsid w:val="00D91C17"/>
    <w:rsid w:val="00D91C19"/>
    <w:rsid w:val="00D91D10"/>
    <w:rsid w:val="00D91D1D"/>
    <w:rsid w:val="00D91DA2"/>
    <w:rsid w:val="00D91DB7"/>
    <w:rsid w:val="00D91E1F"/>
    <w:rsid w:val="00D91E41"/>
    <w:rsid w:val="00D91E95"/>
    <w:rsid w:val="00D91EF1"/>
    <w:rsid w:val="00D91F36"/>
    <w:rsid w:val="00D91FF2"/>
    <w:rsid w:val="00D9202D"/>
    <w:rsid w:val="00D92167"/>
    <w:rsid w:val="00D9218E"/>
    <w:rsid w:val="00D921A3"/>
    <w:rsid w:val="00D9225B"/>
    <w:rsid w:val="00D92315"/>
    <w:rsid w:val="00D9234D"/>
    <w:rsid w:val="00D9234F"/>
    <w:rsid w:val="00D9237A"/>
    <w:rsid w:val="00D92389"/>
    <w:rsid w:val="00D92468"/>
    <w:rsid w:val="00D9257C"/>
    <w:rsid w:val="00D92584"/>
    <w:rsid w:val="00D925A5"/>
    <w:rsid w:val="00D9262E"/>
    <w:rsid w:val="00D9269A"/>
    <w:rsid w:val="00D926B8"/>
    <w:rsid w:val="00D926CE"/>
    <w:rsid w:val="00D92713"/>
    <w:rsid w:val="00D92866"/>
    <w:rsid w:val="00D9295A"/>
    <w:rsid w:val="00D929C9"/>
    <w:rsid w:val="00D929D5"/>
    <w:rsid w:val="00D929E8"/>
    <w:rsid w:val="00D92ACE"/>
    <w:rsid w:val="00D92B17"/>
    <w:rsid w:val="00D92C67"/>
    <w:rsid w:val="00D92D15"/>
    <w:rsid w:val="00D92D64"/>
    <w:rsid w:val="00D92D7B"/>
    <w:rsid w:val="00D92DA4"/>
    <w:rsid w:val="00D92E15"/>
    <w:rsid w:val="00D92E88"/>
    <w:rsid w:val="00D92EFE"/>
    <w:rsid w:val="00D92F51"/>
    <w:rsid w:val="00D92F79"/>
    <w:rsid w:val="00D92F7B"/>
    <w:rsid w:val="00D92FD9"/>
    <w:rsid w:val="00D9308E"/>
    <w:rsid w:val="00D9309F"/>
    <w:rsid w:val="00D93113"/>
    <w:rsid w:val="00D93154"/>
    <w:rsid w:val="00D93190"/>
    <w:rsid w:val="00D93199"/>
    <w:rsid w:val="00D931A2"/>
    <w:rsid w:val="00D931C4"/>
    <w:rsid w:val="00D932CB"/>
    <w:rsid w:val="00D93372"/>
    <w:rsid w:val="00D93444"/>
    <w:rsid w:val="00D93450"/>
    <w:rsid w:val="00D934AD"/>
    <w:rsid w:val="00D934B9"/>
    <w:rsid w:val="00D934EC"/>
    <w:rsid w:val="00D93683"/>
    <w:rsid w:val="00D93778"/>
    <w:rsid w:val="00D93787"/>
    <w:rsid w:val="00D937DA"/>
    <w:rsid w:val="00D93887"/>
    <w:rsid w:val="00D93891"/>
    <w:rsid w:val="00D93974"/>
    <w:rsid w:val="00D93A56"/>
    <w:rsid w:val="00D93A5E"/>
    <w:rsid w:val="00D93A87"/>
    <w:rsid w:val="00D93AB8"/>
    <w:rsid w:val="00D93C4C"/>
    <w:rsid w:val="00D93CB2"/>
    <w:rsid w:val="00D93CCB"/>
    <w:rsid w:val="00D93D69"/>
    <w:rsid w:val="00D93D80"/>
    <w:rsid w:val="00D93E10"/>
    <w:rsid w:val="00D93E56"/>
    <w:rsid w:val="00D93E85"/>
    <w:rsid w:val="00D93EC1"/>
    <w:rsid w:val="00D93F3A"/>
    <w:rsid w:val="00D93F82"/>
    <w:rsid w:val="00D9404D"/>
    <w:rsid w:val="00D9409E"/>
    <w:rsid w:val="00D940FF"/>
    <w:rsid w:val="00D94102"/>
    <w:rsid w:val="00D94229"/>
    <w:rsid w:val="00D94253"/>
    <w:rsid w:val="00D94264"/>
    <w:rsid w:val="00D942D9"/>
    <w:rsid w:val="00D94330"/>
    <w:rsid w:val="00D94343"/>
    <w:rsid w:val="00D94353"/>
    <w:rsid w:val="00D94538"/>
    <w:rsid w:val="00D94567"/>
    <w:rsid w:val="00D94662"/>
    <w:rsid w:val="00D946BF"/>
    <w:rsid w:val="00D94779"/>
    <w:rsid w:val="00D94799"/>
    <w:rsid w:val="00D947D8"/>
    <w:rsid w:val="00D947D9"/>
    <w:rsid w:val="00D94839"/>
    <w:rsid w:val="00D948BF"/>
    <w:rsid w:val="00D9491E"/>
    <w:rsid w:val="00D94AC6"/>
    <w:rsid w:val="00D94AFE"/>
    <w:rsid w:val="00D94B0D"/>
    <w:rsid w:val="00D94B3F"/>
    <w:rsid w:val="00D94BB8"/>
    <w:rsid w:val="00D94C39"/>
    <w:rsid w:val="00D94CE1"/>
    <w:rsid w:val="00D94D59"/>
    <w:rsid w:val="00D94D8A"/>
    <w:rsid w:val="00D94DDC"/>
    <w:rsid w:val="00D94F8C"/>
    <w:rsid w:val="00D94FE3"/>
    <w:rsid w:val="00D9508F"/>
    <w:rsid w:val="00D950F8"/>
    <w:rsid w:val="00D9511D"/>
    <w:rsid w:val="00D951DE"/>
    <w:rsid w:val="00D9527E"/>
    <w:rsid w:val="00D952C0"/>
    <w:rsid w:val="00D953E4"/>
    <w:rsid w:val="00D953FB"/>
    <w:rsid w:val="00D95510"/>
    <w:rsid w:val="00D95574"/>
    <w:rsid w:val="00D9557A"/>
    <w:rsid w:val="00D9569F"/>
    <w:rsid w:val="00D9572D"/>
    <w:rsid w:val="00D9579E"/>
    <w:rsid w:val="00D957D8"/>
    <w:rsid w:val="00D95855"/>
    <w:rsid w:val="00D958CE"/>
    <w:rsid w:val="00D958D3"/>
    <w:rsid w:val="00D95993"/>
    <w:rsid w:val="00D959B7"/>
    <w:rsid w:val="00D95A7F"/>
    <w:rsid w:val="00D95B13"/>
    <w:rsid w:val="00D95BD3"/>
    <w:rsid w:val="00D95CF3"/>
    <w:rsid w:val="00D95D62"/>
    <w:rsid w:val="00D95DAF"/>
    <w:rsid w:val="00D95DB2"/>
    <w:rsid w:val="00D95E1A"/>
    <w:rsid w:val="00D95E6E"/>
    <w:rsid w:val="00D95E82"/>
    <w:rsid w:val="00D95E85"/>
    <w:rsid w:val="00D95EE0"/>
    <w:rsid w:val="00D95FFA"/>
    <w:rsid w:val="00D95FFC"/>
    <w:rsid w:val="00D9608E"/>
    <w:rsid w:val="00D960F7"/>
    <w:rsid w:val="00D9628D"/>
    <w:rsid w:val="00D962CC"/>
    <w:rsid w:val="00D96311"/>
    <w:rsid w:val="00D96347"/>
    <w:rsid w:val="00D964E6"/>
    <w:rsid w:val="00D96557"/>
    <w:rsid w:val="00D96590"/>
    <w:rsid w:val="00D965E9"/>
    <w:rsid w:val="00D9665D"/>
    <w:rsid w:val="00D96746"/>
    <w:rsid w:val="00D967C6"/>
    <w:rsid w:val="00D9685E"/>
    <w:rsid w:val="00D96877"/>
    <w:rsid w:val="00D9695A"/>
    <w:rsid w:val="00D96A26"/>
    <w:rsid w:val="00D96AF5"/>
    <w:rsid w:val="00D96B1B"/>
    <w:rsid w:val="00D96B25"/>
    <w:rsid w:val="00D96B81"/>
    <w:rsid w:val="00D96B85"/>
    <w:rsid w:val="00D96B86"/>
    <w:rsid w:val="00D96BF6"/>
    <w:rsid w:val="00D96C37"/>
    <w:rsid w:val="00D96D28"/>
    <w:rsid w:val="00D96D4F"/>
    <w:rsid w:val="00D96D6B"/>
    <w:rsid w:val="00D96D71"/>
    <w:rsid w:val="00D96D74"/>
    <w:rsid w:val="00D96E53"/>
    <w:rsid w:val="00D96E64"/>
    <w:rsid w:val="00D96ED3"/>
    <w:rsid w:val="00D96F48"/>
    <w:rsid w:val="00D96F95"/>
    <w:rsid w:val="00D96FB8"/>
    <w:rsid w:val="00D97011"/>
    <w:rsid w:val="00D9702C"/>
    <w:rsid w:val="00D97060"/>
    <w:rsid w:val="00D9713E"/>
    <w:rsid w:val="00D97160"/>
    <w:rsid w:val="00D97265"/>
    <w:rsid w:val="00D972A7"/>
    <w:rsid w:val="00D972AD"/>
    <w:rsid w:val="00D972E7"/>
    <w:rsid w:val="00D97452"/>
    <w:rsid w:val="00D97522"/>
    <w:rsid w:val="00D97678"/>
    <w:rsid w:val="00D97684"/>
    <w:rsid w:val="00D976C1"/>
    <w:rsid w:val="00D9770D"/>
    <w:rsid w:val="00D9772B"/>
    <w:rsid w:val="00D9773D"/>
    <w:rsid w:val="00D97758"/>
    <w:rsid w:val="00D978B4"/>
    <w:rsid w:val="00D978E4"/>
    <w:rsid w:val="00D97905"/>
    <w:rsid w:val="00D97968"/>
    <w:rsid w:val="00D9798C"/>
    <w:rsid w:val="00D97A20"/>
    <w:rsid w:val="00D97AE7"/>
    <w:rsid w:val="00D97BE5"/>
    <w:rsid w:val="00D97D1C"/>
    <w:rsid w:val="00D97D9D"/>
    <w:rsid w:val="00D97E6C"/>
    <w:rsid w:val="00D97E7D"/>
    <w:rsid w:val="00D97EA2"/>
    <w:rsid w:val="00D97F61"/>
    <w:rsid w:val="00DA0011"/>
    <w:rsid w:val="00DA0151"/>
    <w:rsid w:val="00DA01DD"/>
    <w:rsid w:val="00DA02BB"/>
    <w:rsid w:val="00DA03D0"/>
    <w:rsid w:val="00DA0453"/>
    <w:rsid w:val="00DA056F"/>
    <w:rsid w:val="00DA0573"/>
    <w:rsid w:val="00DA05BF"/>
    <w:rsid w:val="00DA0845"/>
    <w:rsid w:val="00DA086F"/>
    <w:rsid w:val="00DA08B9"/>
    <w:rsid w:val="00DA08EE"/>
    <w:rsid w:val="00DA08F1"/>
    <w:rsid w:val="00DA08FB"/>
    <w:rsid w:val="00DA094E"/>
    <w:rsid w:val="00DA0958"/>
    <w:rsid w:val="00DA09DF"/>
    <w:rsid w:val="00DA0A23"/>
    <w:rsid w:val="00DA0A7B"/>
    <w:rsid w:val="00DA0A7F"/>
    <w:rsid w:val="00DA0A90"/>
    <w:rsid w:val="00DA0A9E"/>
    <w:rsid w:val="00DA0BE3"/>
    <w:rsid w:val="00DA0C67"/>
    <w:rsid w:val="00DA0CC3"/>
    <w:rsid w:val="00DA0D18"/>
    <w:rsid w:val="00DA0D5F"/>
    <w:rsid w:val="00DA0DDD"/>
    <w:rsid w:val="00DA0E16"/>
    <w:rsid w:val="00DA0E4F"/>
    <w:rsid w:val="00DA0E80"/>
    <w:rsid w:val="00DA0ECD"/>
    <w:rsid w:val="00DA0EE5"/>
    <w:rsid w:val="00DA0EFA"/>
    <w:rsid w:val="00DA0F0D"/>
    <w:rsid w:val="00DA0F2D"/>
    <w:rsid w:val="00DA0F84"/>
    <w:rsid w:val="00DA0FB1"/>
    <w:rsid w:val="00DA1077"/>
    <w:rsid w:val="00DA1190"/>
    <w:rsid w:val="00DA119E"/>
    <w:rsid w:val="00DA11B2"/>
    <w:rsid w:val="00DA13DB"/>
    <w:rsid w:val="00DA1497"/>
    <w:rsid w:val="00DA14F4"/>
    <w:rsid w:val="00DA1585"/>
    <w:rsid w:val="00DA1613"/>
    <w:rsid w:val="00DA1662"/>
    <w:rsid w:val="00DA1747"/>
    <w:rsid w:val="00DA1793"/>
    <w:rsid w:val="00DA179B"/>
    <w:rsid w:val="00DA1827"/>
    <w:rsid w:val="00DA182B"/>
    <w:rsid w:val="00DA186F"/>
    <w:rsid w:val="00DA188F"/>
    <w:rsid w:val="00DA18C2"/>
    <w:rsid w:val="00DA1921"/>
    <w:rsid w:val="00DA1923"/>
    <w:rsid w:val="00DA192D"/>
    <w:rsid w:val="00DA1968"/>
    <w:rsid w:val="00DA19AB"/>
    <w:rsid w:val="00DA19D8"/>
    <w:rsid w:val="00DA19FD"/>
    <w:rsid w:val="00DA1AE3"/>
    <w:rsid w:val="00DA1AFC"/>
    <w:rsid w:val="00DA1B14"/>
    <w:rsid w:val="00DA1B1F"/>
    <w:rsid w:val="00DA1BBA"/>
    <w:rsid w:val="00DA1BF6"/>
    <w:rsid w:val="00DA1C04"/>
    <w:rsid w:val="00DA1D33"/>
    <w:rsid w:val="00DA1ED5"/>
    <w:rsid w:val="00DA204C"/>
    <w:rsid w:val="00DA2093"/>
    <w:rsid w:val="00DA216B"/>
    <w:rsid w:val="00DA2199"/>
    <w:rsid w:val="00DA21B6"/>
    <w:rsid w:val="00DA21DE"/>
    <w:rsid w:val="00DA2279"/>
    <w:rsid w:val="00DA2321"/>
    <w:rsid w:val="00DA23E7"/>
    <w:rsid w:val="00DA23F9"/>
    <w:rsid w:val="00DA24FE"/>
    <w:rsid w:val="00DA2594"/>
    <w:rsid w:val="00DA25A0"/>
    <w:rsid w:val="00DA25E8"/>
    <w:rsid w:val="00DA2644"/>
    <w:rsid w:val="00DA2683"/>
    <w:rsid w:val="00DA27EB"/>
    <w:rsid w:val="00DA28DE"/>
    <w:rsid w:val="00DA28ED"/>
    <w:rsid w:val="00DA290C"/>
    <w:rsid w:val="00DA292A"/>
    <w:rsid w:val="00DA2954"/>
    <w:rsid w:val="00DA299A"/>
    <w:rsid w:val="00DA299C"/>
    <w:rsid w:val="00DA2A20"/>
    <w:rsid w:val="00DA2ACF"/>
    <w:rsid w:val="00DA2B7A"/>
    <w:rsid w:val="00DA2BD1"/>
    <w:rsid w:val="00DA2C95"/>
    <w:rsid w:val="00DA2D55"/>
    <w:rsid w:val="00DA2E07"/>
    <w:rsid w:val="00DA2E7E"/>
    <w:rsid w:val="00DA2E9E"/>
    <w:rsid w:val="00DA2EB1"/>
    <w:rsid w:val="00DA2F2B"/>
    <w:rsid w:val="00DA2FC8"/>
    <w:rsid w:val="00DA3012"/>
    <w:rsid w:val="00DA308C"/>
    <w:rsid w:val="00DA30A8"/>
    <w:rsid w:val="00DA30A9"/>
    <w:rsid w:val="00DA3100"/>
    <w:rsid w:val="00DA3104"/>
    <w:rsid w:val="00DA3120"/>
    <w:rsid w:val="00DA31A5"/>
    <w:rsid w:val="00DA3213"/>
    <w:rsid w:val="00DA32BE"/>
    <w:rsid w:val="00DA32D4"/>
    <w:rsid w:val="00DA32EB"/>
    <w:rsid w:val="00DA3323"/>
    <w:rsid w:val="00DA33FA"/>
    <w:rsid w:val="00DA3405"/>
    <w:rsid w:val="00DA350C"/>
    <w:rsid w:val="00DA3555"/>
    <w:rsid w:val="00DA35FF"/>
    <w:rsid w:val="00DA3614"/>
    <w:rsid w:val="00DA3659"/>
    <w:rsid w:val="00DA3665"/>
    <w:rsid w:val="00DA36B7"/>
    <w:rsid w:val="00DA3750"/>
    <w:rsid w:val="00DA3781"/>
    <w:rsid w:val="00DA399E"/>
    <w:rsid w:val="00DA39C9"/>
    <w:rsid w:val="00DA39F1"/>
    <w:rsid w:val="00DA39FC"/>
    <w:rsid w:val="00DA3A55"/>
    <w:rsid w:val="00DA3AFC"/>
    <w:rsid w:val="00DA3B74"/>
    <w:rsid w:val="00DA3BA5"/>
    <w:rsid w:val="00DA3C1A"/>
    <w:rsid w:val="00DA3C31"/>
    <w:rsid w:val="00DA3D2C"/>
    <w:rsid w:val="00DA3D8A"/>
    <w:rsid w:val="00DA3DA5"/>
    <w:rsid w:val="00DA3E20"/>
    <w:rsid w:val="00DA3FDD"/>
    <w:rsid w:val="00DA3FEF"/>
    <w:rsid w:val="00DA40D7"/>
    <w:rsid w:val="00DA41E0"/>
    <w:rsid w:val="00DA4253"/>
    <w:rsid w:val="00DA4270"/>
    <w:rsid w:val="00DA427D"/>
    <w:rsid w:val="00DA42DC"/>
    <w:rsid w:val="00DA42ED"/>
    <w:rsid w:val="00DA4387"/>
    <w:rsid w:val="00DA43C1"/>
    <w:rsid w:val="00DA4452"/>
    <w:rsid w:val="00DA44C8"/>
    <w:rsid w:val="00DA4510"/>
    <w:rsid w:val="00DA4520"/>
    <w:rsid w:val="00DA4686"/>
    <w:rsid w:val="00DA46EA"/>
    <w:rsid w:val="00DA4763"/>
    <w:rsid w:val="00DA4770"/>
    <w:rsid w:val="00DA47D6"/>
    <w:rsid w:val="00DA483A"/>
    <w:rsid w:val="00DA48AE"/>
    <w:rsid w:val="00DA4A1B"/>
    <w:rsid w:val="00DA4AB1"/>
    <w:rsid w:val="00DA4ABC"/>
    <w:rsid w:val="00DA4B36"/>
    <w:rsid w:val="00DA4B8C"/>
    <w:rsid w:val="00DA4C22"/>
    <w:rsid w:val="00DA4C4B"/>
    <w:rsid w:val="00DA4CA2"/>
    <w:rsid w:val="00DA4CFD"/>
    <w:rsid w:val="00DA4D16"/>
    <w:rsid w:val="00DA4D38"/>
    <w:rsid w:val="00DA4E15"/>
    <w:rsid w:val="00DA4EBA"/>
    <w:rsid w:val="00DA4F2C"/>
    <w:rsid w:val="00DA4FEA"/>
    <w:rsid w:val="00DA50AC"/>
    <w:rsid w:val="00DA5249"/>
    <w:rsid w:val="00DA5288"/>
    <w:rsid w:val="00DA53A0"/>
    <w:rsid w:val="00DA5407"/>
    <w:rsid w:val="00DA5414"/>
    <w:rsid w:val="00DA5418"/>
    <w:rsid w:val="00DA54F5"/>
    <w:rsid w:val="00DA5577"/>
    <w:rsid w:val="00DA5596"/>
    <w:rsid w:val="00DA559C"/>
    <w:rsid w:val="00DA55FA"/>
    <w:rsid w:val="00DA564A"/>
    <w:rsid w:val="00DA56EA"/>
    <w:rsid w:val="00DA582F"/>
    <w:rsid w:val="00DA58AA"/>
    <w:rsid w:val="00DA5904"/>
    <w:rsid w:val="00DA595A"/>
    <w:rsid w:val="00DA59F8"/>
    <w:rsid w:val="00DA59FD"/>
    <w:rsid w:val="00DA5A45"/>
    <w:rsid w:val="00DA5ADF"/>
    <w:rsid w:val="00DA5AE9"/>
    <w:rsid w:val="00DA5B24"/>
    <w:rsid w:val="00DA5B86"/>
    <w:rsid w:val="00DA5BCA"/>
    <w:rsid w:val="00DA5C2F"/>
    <w:rsid w:val="00DA5D16"/>
    <w:rsid w:val="00DA5D28"/>
    <w:rsid w:val="00DA5D2F"/>
    <w:rsid w:val="00DA5D95"/>
    <w:rsid w:val="00DA5E60"/>
    <w:rsid w:val="00DA5EA6"/>
    <w:rsid w:val="00DA5FA3"/>
    <w:rsid w:val="00DA606A"/>
    <w:rsid w:val="00DA608F"/>
    <w:rsid w:val="00DA60CA"/>
    <w:rsid w:val="00DA621D"/>
    <w:rsid w:val="00DA6220"/>
    <w:rsid w:val="00DA6221"/>
    <w:rsid w:val="00DA6241"/>
    <w:rsid w:val="00DA62BD"/>
    <w:rsid w:val="00DA630A"/>
    <w:rsid w:val="00DA6322"/>
    <w:rsid w:val="00DA63D3"/>
    <w:rsid w:val="00DA645D"/>
    <w:rsid w:val="00DA64BC"/>
    <w:rsid w:val="00DA6537"/>
    <w:rsid w:val="00DA65AC"/>
    <w:rsid w:val="00DA65CC"/>
    <w:rsid w:val="00DA65E6"/>
    <w:rsid w:val="00DA6624"/>
    <w:rsid w:val="00DA664B"/>
    <w:rsid w:val="00DA664C"/>
    <w:rsid w:val="00DA6693"/>
    <w:rsid w:val="00DA66DE"/>
    <w:rsid w:val="00DA66FA"/>
    <w:rsid w:val="00DA672A"/>
    <w:rsid w:val="00DA6740"/>
    <w:rsid w:val="00DA67DE"/>
    <w:rsid w:val="00DA6839"/>
    <w:rsid w:val="00DA68AD"/>
    <w:rsid w:val="00DA68D6"/>
    <w:rsid w:val="00DA68D7"/>
    <w:rsid w:val="00DA68D8"/>
    <w:rsid w:val="00DA68F5"/>
    <w:rsid w:val="00DA6A2D"/>
    <w:rsid w:val="00DA6A37"/>
    <w:rsid w:val="00DA6A7E"/>
    <w:rsid w:val="00DA6A81"/>
    <w:rsid w:val="00DA6AEC"/>
    <w:rsid w:val="00DA6B6B"/>
    <w:rsid w:val="00DA6BA9"/>
    <w:rsid w:val="00DA6C4F"/>
    <w:rsid w:val="00DA6C61"/>
    <w:rsid w:val="00DA6C95"/>
    <w:rsid w:val="00DA6CBC"/>
    <w:rsid w:val="00DA6CD7"/>
    <w:rsid w:val="00DA6D84"/>
    <w:rsid w:val="00DA6DB7"/>
    <w:rsid w:val="00DA6E77"/>
    <w:rsid w:val="00DA6FE1"/>
    <w:rsid w:val="00DA7068"/>
    <w:rsid w:val="00DA7130"/>
    <w:rsid w:val="00DA7142"/>
    <w:rsid w:val="00DA71CD"/>
    <w:rsid w:val="00DA720B"/>
    <w:rsid w:val="00DA728F"/>
    <w:rsid w:val="00DA72DB"/>
    <w:rsid w:val="00DA72E3"/>
    <w:rsid w:val="00DA739D"/>
    <w:rsid w:val="00DA74B8"/>
    <w:rsid w:val="00DA7520"/>
    <w:rsid w:val="00DA753D"/>
    <w:rsid w:val="00DA7606"/>
    <w:rsid w:val="00DA76E5"/>
    <w:rsid w:val="00DA777C"/>
    <w:rsid w:val="00DA7883"/>
    <w:rsid w:val="00DA78EB"/>
    <w:rsid w:val="00DA78F4"/>
    <w:rsid w:val="00DA7967"/>
    <w:rsid w:val="00DA796E"/>
    <w:rsid w:val="00DA7983"/>
    <w:rsid w:val="00DA79DE"/>
    <w:rsid w:val="00DA7A31"/>
    <w:rsid w:val="00DA7AB9"/>
    <w:rsid w:val="00DA7ABB"/>
    <w:rsid w:val="00DA7B20"/>
    <w:rsid w:val="00DA7B2B"/>
    <w:rsid w:val="00DA7B3F"/>
    <w:rsid w:val="00DA7BED"/>
    <w:rsid w:val="00DA7D01"/>
    <w:rsid w:val="00DA7D75"/>
    <w:rsid w:val="00DA7DDC"/>
    <w:rsid w:val="00DA7EC1"/>
    <w:rsid w:val="00DA7ED2"/>
    <w:rsid w:val="00DA7EEA"/>
    <w:rsid w:val="00DA7EF1"/>
    <w:rsid w:val="00DA7F06"/>
    <w:rsid w:val="00DA7F35"/>
    <w:rsid w:val="00DA7FB5"/>
    <w:rsid w:val="00DA7FDC"/>
    <w:rsid w:val="00DB00B5"/>
    <w:rsid w:val="00DB0175"/>
    <w:rsid w:val="00DB017E"/>
    <w:rsid w:val="00DB019B"/>
    <w:rsid w:val="00DB02F4"/>
    <w:rsid w:val="00DB0344"/>
    <w:rsid w:val="00DB03EA"/>
    <w:rsid w:val="00DB03F1"/>
    <w:rsid w:val="00DB040E"/>
    <w:rsid w:val="00DB0423"/>
    <w:rsid w:val="00DB04A2"/>
    <w:rsid w:val="00DB04C5"/>
    <w:rsid w:val="00DB0548"/>
    <w:rsid w:val="00DB05B6"/>
    <w:rsid w:val="00DB06BD"/>
    <w:rsid w:val="00DB06BE"/>
    <w:rsid w:val="00DB08B9"/>
    <w:rsid w:val="00DB08E3"/>
    <w:rsid w:val="00DB090A"/>
    <w:rsid w:val="00DB094D"/>
    <w:rsid w:val="00DB09C1"/>
    <w:rsid w:val="00DB09C4"/>
    <w:rsid w:val="00DB0A2E"/>
    <w:rsid w:val="00DB0AC7"/>
    <w:rsid w:val="00DB0B21"/>
    <w:rsid w:val="00DB0B2E"/>
    <w:rsid w:val="00DB0BA7"/>
    <w:rsid w:val="00DB0C06"/>
    <w:rsid w:val="00DB0C86"/>
    <w:rsid w:val="00DB0DE9"/>
    <w:rsid w:val="00DB0DFA"/>
    <w:rsid w:val="00DB0E41"/>
    <w:rsid w:val="00DB0E61"/>
    <w:rsid w:val="00DB0EC3"/>
    <w:rsid w:val="00DB0F41"/>
    <w:rsid w:val="00DB0F6B"/>
    <w:rsid w:val="00DB0FD0"/>
    <w:rsid w:val="00DB103B"/>
    <w:rsid w:val="00DB10A8"/>
    <w:rsid w:val="00DB10B0"/>
    <w:rsid w:val="00DB10CA"/>
    <w:rsid w:val="00DB10F0"/>
    <w:rsid w:val="00DB1315"/>
    <w:rsid w:val="00DB13B6"/>
    <w:rsid w:val="00DB141B"/>
    <w:rsid w:val="00DB1464"/>
    <w:rsid w:val="00DB14CA"/>
    <w:rsid w:val="00DB1514"/>
    <w:rsid w:val="00DB15E6"/>
    <w:rsid w:val="00DB15F0"/>
    <w:rsid w:val="00DB1611"/>
    <w:rsid w:val="00DB16DC"/>
    <w:rsid w:val="00DB16DF"/>
    <w:rsid w:val="00DB16E2"/>
    <w:rsid w:val="00DB170C"/>
    <w:rsid w:val="00DB1737"/>
    <w:rsid w:val="00DB177C"/>
    <w:rsid w:val="00DB1782"/>
    <w:rsid w:val="00DB17E0"/>
    <w:rsid w:val="00DB184A"/>
    <w:rsid w:val="00DB1871"/>
    <w:rsid w:val="00DB18E2"/>
    <w:rsid w:val="00DB193D"/>
    <w:rsid w:val="00DB1975"/>
    <w:rsid w:val="00DB19B0"/>
    <w:rsid w:val="00DB1AC1"/>
    <w:rsid w:val="00DB1B1E"/>
    <w:rsid w:val="00DB1B27"/>
    <w:rsid w:val="00DB1B2A"/>
    <w:rsid w:val="00DB1B2C"/>
    <w:rsid w:val="00DB1BD2"/>
    <w:rsid w:val="00DB1BDB"/>
    <w:rsid w:val="00DB1C8B"/>
    <w:rsid w:val="00DB1C8D"/>
    <w:rsid w:val="00DB1DC7"/>
    <w:rsid w:val="00DB1E98"/>
    <w:rsid w:val="00DB1E9B"/>
    <w:rsid w:val="00DB1F46"/>
    <w:rsid w:val="00DB1F7F"/>
    <w:rsid w:val="00DB2097"/>
    <w:rsid w:val="00DB20D6"/>
    <w:rsid w:val="00DB20EF"/>
    <w:rsid w:val="00DB212F"/>
    <w:rsid w:val="00DB2187"/>
    <w:rsid w:val="00DB2213"/>
    <w:rsid w:val="00DB2262"/>
    <w:rsid w:val="00DB22F2"/>
    <w:rsid w:val="00DB242D"/>
    <w:rsid w:val="00DB24A6"/>
    <w:rsid w:val="00DB24E8"/>
    <w:rsid w:val="00DB25D7"/>
    <w:rsid w:val="00DB2622"/>
    <w:rsid w:val="00DB26F3"/>
    <w:rsid w:val="00DB2758"/>
    <w:rsid w:val="00DB27A4"/>
    <w:rsid w:val="00DB2863"/>
    <w:rsid w:val="00DB289F"/>
    <w:rsid w:val="00DB292C"/>
    <w:rsid w:val="00DB294E"/>
    <w:rsid w:val="00DB29AE"/>
    <w:rsid w:val="00DB29B7"/>
    <w:rsid w:val="00DB2A26"/>
    <w:rsid w:val="00DB2A4E"/>
    <w:rsid w:val="00DB2AA1"/>
    <w:rsid w:val="00DB2AC6"/>
    <w:rsid w:val="00DB2AD5"/>
    <w:rsid w:val="00DB2B18"/>
    <w:rsid w:val="00DB2BAE"/>
    <w:rsid w:val="00DB2BB6"/>
    <w:rsid w:val="00DB2C3A"/>
    <w:rsid w:val="00DB2C5D"/>
    <w:rsid w:val="00DB2CFC"/>
    <w:rsid w:val="00DB2D2B"/>
    <w:rsid w:val="00DB2D3F"/>
    <w:rsid w:val="00DB2D4B"/>
    <w:rsid w:val="00DB2DCA"/>
    <w:rsid w:val="00DB2DFF"/>
    <w:rsid w:val="00DB2E4C"/>
    <w:rsid w:val="00DB2E4E"/>
    <w:rsid w:val="00DB2EE7"/>
    <w:rsid w:val="00DB2FD7"/>
    <w:rsid w:val="00DB307C"/>
    <w:rsid w:val="00DB30F7"/>
    <w:rsid w:val="00DB3337"/>
    <w:rsid w:val="00DB33E6"/>
    <w:rsid w:val="00DB343F"/>
    <w:rsid w:val="00DB34B6"/>
    <w:rsid w:val="00DB34EC"/>
    <w:rsid w:val="00DB3533"/>
    <w:rsid w:val="00DB353B"/>
    <w:rsid w:val="00DB35A3"/>
    <w:rsid w:val="00DB3604"/>
    <w:rsid w:val="00DB3663"/>
    <w:rsid w:val="00DB3723"/>
    <w:rsid w:val="00DB375E"/>
    <w:rsid w:val="00DB3772"/>
    <w:rsid w:val="00DB37C7"/>
    <w:rsid w:val="00DB384D"/>
    <w:rsid w:val="00DB387C"/>
    <w:rsid w:val="00DB3899"/>
    <w:rsid w:val="00DB390F"/>
    <w:rsid w:val="00DB3975"/>
    <w:rsid w:val="00DB39DA"/>
    <w:rsid w:val="00DB39F9"/>
    <w:rsid w:val="00DB3A31"/>
    <w:rsid w:val="00DB3B46"/>
    <w:rsid w:val="00DB3C8A"/>
    <w:rsid w:val="00DB3CB6"/>
    <w:rsid w:val="00DB3CCF"/>
    <w:rsid w:val="00DB3D42"/>
    <w:rsid w:val="00DB3D7A"/>
    <w:rsid w:val="00DB3D7D"/>
    <w:rsid w:val="00DB3E94"/>
    <w:rsid w:val="00DB3EC8"/>
    <w:rsid w:val="00DB3F1D"/>
    <w:rsid w:val="00DB4059"/>
    <w:rsid w:val="00DB40A5"/>
    <w:rsid w:val="00DB40E6"/>
    <w:rsid w:val="00DB411F"/>
    <w:rsid w:val="00DB413A"/>
    <w:rsid w:val="00DB41BA"/>
    <w:rsid w:val="00DB4221"/>
    <w:rsid w:val="00DB4246"/>
    <w:rsid w:val="00DB4263"/>
    <w:rsid w:val="00DB42C4"/>
    <w:rsid w:val="00DB4304"/>
    <w:rsid w:val="00DB4326"/>
    <w:rsid w:val="00DB4475"/>
    <w:rsid w:val="00DB448B"/>
    <w:rsid w:val="00DB44B8"/>
    <w:rsid w:val="00DB45BE"/>
    <w:rsid w:val="00DB4611"/>
    <w:rsid w:val="00DB4617"/>
    <w:rsid w:val="00DB46BB"/>
    <w:rsid w:val="00DB46E9"/>
    <w:rsid w:val="00DB47C1"/>
    <w:rsid w:val="00DB47F3"/>
    <w:rsid w:val="00DB494B"/>
    <w:rsid w:val="00DB4950"/>
    <w:rsid w:val="00DB4971"/>
    <w:rsid w:val="00DB49CD"/>
    <w:rsid w:val="00DB49F5"/>
    <w:rsid w:val="00DB4AC0"/>
    <w:rsid w:val="00DB4AD5"/>
    <w:rsid w:val="00DB4AFE"/>
    <w:rsid w:val="00DB4B98"/>
    <w:rsid w:val="00DB4BE3"/>
    <w:rsid w:val="00DB4EAA"/>
    <w:rsid w:val="00DB4F0E"/>
    <w:rsid w:val="00DB4F1D"/>
    <w:rsid w:val="00DB4F36"/>
    <w:rsid w:val="00DB500D"/>
    <w:rsid w:val="00DB50CD"/>
    <w:rsid w:val="00DB519D"/>
    <w:rsid w:val="00DB51F9"/>
    <w:rsid w:val="00DB5210"/>
    <w:rsid w:val="00DB522E"/>
    <w:rsid w:val="00DB52D0"/>
    <w:rsid w:val="00DB52D2"/>
    <w:rsid w:val="00DB52F8"/>
    <w:rsid w:val="00DB53BA"/>
    <w:rsid w:val="00DB53FE"/>
    <w:rsid w:val="00DB549B"/>
    <w:rsid w:val="00DB54B5"/>
    <w:rsid w:val="00DB550F"/>
    <w:rsid w:val="00DB55B9"/>
    <w:rsid w:val="00DB566F"/>
    <w:rsid w:val="00DB5721"/>
    <w:rsid w:val="00DB574C"/>
    <w:rsid w:val="00DB5814"/>
    <w:rsid w:val="00DB58E5"/>
    <w:rsid w:val="00DB5A7C"/>
    <w:rsid w:val="00DB5A99"/>
    <w:rsid w:val="00DB5B10"/>
    <w:rsid w:val="00DB5B1F"/>
    <w:rsid w:val="00DB5CC1"/>
    <w:rsid w:val="00DB5CF0"/>
    <w:rsid w:val="00DB5D06"/>
    <w:rsid w:val="00DB5D16"/>
    <w:rsid w:val="00DB5D4A"/>
    <w:rsid w:val="00DB5E1E"/>
    <w:rsid w:val="00DB5E28"/>
    <w:rsid w:val="00DB5E8E"/>
    <w:rsid w:val="00DB5F49"/>
    <w:rsid w:val="00DB5F64"/>
    <w:rsid w:val="00DB5F9C"/>
    <w:rsid w:val="00DB5FF1"/>
    <w:rsid w:val="00DB5FFD"/>
    <w:rsid w:val="00DB6025"/>
    <w:rsid w:val="00DB6149"/>
    <w:rsid w:val="00DB6195"/>
    <w:rsid w:val="00DB6286"/>
    <w:rsid w:val="00DB634C"/>
    <w:rsid w:val="00DB63AF"/>
    <w:rsid w:val="00DB63EB"/>
    <w:rsid w:val="00DB6460"/>
    <w:rsid w:val="00DB654E"/>
    <w:rsid w:val="00DB65CD"/>
    <w:rsid w:val="00DB660A"/>
    <w:rsid w:val="00DB6624"/>
    <w:rsid w:val="00DB6634"/>
    <w:rsid w:val="00DB6654"/>
    <w:rsid w:val="00DB66B0"/>
    <w:rsid w:val="00DB670C"/>
    <w:rsid w:val="00DB6772"/>
    <w:rsid w:val="00DB67B0"/>
    <w:rsid w:val="00DB6836"/>
    <w:rsid w:val="00DB6879"/>
    <w:rsid w:val="00DB68E0"/>
    <w:rsid w:val="00DB695B"/>
    <w:rsid w:val="00DB697F"/>
    <w:rsid w:val="00DB69AF"/>
    <w:rsid w:val="00DB6A72"/>
    <w:rsid w:val="00DB6A82"/>
    <w:rsid w:val="00DB6BA4"/>
    <w:rsid w:val="00DB6C77"/>
    <w:rsid w:val="00DB6CEA"/>
    <w:rsid w:val="00DB6CEF"/>
    <w:rsid w:val="00DB6D4F"/>
    <w:rsid w:val="00DB6E54"/>
    <w:rsid w:val="00DB6F31"/>
    <w:rsid w:val="00DB6F4D"/>
    <w:rsid w:val="00DB6F9B"/>
    <w:rsid w:val="00DB6FB2"/>
    <w:rsid w:val="00DB700D"/>
    <w:rsid w:val="00DB7067"/>
    <w:rsid w:val="00DB7197"/>
    <w:rsid w:val="00DB71EB"/>
    <w:rsid w:val="00DB7244"/>
    <w:rsid w:val="00DB7246"/>
    <w:rsid w:val="00DB729E"/>
    <w:rsid w:val="00DB733A"/>
    <w:rsid w:val="00DB7355"/>
    <w:rsid w:val="00DB737F"/>
    <w:rsid w:val="00DB74A1"/>
    <w:rsid w:val="00DB7536"/>
    <w:rsid w:val="00DB754D"/>
    <w:rsid w:val="00DB7631"/>
    <w:rsid w:val="00DB77B7"/>
    <w:rsid w:val="00DB78B0"/>
    <w:rsid w:val="00DB78DB"/>
    <w:rsid w:val="00DB79AB"/>
    <w:rsid w:val="00DB79BE"/>
    <w:rsid w:val="00DB79ED"/>
    <w:rsid w:val="00DB7A7C"/>
    <w:rsid w:val="00DB7AC1"/>
    <w:rsid w:val="00DB7AC4"/>
    <w:rsid w:val="00DB7AEB"/>
    <w:rsid w:val="00DB7B1B"/>
    <w:rsid w:val="00DB7B42"/>
    <w:rsid w:val="00DB7B54"/>
    <w:rsid w:val="00DB7B61"/>
    <w:rsid w:val="00DB7B6F"/>
    <w:rsid w:val="00DB7B94"/>
    <w:rsid w:val="00DB7B9E"/>
    <w:rsid w:val="00DB7BC6"/>
    <w:rsid w:val="00DB7C04"/>
    <w:rsid w:val="00DB7C22"/>
    <w:rsid w:val="00DB7CA3"/>
    <w:rsid w:val="00DB7D5C"/>
    <w:rsid w:val="00DB7D66"/>
    <w:rsid w:val="00DB7DC6"/>
    <w:rsid w:val="00DB7DD8"/>
    <w:rsid w:val="00DB7E13"/>
    <w:rsid w:val="00DB7ECC"/>
    <w:rsid w:val="00DB7EDE"/>
    <w:rsid w:val="00DB7F86"/>
    <w:rsid w:val="00DC0113"/>
    <w:rsid w:val="00DC0115"/>
    <w:rsid w:val="00DC0173"/>
    <w:rsid w:val="00DC01FC"/>
    <w:rsid w:val="00DC0259"/>
    <w:rsid w:val="00DC0319"/>
    <w:rsid w:val="00DC0354"/>
    <w:rsid w:val="00DC035F"/>
    <w:rsid w:val="00DC04BD"/>
    <w:rsid w:val="00DC04D4"/>
    <w:rsid w:val="00DC04DC"/>
    <w:rsid w:val="00DC04E0"/>
    <w:rsid w:val="00DC054C"/>
    <w:rsid w:val="00DC0565"/>
    <w:rsid w:val="00DC0638"/>
    <w:rsid w:val="00DC0672"/>
    <w:rsid w:val="00DC0683"/>
    <w:rsid w:val="00DC06BB"/>
    <w:rsid w:val="00DC06D8"/>
    <w:rsid w:val="00DC0702"/>
    <w:rsid w:val="00DC0745"/>
    <w:rsid w:val="00DC0753"/>
    <w:rsid w:val="00DC0791"/>
    <w:rsid w:val="00DC0810"/>
    <w:rsid w:val="00DC09CF"/>
    <w:rsid w:val="00DC0A48"/>
    <w:rsid w:val="00DC0A7F"/>
    <w:rsid w:val="00DC0AEC"/>
    <w:rsid w:val="00DC0BD9"/>
    <w:rsid w:val="00DC0BFD"/>
    <w:rsid w:val="00DC0C9E"/>
    <w:rsid w:val="00DC0D18"/>
    <w:rsid w:val="00DC0D44"/>
    <w:rsid w:val="00DC0DC8"/>
    <w:rsid w:val="00DC0E81"/>
    <w:rsid w:val="00DC0E90"/>
    <w:rsid w:val="00DC0EF2"/>
    <w:rsid w:val="00DC0F0A"/>
    <w:rsid w:val="00DC0F6C"/>
    <w:rsid w:val="00DC0F94"/>
    <w:rsid w:val="00DC10E0"/>
    <w:rsid w:val="00DC10E6"/>
    <w:rsid w:val="00DC1112"/>
    <w:rsid w:val="00DC112F"/>
    <w:rsid w:val="00DC11DA"/>
    <w:rsid w:val="00DC1309"/>
    <w:rsid w:val="00DC1341"/>
    <w:rsid w:val="00DC136C"/>
    <w:rsid w:val="00DC139C"/>
    <w:rsid w:val="00DC13FF"/>
    <w:rsid w:val="00DC147A"/>
    <w:rsid w:val="00DC152F"/>
    <w:rsid w:val="00DC1559"/>
    <w:rsid w:val="00DC158A"/>
    <w:rsid w:val="00DC15B7"/>
    <w:rsid w:val="00DC16E4"/>
    <w:rsid w:val="00DC1728"/>
    <w:rsid w:val="00DC18C0"/>
    <w:rsid w:val="00DC18D2"/>
    <w:rsid w:val="00DC1914"/>
    <w:rsid w:val="00DC197E"/>
    <w:rsid w:val="00DC19CC"/>
    <w:rsid w:val="00DC1A4D"/>
    <w:rsid w:val="00DC1A66"/>
    <w:rsid w:val="00DC1A94"/>
    <w:rsid w:val="00DC1AC8"/>
    <w:rsid w:val="00DC1B20"/>
    <w:rsid w:val="00DC1BDE"/>
    <w:rsid w:val="00DC1C17"/>
    <w:rsid w:val="00DC1C21"/>
    <w:rsid w:val="00DC1C53"/>
    <w:rsid w:val="00DC1C9C"/>
    <w:rsid w:val="00DC1D94"/>
    <w:rsid w:val="00DC1DB2"/>
    <w:rsid w:val="00DC1DB9"/>
    <w:rsid w:val="00DC1DC1"/>
    <w:rsid w:val="00DC1E2E"/>
    <w:rsid w:val="00DC1E32"/>
    <w:rsid w:val="00DC1E78"/>
    <w:rsid w:val="00DC1E8C"/>
    <w:rsid w:val="00DC1F42"/>
    <w:rsid w:val="00DC1F9F"/>
    <w:rsid w:val="00DC1FA1"/>
    <w:rsid w:val="00DC1FE9"/>
    <w:rsid w:val="00DC2010"/>
    <w:rsid w:val="00DC204A"/>
    <w:rsid w:val="00DC20C2"/>
    <w:rsid w:val="00DC2171"/>
    <w:rsid w:val="00DC21B9"/>
    <w:rsid w:val="00DC2291"/>
    <w:rsid w:val="00DC2334"/>
    <w:rsid w:val="00DC2381"/>
    <w:rsid w:val="00DC2429"/>
    <w:rsid w:val="00DC2432"/>
    <w:rsid w:val="00DC2447"/>
    <w:rsid w:val="00DC24DC"/>
    <w:rsid w:val="00DC24FD"/>
    <w:rsid w:val="00DC2540"/>
    <w:rsid w:val="00DC259E"/>
    <w:rsid w:val="00DC25B4"/>
    <w:rsid w:val="00DC25F9"/>
    <w:rsid w:val="00DC2602"/>
    <w:rsid w:val="00DC2655"/>
    <w:rsid w:val="00DC2668"/>
    <w:rsid w:val="00DC26AC"/>
    <w:rsid w:val="00DC26D7"/>
    <w:rsid w:val="00DC27EF"/>
    <w:rsid w:val="00DC289A"/>
    <w:rsid w:val="00DC28FA"/>
    <w:rsid w:val="00DC2907"/>
    <w:rsid w:val="00DC292B"/>
    <w:rsid w:val="00DC2A27"/>
    <w:rsid w:val="00DC2AE9"/>
    <w:rsid w:val="00DC2B28"/>
    <w:rsid w:val="00DC2B5F"/>
    <w:rsid w:val="00DC2B67"/>
    <w:rsid w:val="00DC2BCE"/>
    <w:rsid w:val="00DC2C16"/>
    <w:rsid w:val="00DC2C32"/>
    <w:rsid w:val="00DC2C69"/>
    <w:rsid w:val="00DC2CD1"/>
    <w:rsid w:val="00DC2CE0"/>
    <w:rsid w:val="00DC2CFF"/>
    <w:rsid w:val="00DC2D1B"/>
    <w:rsid w:val="00DC2D68"/>
    <w:rsid w:val="00DC2D84"/>
    <w:rsid w:val="00DC2DC5"/>
    <w:rsid w:val="00DC2E62"/>
    <w:rsid w:val="00DC2F29"/>
    <w:rsid w:val="00DC2F3A"/>
    <w:rsid w:val="00DC2F6A"/>
    <w:rsid w:val="00DC2FA6"/>
    <w:rsid w:val="00DC2FE8"/>
    <w:rsid w:val="00DC3086"/>
    <w:rsid w:val="00DC3089"/>
    <w:rsid w:val="00DC30F3"/>
    <w:rsid w:val="00DC30FD"/>
    <w:rsid w:val="00DC3160"/>
    <w:rsid w:val="00DC31A1"/>
    <w:rsid w:val="00DC31BF"/>
    <w:rsid w:val="00DC32E0"/>
    <w:rsid w:val="00DC337A"/>
    <w:rsid w:val="00DC33D6"/>
    <w:rsid w:val="00DC3411"/>
    <w:rsid w:val="00DC3450"/>
    <w:rsid w:val="00DC3483"/>
    <w:rsid w:val="00DC3545"/>
    <w:rsid w:val="00DC35E8"/>
    <w:rsid w:val="00DC3756"/>
    <w:rsid w:val="00DC385B"/>
    <w:rsid w:val="00DC38A5"/>
    <w:rsid w:val="00DC38E7"/>
    <w:rsid w:val="00DC3945"/>
    <w:rsid w:val="00DC3A7B"/>
    <w:rsid w:val="00DC3BA7"/>
    <w:rsid w:val="00DC3C0A"/>
    <w:rsid w:val="00DC3C6F"/>
    <w:rsid w:val="00DC3CC2"/>
    <w:rsid w:val="00DC3CF1"/>
    <w:rsid w:val="00DC3D7D"/>
    <w:rsid w:val="00DC3DA4"/>
    <w:rsid w:val="00DC3DCC"/>
    <w:rsid w:val="00DC3E67"/>
    <w:rsid w:val="00DC3F11"/>
    <w:rsid w:val="00DC3F59"/>
    <w:rsid w:val="00DC4054"/>
    <w:rsid w:val="00DC4060"/>
    <w:rsid w:val="00DC409B"/>
    <w:rsid w:val="00DC40BA"/>
    <w:rsid w:val="00DC40CD"/>
    <w:rsid w:val="00DC40D9"/>
    <w:rsid w:val="00DC4157"/>
    <w:rsid w:val="00DC4193"/>
    <w:rsid w:val="00DC41A2"/>
    <w:rsid w:val="00DC41B0"/>
    <w:rsid w:val="00DC41CD"/>
    <w:rsid w:val="00DC41CF"/>
    <w:rsid w:val="00DC41E0"/>
    <w:rsid w:val="00DC41F3"/>
    <w:rsid w:val="00DC4200"/>
    <w:rsid w:val="00DC42B1"/>
    <w:rsid w:val="00DC44D6"/>
    <w:rsid w:val="00DC44EC"/>
    <w:rsid w:val="00DC451F"/>
    <w:rsid w:val="00DC452D"/>
    <w:rsid w:val="00DC45EE"/>
    <w:rsid w:val="00DC4600"/>
    <w:rsid w:val="00DC4735"/>
    <w:rsid w:val="00DC4900"/>
    <w:rsid w:val="00DC4901"/>
    <w:rsid w:val="00DC4945"/>
    <w:rsid w:val="00DC4950"/>
    <w:rsid w:val="00DC49EA"/>
    <w:rsid w:val="00DC4A06"/>
    <w:rsid w:val="00DC4A0D"/>
    <w:rsid w:val="00DC4A42"/>
    <w:rsid w:val="00DC4A5E"/>
    <w:rsid w:val="00DC4ADE"/>
    <w:rsid w:val="00DC4B4B"/>
    <w:rsid w:val="00DC4C22"/>
    <w:rsid w:val="00DC4C6C"/>
    <w:rsid w:val="00DC4E25"/>
    <w:rsid w:val="00DC4F1F"/>
    <w:rsid w:val="00DC50C7"/>
    <w:rsid w:val="00DC510E"/>
    <w:rsid w:val="00DC5133"/>
    <w:rsid w:val="00DC5163"/>
    <w:rsid w:val="00DC522B"/>
    <w:rsid w:val="00DC5395"/>
    <w:rsid w:val="00DC5476"/>
    <w:rsid w:val="00DC54CA"/>
    <w:rsid w:val="00DC5523"/>
    <w:rsid w:val="00DC554A"/>
    <w:rsid w:val="00DC5558"/>
    <w:rsid w:val="00DC556B"/>
    <w:rsid w:val="00DC562B"/>
    <w:rsid w:val="00DC5755"/>
    <w:rsid w:val="00DC57BF"/>
    <w:rsid w:val="00DC580F"/>
    <w:rsid w:val="00DC5811"/>
    <w:rsid w:val="00DC5858"/>
    <w:rsid w:val="00DC5861"/>
    <w:rsid w:val="00DC5914"/>
    <w:rsid w:val="00DC5942"/>
    <w:rsid w:val="00DC5B1E"/>
    <w:rsid w:val="00DC5BC1"/>
    <w:rsid w:val="00DC5C44"/>
    <w:rsid w:val="00DC5C7B"/>
    <w:rsid w:val="00DC5D77"/>
    <w:rsid w:val="00DC5EBA"/>
    <w:rsid w:val="00DC5ED1"/>
    <w:rsid w:val="00DC5F53"/>
    <w:rsid w:val="00DC5F65"/>
    <w:rsid w:val="00DC5F75"/>
    <w:rsid w:val="00DC5FB0"/>
    <w:rsid w:val="00DC6038"/>
    <w:rsid w:val="00DC604B"/>
    <w:rsid w:val="00DC606C"/>
    <w:rsid w:val="00DC609C"/>
    <w:rsid w:val="00DC6120"/>
    <w:rsid w:val="00DC619F"/>
    <w:rsid w:val="00DC620C"/>
    <w:rsid w:val="00DC627A"/>
    <w:rsid w:val="00DC6280"/>
    <w:rsid w:val="00DC62AB"/>
    <w:rsid w:val="00DC62C5"/>
    <w:rsid w:val="00DC634C"/>
    <w:rsid w:val="00DC63AF"/>
    <w:rsid w:val="00DC63F1"/>
    <w:rsid w:val="00DC6406"/>
    <w:rsid w:val="00DC6476"/>
    <w:rsid w:val="00DC64AB"/>
    <w:rsid w:val="00DC65CE"/>
    <w:rsid w:val="00DC65D6"/>
    <w:rsid w:val="00DC665B"/>
    <w:rsid w:val="00DC6664"/>
    <w:rsid w:val="00DC67E7"/>
    <w:rsid w:val="00DC682B"/>
    <w:rsid w:val="00DC682D"/>
    <w:rsid w:val="00DC6833"/>
    <w:rsid w:val="00DC6875"/>
    <w:rsid w:val="00DC694B"/>
    <w:rsid w:val="00DC69AE"/>
    <w:rsid w:val="00DC6B76"/>
    <w:rsid w:val="00DC6BEF"/>
    <w:rsid w:val="00DC6C06"/>
    <w:rsid w:val="00DC6C34"/>
    <w:rsid w:val="00DC6CF5"/>
    <w:rsid w:val="00DC6E08"/>
    <w:rsid w:val="00DC6E43"/>
    <w:rsid w:val="00DC6E62"/>
    <w:rsid w:val="00DC6E92"/>
    <w:rsid w:val="00DC6F00"/>
    <w:rsid w:val="00DC6F10"/>
    <w:rsid w:val="00DC7008"/>
    <w:rsid w:val="00DC7074"/>
    <w:rsid w:val="00DC70E9"/>
    <w:rsid w:val="00DC710E"/>
    <w:rsid w:val="00DC720F"/>
    <w:rsid w:val="00DC724B"/>
    <w:rsid w:val="00DC7324"/>
    <w:rsid w:val="00DC73CC"/>
    <w:rsid w:val="00DC7490"/>
    <w:rsid w:val="00DC7536"/>
    <w:rsid w:val="00DC7590"/>
    <w:rsid w:val="00DC76F3"/>
    <w:rsid w:val="00DC775E"/>
    <w:rsid w:val="00DC786F"/>
    <w:rsid w:val="00DC7906"/>
    <w:rsid w:val="00DC7957"/>
    <w:rsid w:val="00DC7990"/>
    <w:rsid w:val="00DC7A14"/>
    <w:rsid w:val="00DC7BAA"/>
    <w:rsid w:val="00DC7C35"/>
    <w:rsid w:val="00DC7CCB"/>
    <w:rsid w:val="00DC7CFB"/>
    <w:rsid w:val="00DC7D50"/>
    <w:rsid w:val="00DC7DB4"/>
    <w:rsid w:val="00DC7DD4"/>
    <w:rsid w:val="00DC7DFE"/>
    <w:rsid w:val="00DC7E22"/>
    <w:rsid w:val="00DC7E9D"/>
    <w:rsid w:val="00DC7F64"/>
    <w:rsid w:val="00DC7F82"/>
    <w:rsid w:val="00DC7FBD"/>
    <w:rsid w:val="00DD0043"/>
    <w:rsid w:val="00DD00D3"/>
    <w:rsid w:val="00DD01AC"/>
    <w:rsid w:val="00DD0245"/>
    <w:rsid w:val="00DD0273"/>
    <w:rsid w:val="00DD02E6"/>
    <w:rsid w:val="00DD03A1"/>
    <w:rsid w:val="00DD042C"/>
    <w:rsid w:val="00DD042F"/>
    <w:rsid w:val="00DD0432"/>
    <w:rsid w:val="00DD04CC"/>
    <w:rsid w:val="00DD052A"/>
    <w:rsid w:val="00DD0535"/>
    <w:rsid w:val="00DD0536"/>
    <w:rsid w:val="00DD0567"/>
    <w:rsid w:val="00DD0574"/>
    <w:rsid w:val="00DD06C1"/>
    <w:rsid w:val="00DD06C9"/>
    <w:rsid w:val="00DD07CE"/>
    <w:rsid w:val="00DD08CF"/>
    <w:rsid w:val="00DD08D7"/>
    <w:rsid w:val="00DD0A0D"/>
    <w:rsid w:val="00DD0A55"/>
    <w:rsid w:val="00DD0AA4"/>
    <w:rsid w:val="00DD0AE9"/>
    <w:rsid w:val="00DD0C6E"/>
    <w:rsid w:val="00DD0C97"/>
    <w:rsid w:val="00DD0D2D"/>
    <w:rsid w:val="00DD0D50"/>
    <w:rsid w:val="00DD0D67"/>
    <w:rsid w:val="00DD0E72"/>
    <w:rsid w:val="00DD0FCD"/>
    <w:rsid w:val="00DD1038"/>
    <w:rsid w:val="00DD10A4"/>
    <w:rsid w:val="00DD10B4"/>
    <w:rsid w:val="00DD1133"/>
    <w:rsid w:val="00DD11FD"/>
    <w:rsid w:val="00DD1302"/>
    <w:rsid w:val="00DD1361"/>
    <w:rsid w:val="00DD138F"/>
    <w:rsid w:val="00DD145B"/>
    <w:rsid w:val="00DD147B"/>
    <w:rsid w:val="00DD1486"/>
    <w:rsid w:val="00DD1562"/>
    <w:rsid w:val="00DD1661"/>
    <w:rsid w:val="00DD1701"/>
    <w:rsid w:val="00DD1713"/>
    <w:rsid w:val="00DD1730"/>
    <w:rsid w:val="00DD17B7"/>
    <w:rsid w:val="00DD17E0"/>
    <w:rsid w:val="00DD1864"/>
    <w:rsid w:val="00DD1976"/>
    <w:rsid w:val="00DD1A01"/>
    <w:rsid w:val="00DD1A8D"/>
    <w:rsid w:val="00DD1A8F"/>
    <w:rsid w:val="00DD1AEA"/>
    <w:rsid w:val="00DD1B9A"/>
    <w:rsid w:val="00DD1BC8"/>
    <w:rsid w:val="00DD1CAB"/>
    <w:rsid w:val="00DD1D16"/>
    <w:rsid w:val="00DD1D67"/>
    <w:rsid w:val="00DD1D93"/>
    <w:rsid w:val="00DD1DA4"/>
    <w:rsid w:val="00DD1E0A"/>
    <w:rsid w:val="00DD1EB1"/>
    <w:rsid w:val="00DD1EBB"/>
    <w:rsid w:val="00DD1FA5"/>
    <w:rsid w:val="00DD2035"/>
    <w:rsid w:val="00DD2061"/>
    <w:rsid w:val="00DD20B7"/>
    <w:rsid w:val="00DD2110"/>
    <w:rsid w:val="00DD212C"/>
    <w:rsid w:val="00DD2234"/>
    <w:rsid w:val="00DD2279"/>
    <w:rsid w:val="00DD22EA"/>
    <w:rsid w:val="00DD235B"/>
    <w:rsid w:val="00DD2412"/>
    <w:rsid w:val="00DD2684"/>
    <w:rsid w:val="00DD27EE"/>
    <w:rsid w:val="00DD2998"/>
    <w:rsid w:val="00DD2A32"/>
    <w:rsid w:val="00DD2AA6"/>
    <w:rsid w:val="00DD2AB8"/>
    <w:rsid w:val="00DD2AFC"/>
    <w:rsid w:val="00DD2B2C"/>
    <w:rsid w:val="00DD2BD8"/>
    <w:rsid w:val="00DD2C61"/>
    <w:rsid w:val="00DD2C73"/>
    <w:rsid w:val="00DD2D36"/>
    <w:rsid w:val="00DD2D95"/>
    <w:rsid w:val="00DD2E74"/>
    <w:rsid w:val="00DD2FC1"/>
    <w:rsid w:val="00DD3070"/>
    <w:rsid w:val="00DD307F"/>
    <w:rsid w:val="00DD30A2"/>
    <w:rsid w:val="00DD310D"/>
    <w:rsid w:val="00DD3177"/>
    <w:rsid w:val="00DD31C2"/>
    <w:rsid w:val="00DD31F7"/>
    <w:rsid w:val="00DD31FE"/>
    <w:rsid w:val="00DD3202"/>
    <w:rsid w:val="00DD32C3"/>
    <w:rsid w:val="00DD33FD"/>
    <w:rsid w:val="00DD3404"/>
    <w:rsid w:val="00DD343F"/>
    <w:rsid w:val="00DD34F6"/>
    <w:rsid w:val="00DD3602"/>
    <w:rsid w:val="00DD360D"/>
    <w:rsid w:val="00DD3612"/>
    <w:rsid w:val="00DD3668"/>
    <w:rsid w:val="00DD3762"/>
    <w:rsid w:val="00DD37CB"/>
    <w:rsid w:val="00DD37F0"/>
    <w:rsid w:val="00DD3869"/>
    <w:rsid w:val="00DD3891"/>
    <w:rsid w:val="00DD3897"/>
    <w:rsid w:val="00DD38DE"/>
    <w:rsid w:val="00DD3956"/>
    <w:rsid w:val="00DD3995"/>
    <w:rsid w:val="00DD3A83"/>
    <w:rsid w:val="00DD3A99"/>
    <w:rsid w:val="00DD3B03"/>
    <w:rsid w:val="00DD3BE7"/>
    <w:rsid w:val="00DD3BF3"/>
    <w:rsid w:val="00DD3C44"/>
    <w:rsid w:val="00DD3C6C"/>
    <w:rsid w:val="00DD3CF3"/>
    <w:rsid w:val="00DD3E5E"/>
    <w:rsid w:val="00DD3E74"/>
    <w:rsid w:val="00DD3E7B"/>
    <w:rsid w:val="00DD3EB4"/>
    <w:rsid w:val="00DD3ED1"/>
    <w:rsid w:val="00DD3F2B"/>
    <w:rsid w:val="00DD3F4D"/>
    <w:rsid w:val="00DD3F8C"/>
    <w:rsid w:val="00DD3FBA"/>
    <w:rsid w:val="00DD4069"/>
    <w:rsid w:val="00DD4170"/>
    <w:rsid w:val="00DD4257"/>
    <w:rsid w:val="00DD4329"/>
    <w:rsid w:val="00DD44E3"/>
    <w:rsid w:val="00DD44ED"/>
    <w:rsid w:val="00DD45D9"/>
    <w:rsid w:val="00DD45DD"/>
    <w:rsid w:val="00DD478F"/>
    <w:rsid w:val="00DD47C6"/>
    <w:rsid w:val="00DD4859"/>
    <w:rsid w:val="00DD4863"/>
    <w:rsid w:val="00DD4906"/>
    <w:rsid w:val="00DD494E"/>
    <w:rsid w:val="00DD4984"/>
    <w:rsid w:val="00DD49B1"/>
    <w:rsid w:val="00DD49E7"/>
    <w:rsid w:val="00DD4A31"/>
    <w:rsid w:val="00DD4AEE"/>
    <w:rsid w:val="00DD4B60"/>
    <w:rsid w:val="00DD4C32"/>
    <w:rsid w:val="00DD4C83"/>
    <w:rsid w:val="00DD4DDA"/>
    <w:rsid w:val="00DD4E43"/>
    <w:rsid w:val="00DD4EA0"/>
    <w:rsid w:val="00DD4EF8"/>
    <w:rsid w:val="00DD4F79"/>
    <w:rsid w:val="00DD4FA5"/>
    <w:rsid w:val="00DD4FD5"/>
    <w:rsid w:val="00DD4FED"/>
    <w:rsid w:val="00DD5060"/>
    <w:rsid w:val="00DD5164"/>
    <w:rsid w:val="00DD516A"/>
    <w:rsid w:val="00DD519E"/>
    <w:rsid w:val="00DD51D7"/>
    <w:rsid w:val="00DD5224"/>
    <w:rsid w:val="00DD5246"/>
    <w:rsid w:val="00DD526D"/>
    <w:rsid w:val="00DD52E6"/>
    <w:rsid w:val="00DD52F3"/>
    <w:rsid w:val="00DD5314"/>
    <w:rsid w:val="00DD5335"/>
    <w:rsid w:val="00DD53C0"/>
    <w:rsid w:val="00DD53C3"/>
    <w:rsid w:val="00DD5474"/>
    <w:rsid w:val="00DD54A4"/>
    <w:rsid w:val="00DD554B"/>
    <w:rsid w:val="00DD556E"/>
    <w:rsid w:val="00DD5577"/>
    <w:rsid w:val="00DD55DE"/>
    <w:rsid w:val="00DD5632"/>
    <w:rsid w:val="00DD564A"/>
    <w:rsid w:val="00DD564B"/>
    <w:rsid w:val="00DD5686"/>
    <w:rsid w:val="00DD5689"/>
    <w:rsid w:val="00DD57BD"/>
    <w:rsid w:val="00DD58AA"/>
    <w:rsid w:val="00DD58C1"/>
    <w:rsid w:val="00DD593D"/>
    <w:rsid w:val="00DD598E"/>
    <w:rsid w:val="00DD59BD"/>
    <w:rsid w:val="00DD59E3"/>
    <w:rsid w:val="00DD5ABA"/>
    <w:rsid w:val="00DD5AFB"/>
    <w:rsid w:val="00DD5B04"/>
    <w:rsid w:val="00DD5B3B"/>
    <w:rsid w:val="00DD5C2E"/>
    <w:rsid w:val="00DD5D7A"/>
    <w:rsid w:val="00DD5DBD"/>
    <w:rsid w:val="00DD5DDD"/>
    <w:rsid w:val="00DD5EA5"/>
    <w:rsid w:val="00DD5F25"/>
    <w:rsid w:val="00DD5F29"/>
    <w:rsid w:val="00DD5F64"/>
    <w:rsid w:val="00DD60E3"/>
    <w:rsid w:val="00DD6196"/>
    <w:rsid w:val="00DD6198"/>
    <w:rsid w:val="00DD61E0"/>
    <w:rsid w:val="00DD6312"/>
    <w:rsid w:val="00DD63DF"/>
    <w:rsid w:val="00DD6414"/>
    <w:rsid w:val="00DD64E4"/>
    <w:rsid w:val="00DD6562"/>
    <w:rsid w:val="00DD6576"/>
    <w:rsid w:val="00DD6607"/>
    <w:rsid w:val="00DD6631"/>
    <w:rsid w:val="00DD6737"/>
    <w:rsid w:val="00DD6775"/>
    <w:rsid w:val="00DD67A1"/>
    <w:rsid w:val="00DD67AA"/>
    <w:rsid w:val="00DD685B"/>
    <w:rsid w:val="00DD68B7"/>
    <w:rsid w:val="00DD6AAF"/>
    <w:rsid w:val="00DD6B5D"/>
    <w:rsid w:val="00DD6B89"/>
    <w:rsid w:val="00DD6BB1"/>
    <w:rsid w:val="00DD6C62"/>
    <w:rsid w:val="00DD6CB5"/>
    <w:rsid w:val="00DD6CBC"/>
    <w:rsid w:val="00DD6CD8"/>
    <w:rsid w:val="00DD6D61"/>
    <w:rsid w:val="00DD6E77"/>
    <w:rsid w:val="00DD6EB7"/>
    <w:rsid w:val="00DD6F24"/>
    <w:rsid w:val="00DD70F1"/>
    <w:rsid w:val="00DD70F6"/>
    <w:rsid w:val="00DD7137"/>
    <w:rsid w:val="00DD71B8"/>
    <w:rsid w:val="00DD71EA"/>
    <w:rsid w:val="00DD7227"/>
    <w:rsid w:val="00DD7233"/>
    <w:rsid w:val="00DD7237"/>
    <w:rsid w:val="00DD72A4"/>
    <w:rsid w:val="00DD7383"/>
    <w:rsid w:val="00DD73C1"/>
    <w:rsid w:val="00DD73DE"/>
    <w:rsid w:val="00DD7411"/>
    <w:rsid w:val="00DD748A"/>
    <w:rsid w:val="00DD7512"/>
    <w:rsid w:val="00DD7532"/>
    <w:rsid w:val="00DD759C"/>
    <w:rsid w:val="00DD75C4"/>
    <w:rsid w:val="00DD76D8"/>
    <w:rsid w:val="00DD76E6"/>
    <w:rsid w:val="00DD76F4"/>
    <w:rsid w:val="00DD7740"/>
    <w:rsid w:val="00DD776E"/>
    <w:rsid w:val="00DD77D5"/>
    <w:rsid w:val="00DD785C"/>
    <w:rsid w:val="00DD78B1"/>
    <w:rsid w:val="00DD78BF"/>
    <w:rsid w:val="00DD7912"/>
    <w:rsid w:val="00DD796B"/>
    <w:rsid w:val="00DD79D1"/>
    <w:rsid w:val="00DD79EF"/>
    <w:rsid w:val="00DD7A45"/>
    <w:rsid w:val="00DD7A9F"/>
    <w:rsid w:val="00DD7BC2"/>
    <w:rsid w:val="00DD7BCC"/>
    <w:rsid w:val="00DD7C44"/>
    <w:rsid w:val="00DD7C56"/>
    <w:rsid w:val="00DD7CBA"/>
    <w:rsid w:val="00DD7CC1"/>
    <w:rsid w:val="00DD7D6A"/>
    <w:rsid w:val="00DD7DD4"/>
    <w:rsid w:val="00DD7F79"/>
    <w:rsid w:val="00DE0053"/>
    <w:rsid w:val="00DE009F"/>
    <w:rsid w:val="00DE00BC"/>
    <w:rsid w:val="00DE0133"/>
    <w:rsid w:val="00DE0152"/>
    <w:rsid w:val="00DE017C"/>
    <w:rsid w:val="00DE01A0"/>
    <w:rsid w:val="00DE01A9"/>
    <w:rsid w:val="00DE01CB"/>
    <w:rsid w:val="00DE0273"/>
    <w:rsid w:val="00DE02A0"/>
    <w:rsid w:val="00DE02E0"/>
    <w:rsid w:val="00DE0374"/>
    <w:rsid w:val="00DE0393"/>
    <w:rsid w:val="00DE0447"/>
    <w:rsid w:val="00DE0458"/>
    <w:rsid w:val="00DE046A"/>
    <w:rsid w:val="00DE057B"/>
    <w:rsid w:val="00DE063B"/>
    <w:rsid w:val="00DE0641"/>
    <w:rsid w:val="00DE06BC"/>
    <w:rsid w:val="00DE0824"/>
    <w:rsid w:val="00DE08B2"/>
    <w:rsid w:val="00DE0952"/>
    <w:rsid w:val="00DE0A09"/>
    <w:rsid w:val="00DE0A4D"/>
    <w:rsid w:val="00DE0AE5"/>
    <w:rsid w:val="00DE0AED"/>
    <w:rsid w:val="00DE0B17"/>
    <w:rsid w:val="00DE0C1E"/>
    <w:rsid w:val="00DE0CC7"/>
    <w:rsid w:val="00DE0CC8"/>
    <w:rsid w:val="00DE0D02"/>
    <w:rsid w:val="00DE0D71"/>
    <w:rsid w:val="00DE0D89"/>
    <w:rsid w:val="00DE0E87"/>
    <w:rsid w:val="00DE0EFB"/>
    <w:rsid w:val="00DE0F62"/>
    <w:rsid w:val="00DE0FC4"/>
    <w:rsid w:val="00DE0FCD"/>
    <w:rsid w:val="00DE1110"/>
    <w:rsid w:val="00DE111F"/>
    <w:rsid w:val="00DE131F"/>
    <w:rsid w:val="00DE13CD"/>
    <w:rsid w:val="00DE13E2"/>
    <w:rsid w:val="00DE1427"/>
    <w:rsid w:val="00DE144C"/>
    <w:rsid w:val="00DE15CF"/>
    <w:rsid w:val="00DE167D"/>
    <w:rsid w:val="00DE1799"/>
    <w:rsid w:val="00DE185E"/>
    <w:rsid w:val="00DE1951"/>
    <w:rsid w:val="00DE196A"/>
    <w:rsid w:val="00DE19C4"/>
    <w:rsid w:val="00DE19D7"/>
    <w:rsid w:val="00DE1A56"/>
    <w:rsid w:val="00DE1A71"/>
    <w:rsid w:val="00DE1A85"/>
    <w:rsid w:val="00DE1A9C"/>
    <w:rsid w:val="00DE1AC6"/>
    <w:rsid w:val="00DE1B25"/>
    <w:rsid w:val="00DE1B2B"/>
    <w:rsid w:val="00DE1B4C"/>
    <w:rsid w:val="00DE1C33"/>
    <w:rsid w:val="00DE1D67"/>
    <w:rsid w:val="00DE1D6B"/>
    <w:rsid w:val="00DE1EC5"/>
    <w:rsid w:val="00DE1F13"/>
    <w:rsid w:val="00DE1F78"/>
    <w:rsid w:val="00DE212E"/>
    <w:rsid w:val="00DE2142"/>
    <w:rsid w:val="00DE2163"/>
    <w:rsid w:val="00DE2270"/>
    <w:rsid w:val="00DE2289"/>
    <w:rsid w:val="00DE22BB"/>
    <w:rsid w:val="00DE24C8"/>
    <w:rsid w:val="00DE2587"/>
    <w:rsid w:val="00DE25BA"/>
    <w:rsid w:val="00DE26A8"/>
    <w:rsid w:val="00DE2735"/>
    <w:rsid w:val="00DE2757"/>
    <w:rsid w:val="00DE278B"/>
    <w:rsid w:val="00DE28AB"/>
    <w:rsid w:val="00DE28F7"/>
    <w:rsid w:val="00DE2948"/>
    <w:rsid w:val="00DE29D4"/>
    <w:rsid w:val="00DE29DF"/>
    <w:rsid w:val="00DE2AEF"/>
    <w:rsid w:val="00DE2B00"/>
    <w:rsid w:val="00DE2BDB"/>
    <w:rsid w:val="00DE2C38"/>
    <w:rsid w:val="00DE2CB7"/>
    <w:rsid w:val="00DE2CE7"/>
    <w:rsid w:val="00DE2D6A"/>
    <w:rsid w:val="00DE2D7C"/>
    <w:rsid w:val="00DE2DF5"/>
    <w:rsid w:val="00DE2E2E"/>
    <w:rsid w:val="00DE3051"/>
    <w:rsid w:val="00DE30B5"/>
    <w:rsid w:val="00DE30C0"/>
    <w:rsid w:val="00DE30D0"/>
    <w:rsid w:val="00DE3104"/>
    <w:rsid w:val="00DE310A"/>
    <w:rsid w:val="00DE3276"/>
    <w:rsid w:val="00DE32A2"/>
    <w:rsid w:val="00DE32D7"/>
    <w:rsid w:val="00DE3344"/>
    <w:rsid w:val="00DE33A7"/>
    <w:rsid w:val="00DE33D5"/>
    <w:rsid w:val="00DE3473"/>
    <w:rsid w:val="00DE34B1"/>
    <w:rsid w:val="00DE3514"/>
    <w:rsid w:val="00DE3748"/>
    <w:rsid w:val="00DE3776"/>
    <w:rsid w:val="00DE37C2"/>
    <w:rsid w:val="00DE3822"/>
    <w:rsid w:val="00DE38AB"/>
    <w:rsid w:val="00DE38BF"/>
    <w:rsid w:val="00DE3900"/>
    <w:rsid w:val="00DE391E"/>
    <w:rsid w:val="00DE3A0E"/>
    <w:rsid w:val="00DE3AF4"/>
    <w:rsid w:val="00DE3B30"/>
    <w:rsid w:val="00DE3BFE"/>
    <w:rsid w:val="00DE3C3A"/>
    <w:rsid w:val="00DE3C88"/>
    <w:rsid w:val="00DE3CCA"/>
    <w:rsid w:val="00DE3D54"/>
    <w:rsid w:val="00DE3EB1"/>
    <w:rsid w:val="00DE3EFA"/>
    <w:rsid w:val="00DE3F24"/>
    <w:rsid w:val="00DE3F7E"/>
    <w:rsid w:val="00DE3FC3"/>
    <w:rsid w:val="00DE4095"/>
    <w:rsid w:val="00DE418C"/>
    <w:rsid w:val="00DE41B1"/>
    <w:rsid w:val="00DE42AF"/>
    <w:rsid w:val="00DE42B4"/>
    <w:rsid w:val="00DE432E"/>
    <w:rsid w:val="00DE442E"/>
    <w:rsid w:val="00DE4447"/>
    <w:rsid w:val="00DE4453"/>
    <w:rsid w:val="00DE445E"/>
    <w:rsid w:val="00DE45BD"/>
    <w:rsid w:val="00DE4637"/>
    <w:rsid w:val="00DE4638"/>
    <w:rsid w:val="00DE4645"/>
    <w:rsid w:val="00DE46B5"/>
    <w:rsid w:val="00DE47CA"/>
    <w:rsid w:val="00DE4808"/>
    <w:rsid w:val="00DE4809"/>
    <w:rsid w:val="00DE4827"/>
    <w:rsid w:val="00DE48D4"/>
    <w:rsid w:val="00DE4926"/>
    <w:rsid w:val="00DE4B09"/>
    <w:rsid w:val="00DE4B0A"/>
    <w:rsid w:val="00DE4B9B"/>
    <w:rsid w:val="00DE4BB5"/>
    <w:rsid w:val="00DE4BD3"/>
    <w:rsid w:val="00DE4BF0"/>
    <w:rsid w:val="00DE4C09"/>
    <w:rsid w:val="00DE4C5E"/>
    <w:rsid w:val="00DE4DC2"/>
    <w:rsid w:val="00DE4DD1"/>
    <w:rsid w:val="00DE4E3F"/>
    <w:rsid w:val="00DE4E7F"/>
    <w:rsid w:val="00DE4F38"/>
    <w:rsid w:val="00DE4F71"/>
    <w:rsid w:val="00DE4F75"/>
    <w:rsid w:val="00DE500F"/>
    <w:rsid w:val="00DE507B"/>
    <w:rsid w:val="00DE50C2"/>
    <w:rsid w:val="00DE50E8"/>
    <w:rsid w:val="00DE525E"/>
    <w:rsid w:val="00DE5279"/>
    <w:rsid w:val="00DE5325"/>
    <w:rsid w:val="00DE53B4"/>
    <w:rsid w:val="00DE53C0"/>
    <w:rsid w:val="00DE5414"/>
    <w:rsid w:val="00DE5474"/>
    <w:rsid w:val="00DE54B1"/>
    <w:rsid w:val="00DE54E0"/>
    <w:rsid w:val="00DE552A"/>
    <w:rsid w:val="00DE55BA"/>
    <w:rsid w:val="00DE55E2"/>
    <w:rsid w:val="00DE55E6"/>
    <w:rsid w:val="00DE5656"/>
    <w:rsid w:val="00DE569F"/>
    <w:rsid w:val="00DE56B6"/>
    <w:rsid w:val="00DE571C"/>
    <w:rsid w:val="00DE5791"/>
    <w:rsid w:val="00DE57A9"/>
    <w:rsid w:val="00DE5835"/>
    <w:rsid w:val="00DE5953"/>
    <w:rsid w:val="00DE5A41"/>
    <w:rsid w:val="00DE5ABD"/>
    <w:rsid w:val="00DE5C1D"/>
    <w:rsid w:val="00DE5C53"/>
    <w:rsid w:val="00DE5CED"/>
    <w:rsid w:val="00DE5D0D"/>
    <w:rsid w:val="00DE5D54"/>
    <w:rsid w:val="00DE5DFA"/>
    <w:rsid w:val="00DE5E01"/>
    <w:rsid w:val="00DE5E85"/>
    <w:rsid w:val="00DE5F0A"/>
    <w:rsid w:val="00DE5F97"/>
    <w:rsid w:val="00DE5FA6"/>
    <w:rsid w:val="00DE5FF9"/>
    <w:rsid w:val="00DE604C"/>
    <w:rsid w:val="00DE61A3"/>
    <w:rsid w:val="00DE61FB"/>
    <w:rsid w:val="00DE6226"/>
    <w:rsid w:val="00DE6271"/>
    <w:rsid w:val="00DE62BA"/>
    <w:rsid w:val="00DE63A5"/>
    <w:rsid w:val="00DE6489"/>
    <w:rsid w:val="00DE6524"/>
    <w:rsid w:val="00DE66C9"/>
    <w:rsid w:val="00DE67BB"/>
    <w:rsid w:val="00DE67DD"/>
    <w:rsid w:val="00DE681A"/>
    <w:rsid w:val="00DE6957"/>
    <w:rsid w:val="00DE6978"/>
    <w:rsid w:val="00DE69A8"/>
    <w:rsid w:val="00DE69F3"/>
    <w:rsid w:val="00DE6ADD"/>
    <w:rsid w:val="00DE6AFB"/>
    <w:rsid w:val="00DE6BDD"/>
    <w:rsid w:val="00DE6C7C"/>
    <w:rsid w:val="00DE6C87"/>
    <w:rsid w:val="00DE6D25"/>
    <w:rsid w:val="00DE6D68"/>
    <w:rsid w:val="00DE6D7E"/>
    <w:rsid w:val="00DE6D81"/>
    <w:rsid w:val="00DE6E07"/>
    <w:rsid w:val="00DE6E23"/>
    <w:rsid w:val="00DE6E68"/>
    <w:rsid w:val="00DE6E73"/>
    <w:rsid w:val="00DE6EAE"/>
    <w:rsid w:val="00DE6F22"/>
    <w:rsid w:val="00DE6F4C"/>
    <w:rsid w:val="00DE6F4F"/>
    <w:rsid w:val="00DE6F5C"/>
    <w:rsid w:val="00DE6FAE"/>
    <w:rsid w:val="00DE6FCC"/>
    <w:rsid w:val="00DE709F"/>
    <w:rsid w:val="00DE70C5"/>
    <w:rsid w:val="00DE7158"/>
    <w:rsid w:val="00DE731B"/>
    <w:rsid w:val="00DE733E"/>
    <w:rsid w:val="00DE7397"/>
    <w:rsid w:val="00DE73EB"/>
    <w:rsid w:val="00DE74E8"/>
    <w:rsid w:val="00DE7538"/>
    <w:rsid w:val="00DE7555"/>
    <w:rsid w:val="00DE75F8"/>
    <w:rsid w:val="00DE76B2"/>
    <w:rsid w:val="00DE7716"/>
    <w:rsid w:val="00DE773D"/>
    <w:rsid w:val="00DE7744"/>
    <w:rsid w:val="00DE77D3"/>
    <w:rsid w:val="00DE77E6"/>
    <w:rsid w:val="00DE7872"/>
    <w:rsid w:val="00DE796D"/>
    <w:rsid w:val="00DE7A0E"/>
    <w:rsid w:val="00DE7A81"/>
    <w:rsid w:val="00DE7AEB"/>
    <w:rsid w:val="00DE7C00"/>
    <w:rsid w:val="00DE7D3C"/>
    <w:rsid w:val="00DE7DB6"/>
    <w:rsid w:val="00DE7DEB"/>
    <w:rsid w:val="00DE7E5D"/>
    <w:rsid w:val="00DE7E83"/>
    <w:rsid w:val="00DE7EBB"/>
    <w:rsid w:val="00DE7EEB"/>
    <w:rsid w:val="00DE7F05"/>
    <w:rsid w:val="00DE7F12"/>
    <w:rsid w:val="00DF0032"/>
    <w:rsid w:val="00DF0095"/>
    <w:rsid w:val="00DF010B"/>
    <w:rsid w:val="00DF011F"/>
    <w:rsid w:val="00DF014E"/>
    <w:rsid w:val="00DF01F1"/>
    <w:rsid w:val="00DF0443"/>
    <w:rsid w:val="00DF04DB"/>
    <w:rsid w:val="00DF04EC"/>
    <w:rsid w:val="00DF0566"/>
    <w:rsid w:val="00DF060C"/>
    <w:rsid w:val="00DF0620"/>
    <w:rsid w:val="00DF073E"/>
    <w:rsid w:val="00DF0759"/>
    <w:rsid w:val="00DF07BA"/>
    <w:rsid w:val="00DF07E0"/>
    <w:rsid w:val="00DF0858"/>
    <w:rsid w:val="00DF085F"/>
    <w:rsid w:val="00DF0A14"/>
    <w:rsid w:val="00DF0AD0"/>
    <w:rsid w:val="00DF0B46"/>
    <w:rsid w:val="00DF0B7D"/>
    <w:rsid w:val="00DF0B8D"/>
    <w:rsid w:val="00DF0BB8"/>
    <w:rsid w:val="00DF0C10"/>
    <w:rsid w:val="00DF0C7C"/>
    <w:rsid w:val="00DF0C97"/>
    <w:rsid w:val="00DF0D62"/>
    <w:rsid w:val="00DF0E0D"/>
    <w:rsid w:val="00DF0E62"/>
    <w:rsid w:val="00DF0ED6"/>
    <w:rsid w:val="00DF0F9B"/>
    <w:rsid w:val="00DF103D"/>
    <w:rsid w:val="00DF107C"/>
    <w:rsid w:val="00DF10B2"/>
    <w:rsid w:val="00DF10BC"/>
    <w:rsid w:val="00DF10F3"/>
    <w:rsid w:val="00DF1144"/>
    <w:rsid w:val="00DF1199"/>
    <w:rsid w:val="00DF11DF"/>
    <w:rsid w:val="00DF129D"/>
    <w:rsid w:val="00DF138E"/>
    <w:rsid w:val="00DF13A9"/>
    <w:rsid w:val="00DF13BC"/>
    <w:rsid w:val="00DF13C2"/>
    <w:rsid w:val="00DF13CF"/>
    <w:rsid w:val="00DF1442"/>
    <w:rsid w:val="00DF1502"/>
    <w:rsid w:val="00DF159E"/>
    <w:rsid w:val="00DF15EE"/>
    <w:rsid w:val="00DF160B"/>
    <w:rsid w:val="00DF1624"/>
    <w:rsid w:val="00DF168E"/>
    <w:rsid w:val="00DF168F"/>
    <w:rsid w:val="00DF169C"/>
    <w:rsid w:val="00DF16C5"/>
    <w:rsid w:val="00DF1718"/>
    <w:rsid w:val="00DF1849"/>
    <w:rsid w:val="00DF1854"/>
    <w:rsid w:val="00DF189A"/>
    <w:rsid w:val="00DF18E7"/>
    <w:rsid w:val="00DF1906"/>
    <w:rsid w:val="00DF19F6"/>
    <w:rsid w:val="00DF1AF9"/>
    <w:rsid w:val="00DF1B1F"/>
    <w:rsid w:val="00DF1C69"/>
    <w:rsid w:val="00DF1C70"/>
    <w:rsid w:val="00DF1C91"/>
    <w:rsid w:val="00DF1DAF"/>
    <w:rsid w:val="00DF1DFC"/>
    <w:rsid w:val="00DF1FE5"/>
    <w:rsid w:val="00DF202C"/>
    <w:rsid w:val="00DF20B0"/>
    <w:rsid w:val="00DF21D7"/>
    <w:rsid w:val="00DF2280"/>
    <w:rsid w:val="00DF2336"/>
    <w:rsid w:val="00DF2339"/>
    <w:rsid w:val="00DF2449"/>
    <w:rsid w:val="00DF245A"/>
    <w:rsid w:val="00DF24EB"/>
    <w:rsid w:val="00DF254F"/>
    <w:rsid w:val="00DF255B"/>
    <w:rsid w:val="00DF256D"/>
    <w:rsid w:val="00DF2656"/>
    <w:rsid w:val="00DF26E5"/>
    <w:rsid w:val="00DF27E5"/>
    <w:rsid w:val="00DF27E6"/>
    <w:rsid w:val="00DF27F6"/>
    <w:rsid w:val="00DF2885"/>
    <w:rsid w:val="00DF2A61"/>
    <w:rsid w:val="00DF2A7E"/>
    <w:rsid w:val="00DF2AEF"/>
    <w:rsid w:val="00DF2B14"/>
    <w:rsid w:val="00DF2B59"/>
    <w:rsid w:val="00DF2C54"/>
    <w:rsid w:val="00DF2C61"/>
    <w:rsid w:val="00DF2CBA"/>
    <w:rsid w:val="00DF2DCF"/>
    <w:rsid w:val="00DF2F78"/>
    <w:rsid w:val="00DF2F84"/>
    <w:rsid w:val="00DF30E3"/>
    <w:rsid w:val="00DF30F5"/>
    <w:rsid w:val="00DF3136"/>
    <w:rsid w:val="00DF31FB"/>
    <w:rsid w:val="00DF3203"/>
    <w:rsid w:val="00DF3440"/>
    <w:rsid w:val="00DF34F9"/>
    <w:rsid w:val="00DF3517"/>
    <w:rsid w:val="00DF3549"/>
    <w:rsid w:val="00DF3635"/>
    <w:rsid w:val="00DF36C4"/>
    <w:rsid w:val="00DF36DD"/>
    <w:rsid w:val="00DF37D3"/>
    <w:rsid w:val="00DF380B"/>
    <w:rsid w:val="00DF3856"/>
    <w:rsid w:val="00DF38F2"/>
    <w:rsid w:val="00DF38FA"/>
    <w:rsid w:val="00DF3A9B"/>
    <w:rsid w:val="00DF3B89"/>
    <w:rsid w:val="00DF3BBE"/>
    <w:rsid w:val="00DF3BD1"/>
    <w:rsid w:val="00DF3D04"/>
    <w:rsid w:val="00DF3D29"/>
    <w:rsid w:val="00DF3DBE"/>
    <w:rsid w:val="00DF3E58"/>
    <w:rsid w:val="00DF3E94"/>
    <w:rsid w:val="00DF3FE0"/>
    <w:rsid w:val="00DF3FE5"/>
    <w:rsid w:val="00DF4043"/>
    <w:rsid w:val="00DF4057"/>
    <w:rsid w:val="00DF40C2"/>
    <w:rsid w:val="00DF4123"/>
    <w:rsid w:val="00DF412C"/>
    <w:rsid w:val="00DF415C"/>
    <w:rsid w:val="00DF4238"/>
    <w:rsid w:val="00DF437F"/>
    <w:rsid w:val="00DF43D0"/>
    <w:rsid w:val="00DF43EA"/>
    <w:rsid w:val="00DF4450"/>
    <w:rsid w:val="00DF449A"/>
    <w:rsid w:val="00DF4506"/>
    <w:rsid w:val="00DF4563"/>
    <w:rsid w:val="00DF4586"/>
    <w:rsid w:val="00DF45A7"/>
    <w:rsid w:val="00DF45AB"/>
    <w:rsid w:val="00DF45F4"/>
    <w:rsid w:val="00DF46B4"/>
    <w:rsid w:val="00DF47DC"/>
    <w:rsid w:val="00DF4854"/>
    <w:rsid w:val="00DF490D"/>
    <w:rsid w:val="00DF4999"/>
    <w:rsid w:val="00DF499A"/>
    <w:rsid w:val="00DF4A38"/>
    <w:rsid w:val="00DF4B70"/>
    <w:rsid w:val="00DF4BEC"/>
    <w:rsid w:val="00DF4C5C"/>
    <w:rsid w:val="00DF4C63"/>
    <w:rsid w:val="00DF4D23"/>
    <w:rsid w:val="00DF4D8C"/>
    <w:rsid w:val="00DF4D9B"/>
    <w:rsid w:val="00DF4E5F"/>
    <w:rsid w:val="00DF4F0A"/>
    <w:rsid w:val="00DF4FAF"/>
    <w:rsid w:val="00DF5020"/>
    <w:rsid w:val="00DF513C"/>
    <w:rsid w:val="00DF51A1"/>
    <w:rsid w:val="00DF5230"/>
    <w:rsid w:val="00DF52A0"/>
    <w:rsid w:val="00DF52B1"/>
    <w:rsid w:val="00DF532C"/>
    <w:rsid w:val="00DF5365"/>
    <w:rsid w:val="00DF5374"/>
    <w:rsid w:val="00DF5403"/>
    <w:rsid w:val="00DF5421"/>
    <w:rsid w:val="00DF5488"/>
    <w:rsid w:val="00DF54CF"/>
    <w:rsid w:val="00DF54F7"/>
    <w:rsid w:val="00DF54FD"/>
    <w:rsid w:val="00DF558A"/>
    <w:rsid w:val="00DF55FD"/>
    <w:rsid w:val="00DF5690"/>
    <w:rsid w:val="00DF5699"/>
    <w:rsid w:val="00DF56DE"/>
    <w:rsid w:val="00DF575D"/>
    <w:rsid w:val="00DF57AB"/>
    <w:rsid w:val="00DF581C"/>
    <w:rsid w:val="00DF586E"/>
    <w:rsid w:val="00DF5874"/>
    <w:rsid w:val="00DF58FD"/>
    <w:rsid w:val="00DF5919"/>
    <w:rsid w:val="00DF5956"/>
    <w:rsid w:val="00DF599C"/>
    <w:rsid w:val="00DF5B43"/>
    <w:rsid w:val="00DF5BB0"/>
    <w:rsid w:val="00DF5C75"/>
    <w:rsid w:val="00DF5CA1"/>
    <w:rsid w:val="00DF5CC6"/>
    <w:rsid w:val="00DF5CD6"/>
    <w:rsid w:val="00DF5CF6"/>
    <w:rsid w:val="00DF5D3B"/>
    <w:rsid w:val="00DF5D60"/>
    <w:rsid w:val="00DF5D8C"/>
    <w:rsid w:val="00DF5E6A"/>
    <w:rsid w:val="00DF5E90"/>
    <w:rsid w:val="00DF5F99"/>
    <w:rsid w:val="00DF6053"/>
    <w:rsid w:val="00DF609B"/>
    <w:rsid w:val="00DF614D"/>
    <w:rsid w:val="00DF61A2"/>
    <w:rsid w:val="00DF625C"/>
    <w:rsid w:val="00DF62E4"/>
    <w:rsid w:val="00DF633C"/>
    <w:rsid w:val="00DF6342"/>
    <w:rsid w:val="00DF6354"/>
    <w:rsid w:val="00DF63B4"/>
    <w:rsid w:val="00DF63BF"/>
    <w:rsid w:val="00DF6465"/>
    <w:rsid w:val="00DF6498"/>
    <w:rsid w:val="00DF6577"/>
    <w:rsid w:val="00DF666C"/>
    <w:rsid w:val="00DF6713"/>
    <w:rsid w:val="00DF678F"/>
    <w:rsid w:val="00DF67A9"/>
    <w:rsid w:val="00DF68AC"/>
    <w:rsid w:val="00DF6A38"/>
    <w:rsid w:val="00DF6AB7"/>
    <w:rsid w:val="00DF6B68"/>
    <w:rsid w:val="00DF6B8E"/>
    <w:rsid w:val="00DF6BC0"/>
    <w:rsid w:val="00DF6BF3"/>
    <w:rsid w:val="00DF6C2E"/>
    <w:rsid w:val="00DF6C32"/>
    <w:rsid w:val="00DF6C8F"/>
    <w:rsid w:val="00DF6D9E"/>
    <w:rsid w:val="00DF6DB5"/>
    <w:rsid w:val="00DF6E1A"/>
    <w:rsid w:val="00DF6EFC"/>
    <w:rsid w:val="00DF6F19"/>
    <w:rsid w:val="00DF6F6D"/>
    <w:rsid w:val="00DF6F7C"/>
    <w:rsid w:val="00DF7065"/>
    <w:rsid w:val="00DF7072"/>
    <w:rsid w:val="00DF70C7"/>
    <w:rsid w:val="00DF716D"/>
    <w:rsid w:val="00DF7180"/>
    <w:rsid w:val="00DF7186"/>
    <w:rsid w:val="00DF71C7"/>
    <w:rsid w:val="00DF7294"/>
    <w:rsid w:val="00DF7317"/>
    <w:rsid w:val="00DF73D2"/>
    <w:rsid w:val="00DF756B"/>
    <w:rsid w:val="00DF75EB"/>
    <w:rsid w:val="00DF7649"/>
    <w:rsid w:val="00DF7673"/>
    <w:rsid w:val="00DF76EB"/>
    <w:rsid w:val="00DF7709"/>
    <w:rsid w:val="00DF7711"/>
    <w:rsid w:val="00DF78C2"/>
    <w:rsid w:val="00DF7956"/>
    <w:rsid w:val="00DF79A7"/>
    <w:rsid w:val="00DF79D7"/>
    <w:rsid w:val="00DF79FC"/>
    <w:rsid w:val="00DF7ABC"/>
    <w:rsid w:val="00DF7B36"/>
    <w:rsid w:val="00DF7B46"/>
    <w:rsid w:val="00DF7B69"/>
    <w:rsid w:val="00DF7C62"/>
    <w:rsid w:val="00DF7CAB"/>
    <w:rsid w:val="00DF7D0E"/>
    <w:rsid w:val="00DF7E3C"/>
    <w:rsid w:val="00DF7E62"/>
    <w:rsid w:val="00DF7E9F"/>
    <w:rsid w:val="00DF7EA2"/>
    <w:rsid w:val="00DF7F2C"/>
    <w:rsid w:val="00DF7F8E"/>
    <w:rsid w:val="00E00097"/>
    <w:rsid w:val="00E0010F"/>
    <w:rsid w:val="00E001A9"/>
    <w:rsid w:val="00E001B6"/>
    <w:rsid w:val="00E00289"/>
    <w:rsid w:val="00E00314"/>
    <w:rsid w:val="00E0032B"/>
    <w:rsid w:val="00E00367"/>
    <w:rsid w:val="00E00394"/>
    <w:rsid w:val="00E003B9"/>
    <w:rsid w:val="00E003EB"/>
    <w:rsid w:val="00E004A8"/>
    <w:rsid w:val="00E00508"/>
    <w:rsid w:val="00E0052C"/>
    <w:rsid w:val="00E005B5"/>
    <w:rsid w:val="00E0078C"/>
    <w:rsid w:val="00E007D7"/>
    <w:rsid w:val="00E00846"/>
    <w:rsid w:val="00E008ED"/>
    <w:rsid w:val="00E00944"/>
    <w:rsid w:val="00E00A81"/>
    <w:rsid w:val="00E00B05"/>
    <w:rsid w:val="00E00B94"/>
    <w:rsid w:val="00E00BB7"/>
    <w:rsid w:val="00E00BDB"/>
    <w:rsid w:val="00E00C17"/>
    <w:rsid w:val="00E00CD8"/>
    <w:rsid w:val="00E00D25"/>
    <w:rsid w:val="00E00DC9"/>
    <w:rsid w:val="00E00E6A"/>
    <w:rsid w:val="00E00F06"/>
    <w:rsid w:val="00E00F98"/>
    <w:rsid w:val="00E00F9B"/>
    <w:rsid w:val="00E00FB5"/>
    <w:rsid w:val="00E01002"/>
    <w:rsid w:val="00E01028"/>
    <w:rsid w:val="00E0105C"/>
    <w:rsid w:val="00E01072"/>
    <w:rsid w:val="00E010B3"/>
    <w:rsid w:val="00E01127"/>
    <w:rsid w:val="00E0123D"/>
    <w:rsid w:val="00E012F1"/>
    <w:rsid w:val="00E013E8"/>
    <w:rsid w:val="00E013EE"/>
    <w:rsid w:val="00E0150C"/>
    <w:rsid w:val="00E016C1"/>
    <w:rsid w:val="00E017FA"/>
    <w:rsid w:val="00E0186D"/>
    <w:rsid w:val="00E01895"/>
    <w:rsid w:val="00E01905"/>
    <w:rsid w:val="00E0190E"/>
    <w:rsid w:val="00E01949"/>
    <w:rsid w:val="00E0195F"/>
    <w:rsid w:val="00E01983"/>
    <w:rsid w:val="00E01A0F"/>
    <w:rsid w:val="00E01BA1"/>
    <w:rsid w:val="00E01C3C"/>
    <w:rsid w:val="00E01CA4"/>
    <w:rsid w:val="00E01CE1"/>
    <w:rsid w:val="00E01CE8"/>
    <w:rsid w:val="00E01D6D"/>
    <w:rsid w:val="00E01D7A"/>
    <w:rsid w:val="00E01DB2"/>
    <w:rsid w:val="00E01DFC"/>
    <w:rsid w:val="00E01E1E"/>
    <w:rsid w:val="00E01F20"/>
    <w:rsid w:val="00E0205B"/>
    <w:rsid w:val="00E020CE"/>
    <w:rsid w:val="00E02149"/>
    <w:rsid w:val="00E024C2"/>
    <w:rsid w:val="00E024DF"/>
    <w:rsid w:val="00E02528"/>
    <w:rsid w:val="00E025A4"/>
    <w:rsid w:val="00E0267E"/>
    <w:rsid w:val="00E026A9"/>
    <w:rsid w:val="00E026AF"/>
    <w:rsid w:val="00E026DF"/>
    <w:rsid w:val="00E027A2"/>
    <w:rsid w:val="00E027FE"/>
    <w:rsid w:val="00E02816"/>
    <w:rsid w:val="00E0285D"/>
    <w:rsid w:val="00E0289D"/>
    <w:rsid w:val="00E028D0"/>
    <w:rsid w:val="00E028DF"/>
    <w:rsid w:val="00E028FA"/>
    <w:rsid w:val="00E0290D"/>
    <w:rsid w:val="00E02950"/>
    <w:rsid w:val="00E02978"/>
    <w:rsid w:val="00E02A5F"/>
    <w:rsid w:val="00E02B38"/>
    <w:rsid w:val="00E02B4C"/>
    <w:rsid w:val="00E02B74"/>
    <w:rsid w:val="00E02D3B"/>
    <w:rsid w:val="00E02D60"/>
    <w:rsid w:val="00E02DFD"/>
    <w:rsid w:val="00E02E17"/>
    <w:rsid w:val="00E02E89"/>
    <w:rsid w:val="00E02EB5"/>
    <w:rsid w:val="00E02EB7"/>
    <w:rsid w:val="00E02FA8"/>
    <w:rsid w:val="00E02FBE"/>
    <w:rsid w:val="00E02FD8"/>
    <w:rsid w:val="00E031E9"/>
    <w:rsid w:val="00E032AC"/>
    <w:rsid w:val="00E0335F"/>
    <w:rsid w:val="00E034CF"/>
    <w:rsid w:val="00E03580"/>
    <w:rsid w:val="00E035AC"/>
    <w:rsid w:val="00E0374F"/>
    <w:rsid w:val="00E0382D"/>
    <w:rsid w:val="00E038B9"/>
    <w:rsid w:val="00E03922"/>
    <w:rsid w:val="00E03A09"/>
    <w:rsid w:val="00E03A2F"/>
    <w:rsid w:val="00E03B32"/>
    <w:rsid w:val="00E03C26"/>
    <w:rsid w:val="00E03C30"/>
    <w:rsid w:val="00E03C9B"/>
    <w:rsid w:val="00E03CCF"/>
    <w:rsid w:val="00E03D8E"/>
    <w:rsid w:val="00E03E98"/>
    <w:rsid w:val="00E03FB2"/>
    <w:rsid w:val="00E0413B"/>
    <w:rsid w:val="00E04230"/>
    <w:rsid w:val="00E042C6"/>
    <w:rsid w:val="00E0431A"/>
    <w:rsid w:val="00E04343"/>
    <w:rsid w:val="00E0436E"/>
    <w:rsid w:val="00E04481"/>
    <w:rsid w:val="00E04578"/>
    <w:rsid w:val="00E04616"/>
    <w:rsid w:val="00E0466D"/>
    <w:rsid w:val="00E04682"/>
    <w:rsid w:val="00E0477F"/>
    <w:rsid w:val="00E0478E"/>
    <w:rsid w:val="00E0479C"/>
    <w:rsid w:val="00E047A3"/>
    <w:rsid w:val="00E047B0"/>
    <w:rsid w:val="00E0481B"/>
    <w:rsid w:val="00E04864"/>
    <w:rsid w:val="00E0488C"/>
    <w:rsid w:val="00E048BA"/>
    <w:rsid w:val="00E04952"/>
    <w:rsid w:val="00E0499E"/>
    <w:rsid w:val="00E04A24"/>
    <w:rsid w:val="00E04ADE"/>
    <w:rsid w:val="00E04B56"/>
    <w:rsid w:val="00E04B7F"/>
    <w:rsid w:val="00E04BA7"/>
    <w:rsid w:val="00E04E5C"/>
    <w:rsid w:val="00E04E80"/>
    <w:rsid w:val="00E04E89"/>
    <w:rsid w:val="00E05074"/>
    <w:rsid w:val="00E050E5"/>
    <w:rsid w:val="00E051D4"/>
    <w:rsid w:val="00E05322"/>
    <w:rsid w:val="00E053E3"/>
    <w:rsid w:val="00E05536"/>
    <w:rsid w:val="00E0555A"/>
    <w:rsid w:val="00E05595"/>
    <w:rsid w:val="00E055B5"/>
    <w:rsid w:val="00E05708"/>
    <w:rsid w:val="00E0579E"/>
    <w:rsid w:val="00E058D7"/>
    <w:rsid w:val="00E0590E"/>
    <w:rsid w:val="00E0592F"/>
    <w:rsid w:val="00E05A45"/>
    <w:rsid w:val="00E05AC9"/>
    <w:rsid w:val="00E05AEE"/>
    <w:rsid w:val="00E05B2F"/>
    <w:rsid w:val="00E05B80"/>
    <w:rsid w:val="00E05C5B"/>
    <w:rsid w:val="00E05C9C"/>
    <w:rsid w:val="00E05CC0"/>
    <w:rsid w:val="00E05CF5"/>
    <w:rsid w:val="00E05CFC"/>
    <w:rsid w:val="00E05D20"/>
    <w:rsid w:val="00E05D28"/>
    <w:rsid w:val="00E05D60"/>
    <w:rsid w:val="00E05DAA"/>
    <w:rsid w:val="00E05ED5"/>
    <w:rsid w:val="00E05F6B"/>
    <w:rsid w:val="00E05F8C"/>
    <w:rsid w:val="00E05FA0"/>
    <w:rsid w:val="00E06032"/>
    <w:rsid w:val="00E0607D"/>
    <w:rsid w:val="00E06094"/>
    <w:rsid w:val="00E06153"/>
    <w:rsid w:val="00E0622B"/>
    <w:rsid w:val="00E06338"/>
    <w:rsid w:val="00E06346"/>
    <w:rsid w:val="00E0638C"/>
    <w:rsid w:val="00E06478"/>
    <w:rsid w:val="00E064A7"/>
    <w:rsid w:val="00E064B8"/>
    <w:rsid w:val="00E0657E"/>
    <w:rsid w:val="00E0658B"/>
    <w:rsid w:val="00E065CB"/>
    <w:rsid w:val="00E065F7"/>
    <w:rsid w:val="00E06707"/>
    <w:rsid w:val="00E0672B"/>
    <w:rsid w:val="00E06774"/>
    <w:rsid w:val="00E06818"/>
    <w:rsid w:val="00E06911"/>
    <w:rsid w:val="00E069D8"/>
    <w:rsid w:val="00E06A2C"/>
    <w:rsid w:val="00E06A9C"/>
    <w:rsid w:val="00E06B86"/>
    <w:rsid w:val="00E06B9B"/>
    <w:rsid w:val="00E06BA2"/>
    <w:rsid w:val="00E06CBD"/>
    <w:rsid w:val="00E06D0E"/>
    <w:rsid w:val="00E06DE6"/>
    <w:rsid w:val="00E06E2E"/>
    <w:rsid w:val="00E06EB1"/>
    <w:rsid w:val="00E06F23"/>
    <w:rsid w:val="00E06F31"/>
    <w:rsid w:val="00E06F6F"/>
    <w:rsid w:val="00E070BE"/>
    <w:rsid w:val="00E0723B"/>
    <w:rsid w:val="00E072DC"/>
    <w:rsid w:val="00E072FF"/>
    <w:rsid w:val="00E0736E"/>
    <w:rsid w:val="00E07379"/>
    <w:rsid w:val="00E07450"/>
    <w:rsid w:val="00E07462"/>
    <w:rsid w:val="00E07470"/>
    <w:rsid w:val="00E0750D"/>
    <w:rsid w:val="00E07522"/>
    <w:rsid w:val="00E0756D"/>
    <w:rsid w:val="00E0762C"/>
    <w:rsid w:val="00E0765F"/>
    <w:rsid w:val="00E0766E"/>
    <w:rsid w:val="00E07708"/>
    <w:rsid w:val="00E07798"/>
    <w:rsid w:val="00E077B8"/>
    <w:rsid w:val="00E07845"/>
    <w:rsid w:val="00E078EC"/>
    <w:rsid w:val="00E078FF"/>
    <w:rsid w:val="00E0797B"/>
    <w:rsid w:val="00E079FF"/>
    <w:rsid w:val="00E07A39"/>
    <w:rsid w:val="00E07A52"/>
    <w:rsid w:val="00E07B4C"/>
    <w:rsid w:val="00E07BFE"/>
    <w:rsid w:val="00E07C64"/>
    <w:rsid w:val="00E07C7A"/>
    <w:rsid w:val="00E07D25"/>
    <w:rsid w:val="00E07DAD"/>
    <w:rsid w:val="00E07E12"/>
    <w:rsid w:val="00E07E1B"/>
    <w:rsid w:val="00E07E91"/>
    <w:rsid w:val="00E07EB5"/>
    <w:rsid w:val="00E07FC4"/>
    <w:rsid w:val="00E07FED"/>
    <w:rsid w:val="00E10096"/>
    <w:rsid w:val="00E10153"/>
    <w:rsid w:val="00E101A6"/>
    <w:rsid w:val="00E101C4"/>
    <w:rsid w:val="00E101FC"/>
    <w:rsid w:val="00E10243"/>
    <w:rsid w:val="00E102E9"/>
    <w:rsid w:val="00E10331"/>
    <w:rsid w:val="00E10481"/>
    <w:rsid w:val="00E1048F"/>
    <w:rsid w:val="00E10499"/>
    <w:rsid w:val="00E104C7"/>
    <w:rsid w:val="00E1058C"/>
    <w:rsid w:val="00E105E9"/>
    <w:rsid w:val="00E105EF"/>
    <w:rsid w:val="00E10637"/>
    <w:rsid w:val="00E10651"/>
    <w:rsid w:val="00E1070B"/>
    <w:rsid w:val="00E107F0"/>
    <w:rsid w:val="00E10852"/>
    <w:rsid w:val="00E1086A"/>
    <w:rsid w:val="00E109A1"/>
    <w:rsid w:val="00E10A22"/>
    <w:rsid w:val="00E10A53"/>
    <w:rsid w:val="00E10ADB"/>
    <w:rsid w:val="00E10AEF"/>
    <w:rsid w:val="00E10CC9"/>
    <w:rsid w:val="00E10CE5"/>
    <w:rsid w:val="00E10D4B"/>
    <w:rsid w:val="00E10E0F"/>
    <w:rsid w:val="00E10F39"/>
    <w:rsid w:val="00E10F54"/>
    <w:rsid w:val="00E10F55"/>
    <w:rsid w:val="00E10F9E"/>
    <w:rsid w:val="00E1102E"/>
    <w:rsid w:val="00E11052"/>
    <w:rsid w:val="00E1109D"/>
    <w:rsid w:val="00E110E7"/>
    <w:rsid w:val="00E1110C"/>
    <w:rsid w:val="00E11124"/>
    <w:rsid w:val="00E11154"/>
    <w:rsid w:val="00E111CE"/>
    <w:rsid w:val="00E111FE"/>
    <w:rsid w:val="00E112C2"/>
    <w:rsid w:val="00E113B1"/>
    <w:rsid w:val="00E11405"/>
    <w:rsid w:val="00E1147A"/>
    <w:rsid w:val="00E11481"/>
    <w:rsid w:val="00E114D7"/>
    <w:rsid w:val="00E11543"/>
    <w:rsid w:val="00E115FA"/>
    <w:rsid w:val="00E11676"/>
    <w:rsid w:val="00E118E1"/>
    <w:rsid w:val="00E118EE"/>
    <w:rsid w:val="00E11997"/>
    <w:rsid w:val="00E119C0"/>
    <w:rsid w:val="00E11B46"/>
    <w:rsid w:val="00E11BDB"/>
    <w:rsid w:val="00E11C72"/>
    <w:rsid w:val="00E11C97"/>
    <w:rsid w:val="00E11D0D"/>
    <w:rsid w:val="00E11D1D"/>
    <w:rsid w:val="00E11E6C"/>
    <w:rsid w:val="00E11E6E"/>
    <w:rsid w:val="00E11E70"/>
    <w:rsid w:val="00E11EAC"/>
    <w:rsid w:val="00E11F30"/>
    <w:rsid w:val="00E11F82"/>
    <w:rsid w:val="00E11F8E"/>
    <w:rsid w:val="00E11FD0"/>
    <w:rsid w:val="00E12093"/>
    <w:rsid w:val="00E12095"/>
    <w:rsid w:val="00E120D1"/>
    <w:rsid w:val="00E120D2"/>
    <w:rsid w:val="00E120D7"/>
    <w:rsid w:val="00E1211E"/>
    <w:rsid w:val="00E12138"/>
    <w:rsid w:val="00E1215C"/>
    <w:rsid w:val="00E121DE"/>
    <w:rsid w:val="00E12244"/>
    <w:rsid w:val="00E122FB"/>
    <w:rsid w:val="00E12396"/>
    <w:rsid w:val="00E1244A"/>
    <w:rsid w:val="00E12465"/>
    <w:rsid w:val="00E1266B"/>
    <w:rsid w:val="00E12695"/>
    <w:rsid w:val="00E126AE"/>
    <w:rsid w:val="00E126C7"/>
    <w:rsid w:val="00E126CF"/>
    <w:rsid w:val="00E1277B"/>
    <w:rsid w:val="00E1278B"/>
    <w:rsid w:val="00E12798"/>
    <w:rsid w:val="00E127B7"/>
    <w:rsid w:val="00E128AF"/>
    <w:rsid w:val="00E1295B"/>
    <w:rsid w:val="00E129A0"/>
    <w:rsid w:val="00E12AA3"/>
    <w:rsid w:val="00E12BF2"/>
    <w:rsid w:val="00E12C28"/>
    <w:rsid w:val="00E12CE6"/>
    <w:rsid w:val="00E12CE7"/>
    <w:rsid w:val="00E12D27"/>
    <w:rsid w:val="00E12D7C"/>
    <w:rsid w:val="00E12DA2"/>
    <w:rsid w:val="00E12DC5"/>
    <w:rsid w:val="00E12E0F"/>
    <w:rsid w:val="00E12E3D"/>
    <w:rsid w:val="00E12EBC"/>
    <w:rsid w:val="00E12EC7"/>
    <w:rsid w:val="00E12ECF"/>
    <w:rsid w:val="00E12F24"/>
    <w:rsid w:val="00E12F6B"/>
    <w:rsid w:val="00E12F9E"/>
    <w:rsid w:val="00E1301B"/>
    <w:rsid w:val="00E1308B"/>
    <w:rsid w:val="00E1318F"/>
    <w:rsid w:val="00E13194"/>
    <w:rsid w:val="00E13204"/>
    <w:rsid w:val="00E1321C"/>
    <w:rsid w:val="00E13246"/>
    <w:rsid w:val="00E13280"/>
    <w:rsid w:val="00E13315"/>
    <w:rsid w:val="00E13487"/>
    <w:rsid w:val="00E134AE"/>
    <w:rsid w:val="00E13528"/>
    <w:rsid w:val="00E1357A"/>
    <w:rsid w:val="00E136B1"/>
    <w:rsid w:val="00E136DB"/>
    <w:rsid w:val="00E136FB"/>
    <w:rsid w:val="00E13755"/>
    <w:rsid w:val="00E13799"/>
    <w:rsid w:val="00E13881"/>
    <w:rsid w:val="00E13938"/>
    <w:rsid w:val="00E139FF"/>
    <w:rsid w:val="00E13A2C"/>
    <w:rsid w:val="00E13A86"/>
    <w:rsid w:val="00E13B02"/>
    <w:rsid w:val="00E13B27"/>
    <w:rsid w:val="00E13BC0"/>
    <w:rsid w:val="00E13C37"/>
    <w:rsid w:val="00E13C53"/>
    <w:rsid w:val="00E13D50"/>
    <w:rsid w:val="00E13DDF"/>
    <w:rsid w:val="00E13E7B"/>
    <w:rsid w:val="00E13ED7"/>
    <w:rsid w:val="00E13F57"/>
    <w:rsid w:val="00E13FE4"/>
    <w:rsid w:val="00E14012"/>
    <w:rsid w:val="00E14053"/>
    <w:rsid w:val="00E14164"/>
    <w:rsid w:val="00E14206"/>
    <w:rsid w:val="00E14229"/>
    <w:rsid w:val="00E14306"/>
    <w:rsid w:val="00E14333"/>
    <w:rsid w:val="00E1434A"/>
    <w:rsid w:val="00E14429"/>
    <w:rsid w:val="00E1443F"/>
    <w:rsid w:val="00E14449"/>
    <w:rsid w:val="00E146A7"/>
    <w:rsid w:val="00E14712"/>
    <w:rsid w:val="00E1473A"/>
    <w:rsid w:val="00E1476F"/>
    <w:rsid w:val="00E1479F"/>
    <w:rsid w:val="00E147F4"/>
    <w:rsid w:val="00E1484C"/>
    <w:rsid w:val="00E14890"/>
    <w:rsid w:val="00E148AC"/>
    <w:rsid w:val="00E1493F"/>
    <w:rsid w:val="00E14989"/>
    <w:rsid w:val="00E14A14"/>
    <w:rsid w:val="00E14A40"/>
    <w:rsid w:val="00E14AC1"/>
    <w:rsid w:val="00E14AC6"/>
    <w:rsid w:val="00E14B5B"/>
    <w:rsid w:val="00E14BE3"/>
    <w:rsid w:val="00E14BF9"/>
    <w:rsid w:val="00E14BFA"/>
    <w:rsid w:val="00E14C4D"/>
    <w:rsid w:val="00E14CAB"/>
    <w:rsid w:val="00E14CAF"/>
    <w:rsid w:val="00E14CBF"/>
    <w:rsid w:val="00E14D02"/>
    <w:rsid w:val="00E14DC5"/>
    <w:rsid w:val="00E14E54"/>
    <w:rsid w:val="00E14E62"/>
    <w:rsid w:val="00E14E93"/>
    <w:rsid w:val="00E14ECC"/>
    <w:rsid w:val="00E14ECF"/>
    <w:rsid w:val="00E15017"/>
    <w:rsid w:val="00E150E1"/>
    <w:rsid w:val="00E15149"/>
    <w:rsid w:val="00E15235"/>
    <w:rsid w:val="00E1530F"/>
    <w:rsid w:val="00E15320"/>
    <w:rsid w:val="00E1533B"/>
    <w:rsid w:val="00E15386"/>
    <w:rsid w:val="00E153EC"/>
    <w:rsid w:val="00E15431"/>
    <w:rsid w:val="00E15435"/>
    <w:rsid w:val="00E15453"/>
    <w:rsid w:val="00E15459"/>
    <w:rsid w:val="00E1547B"/>
    <w:rsid w:val="00E154F6"/>
    <w:rsid w:val="00E1558D"/>
    <w:rsid w:val="00E1562C"/>
    <w:rsid w:val="00E15687"/>
    <w:rsid w:val="00E156DF"/>
    <w:rsid w:val="00E1579F"/>
    <w:rsid w:val="00E157B0"/>
    <w:rsid w:val="00E157B3"/>
    <w:rsid w:val="00E157EE"/>
    <w:rsid w:val="00E157F3"/>
    <w:rsid w:val="00E1589A"/>
    <w:rsid w:val="00E158A6"/>
    <w:rsid w:val="00E158BC"/>
    <w:rsid w:val="00E158F2"/>
    <w:rsid w:val="00E1594B"/>
    <w:rsid w:val="00E15959"/>
    <w:rsid w:val="00E1599C"/>
    <w:rsid w:val="00E15A14"/>
    <w:rsid w:val="00E15A28"/>
    <w:rsid w:val="00E15A7E"/>
    <w:rsid w:val="00E15B65"/>
    <w:rsid w:val="00E15B87"/>
    <w:rsid w:val="00E15BD2"/>
    <w:rsid w:val="00E15C23"/>
    <w:rsid w:val="00E15C3E"/>
    <w:rsid w:val="00E15C41"/>
    <w:rsid w:val="00E15C44"/>
    <w:rsid w:val="00E15CD1"/>
    <w:rsid w:val="00E15D55"/>
    <w:rsid w:val="00E15DC3"/>
    <w:rsid w:val="00E15DE9"/>
    <w:rsid w:val="00E15F28"/>
    <w:rsid w:val="00E15F46"/>
    <w:rsid w:val="00E15F86"/>
    <w:rsid w:val="00E15FB1"/>
    <w:rsid w:val="00E15FC2"/>
    <w:rsid w:val="00E1602F"/>
    <w:rsid w:val="00E16049"/>
    <w:rsid w:val="00E16060"/>
    <w:rsid w:val="00E16118"/>
    <w:rsid w:val="00E1612A"/>
    <w:rsid w:val="00E16189"/>
    <w:rsid w:val="00E161A0"/>
    <w:rsid w:val="00E1629C"/>
    <w:rsid w:val="00E162AA"/>
    <w:rsid w:val="00E162E7"/>
    <w:rsid w:val="00E162EC"/>
    <w:rsid w:val="00E163A2"/>
    <w:rsid w:val="00E163FB"/>
    <w:rsid w:val="00E16526"/>
    <w:rsid w:val="00E16563"/>
    <w:rsid w:val="00E165E5"/>
    <w:rsid w:val="00E1662A"/>
    <w:rsid w:val="00E1663E"/>
    <w:rsid w:val="00E166AF"/>
    <w:rsid w:val="00E16706"/>
    <w:rsid w:val="00E167FC"/>
    <w:rsid w:val="00E16842"/>
    <w:rsid w:val="00E1685F"/>
    <w:rsid w:val="00E16976"/>
    <w:rsid w:val="00E16987"/>
    <w:rsid w:val="00E16A15"/>
    <w:rsid w:val="00E16A5F"/>
    <w:rsid w:val="00E16BC9"/>
    <w:rsid w:val="00E16BF0"/>
    <w:rsid w:val="00E16C2F"/>
    <w:rsid w:val="00E16C92"/>
    <w:rsid w:val="00E16CD1"/>
    <w:rsid w:val="00E16D10"/>
    <w:rsid w:val="00E16D8C"/>
    <w:rsid w:val="00E16DBF"/>
    <w:rsid w:val="00E16F6E"/>
    <w:rsid w:val="00E16F82"/>
    <w:rsid w:val="00E16F88"/>
    <w:rsid w:val="00E1704A"/>
    <w:rsid w:val="00E17093"/>
    <w:rsid w:val="00E170A6"/>
    <w:rsid w:val="00E170F2"/>
    <w:rsid w:val="00E1712B"/>
    <w:rsid w:val="00E17134"/>
    <w:rsid w:val="00E171F5"/>
    <w:rsid w:val="00E172F1"/>
    <w:rsid w:val="00E172FD"/>
    <w:rsid w:val="00E173E5"/>
    <w:rsid w:val="00E17413"/>
    <w:rsid w:val="00E17425"/>
    <w:rsid w:val="00E17461"/>
    <w:rsid w:val="00E174BD"/>
    <w:rsid w:val="00E174D1"/>
    <w:rsid w:val="00E174E1"/>
    <w:rsid w:val="00E17519"/>
    <w:rsid w:val="00E17549"/>
    <w:rsid w:val="00E17590"/>
    <w:rsid w:val="00E175CB"/>
    <w:rsid w:val="00E17651"/>
    <w:rsid w:val="00E176B2"/>
    <w:rsid w:val="00E17774"/>
    <w:rsid w:val="00E178BB"/>
    <w:rsid w:val="00E179C8"/>
    <w:rsid w:val="00E17A67"/>
    <w:rsid w:val="00E17AF4"/>
    <w:rsid w:val="00E17B74"/>
    <w:rsid w:val="00E17B9E"/>
    <w:rsid w:val="00E17C3B"/>
    <w:rsid w:val="00E17CB0"/>
    <w:rsid w:val="00E17DE8"/>
    <w:rsid w:val="00E17E9C"/>
    <w:rsid w:val="00E17ED9"/>
    <w:rsid w:val="00E17F68"/>
    <w:rsid w:val="00E2006F"/>
    <w:rsid w:val="00E20090"/>
    <w:rsid w:val="00E2018F"/>
    <w:rsid w:val="00E201AD"/>
    <w:rsid w:val="00E201DE"/>
    <w:rsid w:val="00E201E8"/>
    <w:rsid w:val="00E20205"/>
    <w:rsid w:val="00E2020C"/>
    <w:rsid w:val="00E2026B"/>
    <w:rsid w:val="00E202BE"/>
    <w:rsid w:val="00E20313"/>
    <w:rsid w:val="00E20383"/>
    <w:rsid w:val="00E203B5"/>
    <w:rsid w:val="00E203BB"/>
    <w:rsid w:val="00E20400"/>
    <w:rsid w:val="00E2042B"/>
    <w:rsid w:val="00E20488"/>
    <w:rsid w:val="00E205FA"/>
    <w:rsid w:val="00E20690"/>
    <w:rsid w:val="00E206B0"/>
    <w:rsid w:val="00E207A5"/>
    <w:rsid w:val="00E207F6"/>
    <w:rsid w:val="00E2080B"/>
    <w:rsid w:val="00E209C3"/>
    <w:rsid w:val="00E20A85"/>
    <w:rsid w:val="00E20A9F"/>
    <w:rsid w:val="00E20B14"/>
    <w:rsid w:val="00E20B72"/>
    <w:rsid w:val="00E20B8D"/>
    <w:rsid w:val="00E20BD8"/>
    <w:rsid w:val="00E20BEF"/>
    <w:rsid w:val="00E20C3E"/>
    <w:rsid w:val="00E20C90"/>
    <w:rsid w:val="00E20D03"/>
    <w:rsid w:val="00E20E00"/>
    <w:rsid w:val="00E20E38"/>
    <w:rsid w:val="00E20F42"/>
    <w:rsid w:val="00E20FCE"/>
    <w:rsid w:val="00E20FE7"/>
    <w:rsid w:val="00E210B6"/>
    <w:rsid w:val="00E21110"/>
    <w:rsid w:val="00E2111B"/>
    <w:rsid w:val="00E211AB"/>
    <w:rsid w:val="00E21200"/>
    <w:rsid w:val="00E2121A"/>
    <w:rsid w:val="00E21396"/>
    <w:rsid w:val="00E214D2"/>
    <w:rsid w:val="00E214E0"/>
    <w:rsid w:val="00E214E6"/>
    <w:rsid w:val="00E21527"/>
    <w:rsid w:val="00E21551"/>
    <w:rsid w:val="00E21575"/>
    <w:rsid w:val="00E2160E"/>
    <w:rsid w:val="00E21695"/>
    <w:rsid w:val="00E216EA"/>
    <w:rsid w:val="00E21890"/>
    <w:rsid w:val="00E2189D"/>
    <w:rsid w:val="00E218A8"/>
    <w:rsid w:val="00E218E8"/>
    <w:rsid w:val="00E218EC"/>
    <w:rsid w:val="00E21991"/>
    <w:rsid w:val="00E219CF"/>
    <w:rsid w:val="00E21A6C"/>
    <w:rsid w:val="00E21B3D"/>
    <w:rsid w:val="00E21C53"/>
    <w:rsid w:val="00E21C7E"/>
    <w:rsid w:val="00E21CC0"/>
    <w:rsid w:val="00E21CCA"/>
    <w:rsid w:val="00E21E95"/>
    <w:rsid w:val="00E21F34"/>
    <w:rsid w:val="00E22058"/>
    <w:rsid w:val="00E22129"/>
    <w:rsid w:val="00E221A4"/>
    <w:rsid w:val="00E22225"/>
    <w:rsid w:val="00E222F8"/>
    <w:rsid w:val="00E222FF"/>
    <w:rsid w:val="00E2231D"/>
    <w:rsid w:val="00E22331"/>
    <w:rsid w:val="00E22357"/>
    <w:rsid w:val="00E223AC"/>
    <w:rsid w:val="00E223B8"/>
    <w:rsid w:val="00E223DE"/>
    <w:rsid w:val="00E223F6"/>
    <w:rsid w:val="00E2255F"/>
    <w:rsid w:val="00E22571"/>
    <w:rsid w:val="00E2258B"/>
    <w:rsid w:val="00E225BB"/>
    <w:rsid w:val="00E225C8"/>
    <w:rsid w:val="00E22666"/>
    <w:rsid w:val="00E22692"/>
    <w:rsid w:val="00E22759"/>
    <w:rsid w:val="00E227F0"/>
    <w:rsid w:val="00E22971"/>
    <w:rsid w:val="00E22983"/>
    <w:rsid w:val="00E229C8"/>
    <w:rsid w:val="00E22A30"/>
    <w:rsid w:val="00E22A63"/>
    <w:rsid w:val="00E22BDE"/>
    <w:rsid w:val="00E22C02"/>
    <w:rsid w:val="00E22C98"/>
    <w:rsid w:val="00E22CD2"/>
    <w:rsid w:val="00E22D97"/>
    <w:rsid w:val="00E22DBB"/>
    <w:rsid w:val="00E22E6D"/>
    <w:rsid w:val="00E22F03"/>
    <w:rsid w:val="00E22F26"/>
    <w:rsid w:val="00E22F2A"/>
    <w:rsid w:val="00E22FFC"/>
    <w:rsid w:val="00E23047"/>
    <w:rsid w:val="00E2304E"/>
    <w:rsid w:val="00E230E8"/>
    <w:rsid w:val="00E230FE"/>
    <w:rsid w:val="00E23116"/>
    <w:rsid w:val="00E2319B"/>
    <w:rsid w:val="00E2321C"/>
    <w:rsid w:val="00E23266"/>
    <w:rsid w:val="00E232D2"/>
    <w:rsid w:val="00E23390"/>
    <w:rsid w:val="00E2339A"/>
    <w:rsid w:val="00E233B6"/>
    <w:rsid w:val="00E234B8"/>
    <w:rsid w:val="00E2350B"/>
    <w:rsid w:val="00E23551"/>
    <w:rsid w:val="00E235A4"/>
    <w:rsid w:val="00E235C5"/>
    <w:rsid w:val="00E23700"/>
    <w:rsid w:val="00E23725"/>
    <w:rsid w:val="00E23734"/>
    <w:rsid w:val="00E23829"/>
    <w:rsid w:val="00E2383F"/>
    <w:rsid w:val="00E2388F"/>
    <w:rsid w:val="00E2395C"/>
    <w:rsid w:val="00E23962"/>
    <w:rsid w:val="00E23964"/>
    <w:rsid w:val="00E23B00"/>
    <w:rsid w:val="00E23BCA"/>
    <w:rsid w:val="00E23BF7"/>
    <w:rsid w:val="00E23C1B"/>
    <w:rsid w:val="00E23C8F"/>
    <w:rsid w:val="00E23CA5"/>
    <w:rsid w:val="00E23CF9"/>
    <w:rsid w:val="00E23D0E"/>
    <w:rsid w:val="00E23D0F"/>
    <w:rsid w:val="00E23DEA"/>
    <w:rsid w:val="00E23E09"/>
    <w:rsid w:val="00E2400C"/>
    <w:rsid w:val="00E24074"/>
    <w:rsid w:val="00E24110"/>
    <w:rsid w:val="00E24198"/>
    <w:rsid w:val="00E241DE"/>
    <w:rsid w:val="00E241F2"/>
    <w:rsid w:val="00E24270"/>
    <w:rsid w:val="00E24322"/>
    <w:rsid w:val="00E243F5"/>
    <w:rsid w:val="00E24436"/>
    <w:rsid w:val="00E24537"/>
    <w:rsid w:val="00E24590"/>
    <w:rsid w:val="00E245A2"/>
    <w:rsid w:val="00E24676"/>
    <w:rsid w:val="00E246CD"/>
    <w:rsid w:val="00E24743"/>
    <w:rsid w:val="00E2478D"/>
    <w:rsid w:val="00E24803"/>
    <w:rsid w:val="00E24811"/>
    <w:rsid w:val="00E2485D"/>
    <w:rsid w:val="00E24939"/>
    <w:rsid w:val="00E2493C"/>
    <w:rsid w:val="00E249F1"/>
    <w:rsid w:val="00E24A2E"/>
    <w:rsid w:val="00E24A77"/>
    <w:rsid w:val="00E24B29"/>
    <w:rsid w:val="00E24B89"/>
    <w:rsid w:val="00E24BAB"/>
    <w:rsid w:val="00E24BD6"/>
    <w:rsid w:val="00E24C89"/>
    <w:rsid w:val="00E24D42"/>
    <w:rsid w:val="00E24D62"/>
    <w:rsid w:val="00E24D6E"/>
    <w:rsid w:val="00E24D7B"/>
    <w:rsid w:val="00E24DC5"/>
    <w:rsid w:val="00E24DD5"/>
    <w:rsid w:val="00E24E49"/>
    <w:rsid w:val="00E24E52"/>
    <w:rsid w:val="00E24EA0"/>
    <w:rsid w:val="00E24F3F"/>
    <w:rsid w:val="00E2503B"/>
    <w:rsid w:val="00E250C2"/>
    <w:rsid w:val="00E2511E"/>
    <w:rsid w:val="00E251C6"/>
    <w:rsid w:val="00E251E8"/>
    <w:rsid w:val="00E25297"/>
    <w:rsid w:val="00E2531F"/>
    <w:rsid w:val="00E25345"/>
    <w:rsid w:val="00E25356"/>
    <w:rsid w:val="00E253A5"/>
    <w:rsid w:val="00E253DC"/>
    <w:rsid w:val="00E2540B"/>
    <w:rsid w:val="00E2548A"/>
    <w:rsid w:val="00E25492"/>
    <w:rsid w:val="00E25505"/>
    <w:rsid w:val="00E25644"/>
    <w:rsid w:val="00E25693"/>
    <w:rsid w:val="00E256AF"/>
    <w:rsid w:val="00E2578F"/>
    <w:rsid w:val="00E258B6"/>
    <w:rsid w:val="00E258C9"/>
    <w:rsid w:val="00E258EF"/>
    <w:rsid w:val="00E25924"/>
    <w:rsid w:val="00E259A5"/>
    <w:rsid w:val="00E259BC"/>
    <w:rsid w:val="00E25A00"/>
    <w:rsid w:val="00E25BE0"/>
    <w:rsid w:val="00E25C4F"/>
    <w:rsid w:val="00E25D26"/>
    <w:rsid w:val="00E25D4C"/>
    <w:rsid w:val="00E25E00"/>
    <w:rsid w:val="00E25E03"/>
    <w:rsid w:val="00E25EC7"/>
    <w:rsid w:val="00E25FAF"/>
    <w:rsid w:val="00E26007"/>
    <w:rsid w:val="00E26026"/>
    <w:rsid w:val="00E26162"/>
    <w:rsid w:val="00E26163"/>
    <w:rsid w:val="00E2618F"/>
    <w:rsid w:val="00E26242"/>
    <w:rsid w:val="00E262F8"/>
    <w:rsid w:val="00E2635D"/>
    <w:rsid w:val="00E26382"/>
    <w:rsid w:val="00E26430"/>
    <w:rsid w:val="00E264AC"/>
    <w:rsid w:val="00E26506"/>
    <w:rsid w:val="00E2658F"/>
    <w:rsid w:val="00E26672"/>
    <w:rsid w:val="00E26710"/>
    <w:rsid w:val="00E26722"/>
    <w:rsid w:val="00E2676F"/>
    <w:rsid w:val="00E267B8"/>
    <w:rsid w:val="00E267F1"/>
    <w:rsid w:val="00E26819"/>
    <w:rsid w:val="00E26834"/>
    <w:rsid w:val="00E26860"/>
    <w:rsid w:val="00E2689D"/>
    <w:rsid w:val="00E2698B"/>
    <w:rsid w:val="00E269F1"/>
    <w:rsid w:val="00E26B44"/>
    <w:rsid w:val="00E26C8D"/>
    <w:rsid w:val="00E26CD7"/>
    <w:rsid w:val="00E26CF8"/>
    <w:rsid w:val="00E26DA6"/>
    <w:rsid w:val="00E26DD0"/>
    <w:rsid w:val="00E26E02"/>
    <w:rsid w:val="00E26FBF"/>
    <w:rsid w:val="00E270A9"/>
    <w:rsid w:val="00E27141"/>
    <w:rsid w:val="00E2727F"/>
    <w:rsid w:val="00E27281"/>
    <w:rsid w:val="00E272C1"/>
    <w:rsid w:val="00E27387"/>
    <w:rsid w:val="00E27522"/>
    <w:rsid w:val="00E27566"/>
    <w:rsid w:val="00E27571"/>
    <w:rsid w:val="00E275EA"/>
    <w:rsid w:val="00E27698"/>
    <w:rsid w:val="00E27705"/>
    <w:rsid w:val="00E277CD"/>
    <w:rsid w:val="00E277FD"/>
    <w:rsid w:val="00E2784C"/>
    <w:rsid w:val="00E27A03"/>
    <w:rsid w:val="00E27A0A"/>
    <w:rsid w:val="00E27A24"/>
    <w:rsid w:val="00E27A81"/>
    <w:rsid w:val="00E27A8D"/>
    <w:rsid w:val="00E27B0D"/>
    <w:rsid w:val="00E27BC0"/>
    <w:rsid w:val="00E27C4B"/>
    <w:rsid w:val="00E27CDE"/>
    <w:rsid w:val="00E27CF5"/>
    <w:rsid w:val="00E27D0F"/>
    <w:rsid w:val="00E27D21"/>
    <w:rsid w:val="00E27D6F"/>
    <w:rsid w:val="00E27DC7"/>
    <w:rsid w:val="00E27DCB"/>
    <w:rsid w:val="00E27DE0"/>
    <w:rsid w:val="00E27EE2"/>
    <w:rsid w:val="00E27F3A"/>
    <w:rsid w:val="00E30050"/>
    <w:rsid w:val="00E30062"/>
    <w:rsid w:val="00E30103"/>
    <w:rsid w:val="00E301B1"/>
    <w:rsid w:val="00E301D1"/>
    <w:rsid w:val="00E30220"/>
    <w:rsid w:val="00E30228"/>
    <w:rsid w:val="00E30402"/>
    <w:rsid w:val="00E3049F"/>
    <w:rsid w:val="00E304EE"/>
    <w:rsid w:val="00E3053F"/>
    <w:rsid w:val="00E3058E"/>
    <w:rsid w:val="00E305B4"/>
    <w:rsid w:val="00E30620"/>
    <w:rsid w:val="00E306DA"/>
    <w:rsid w:val="00E306DC"/>
    <w:rsid w:val="00E30769"/>
    <w:rsid w:val="00E3079F"/>
    <w:rsid w:val="00E30802"/>
    <w:rsid w:val="00E308C5"/>
    <w:rsid w:val="00E30A19"/>
    <w:rsid w:val="00E30A69"/>
    <w:rsid w:val="00E30BCB"/>
    <w:rsid w:val="00E30BD0"/>
    <w:rsid w:val="00E30C3C"/>
    <w:rsid w:val="00E30C4A"/>
    <w:rsid w:val="00E30C4D"/>
    <w:rsid w:val="00E30D41"/>
    <w:rsid w:val="00E30D6F"/>
    <w:rsid w:val="00E30DDC"/>
    <w:rsid w:val="00E30E07"/>
    <w:rsid w:val="00E30E0C"/>
    <w:rsid w:val="00E30E77"/>
    <w:rsid w:val="00E30EA2"/>
    <w:rsid w:val="00E30EF6"/>
    <w:rsid w:val="00E30F1C"/>
    <w:rsid w:val="00E30FB6"/>
    <w:rsid w:val="00E31014"/>
    <w:rsid w:val="00E310F8"/>
    <w:rsid w:val="00E31150"/>
    <w:rsid w:val="00E31250"/>
    <w:rsid w:val="00E312B7"/>
    <w:rsid w:val="00E314BB"/>
    <w:rsid w:val="00E314BD"/>
    <w:rsid w:val="00E31520"/>
    <w:rsid w:val="00E315AF"/>
    <w:rsid w:val="00E3170B"/>
    <w:rsid w:val="00E31720"/>
    <w:rsid w:val="00E3174D"/>
    <w:rsid w:val="00E31782"/>
    <w:rsid w:val="00E317AD"/>
    <w:rsid w:val="00E317EE"/>
    <w:rsid w:val="00E31959"/>
    <w:rsid w:val="00E3196C"/>
    <w:rsid w:val="00E31983"/>
    <w:rsid w:val="00E319D7"/>
    <w:rsid w:val="00E31A00"/>
    <w:rsid w:val="00E31A02"/>
    <w:rsid w:val="00E31A11"/>
    <w:rsid w:val="00E31A83"/>
    <w:rsid w:val="00E31A87"/>
    <w:rsid w:val="00E31B19"/>
    <w:rsid w:val="00E31C8C"/>
    <w:rsid w:val="00E31DC9"/>
    <w:rsid w:val="00E31EA9"/>
    <w:rsid w:val="00E31F05"/>
    <w:rsid w:val="00E31F1B"/>
    <w:rsid w:val="00E31F6A"/>
    <w:rsid w:val="00E31F98"/>
    <w:rsid w:val="00E32065"/>
    <w:rsid w:val="00E3206C"/>
    <w:rsid w:val="00E32098"/>
    <w:rsid w:val="00E320E1"/>
    <w:rsid w:val="00E32147"/>
    <w:rsid w:val="00E321A8"/>
    <w:rsid w:val="00E321E7"/>
    <w:rsid w:val="00E32238"/>
    <w:rsid w:val="00E32266"/>
    <w:rsid w:val="00E3226A"/>
    <w:rsid w:val="00E32324"/>
    <w:rsid w:val="00E32325"/>
    <w:rsid w:val="00E3232F"/>
    <w:rsid w:val="00E3234D"/>
    <w:rsid w:val="00E32411"/>
    <w:rsid w:val="00E32428"/>
    <w:rsid w:val="00E3250F"/>
    <w:rsid w:val="00E325E5"/>
    <w:rsid w:val="00E32610"/>
    <w:rsid w:val="00E32627"/>
    <w:rsid w:val="00E326E7"/>
    <w:rsid w:val="00E326E8"/>
    <w:rsid w:val="00E327B3"/>
    <w:rsid w:val="00E32830"/>
    <w:rsid w:val="00E32876"/>
    <w:rsid w:val="00E328F0"/>
    <w:rsid w:val="00E32978"/>
    <w:rsid w:val="00E32A11"/>
    <w:rsid w:val="00E32A31"/>
    <w:rsid w:val="00E32A62"/>
    <w:rsid w:val="00E32AF5"/>
    <w:rsid w:val="00E32B35"/>
    <w:rsid w:val="00E32BAD"/>
    <w:rsid w:val="00E32C29"/>
    <w:rsid w:val="00E32C33"/>
    <w:rsid w:val="00E32C70"/>
    <w:rsid w:val="00E32C83"/>
    <w:rsid w:val="00E32D06"/>
    <w:rsid w:val="00E32D50"/>
    <w:rsid w:val="00E32DEC"/>
    <w:rsid w:val="00E32DF4"/>
    <w:rsid w:val="00E32DF6"/>
    <w:rsid w:val="00E32E63"/>
    <w:rsid w:val="00E32EDB"/>
    <w:rsid w:val="00E32F34"/>
    <w:rsid w:val="00E32F9A"/>
    <w:rsid w:val="00E33023"/>
    <w:rsid w:val="00E330BA"/>
    <w:rsid w:val="00E331A3"/>
    <w:rsid w:val="00E331D4"/>
    <w:rsid w:val="00E33263"/>
    <w:rsid w:val="00E33277"/>
    <w:rsid w:val="00E3328D"/>
    <w:rsid w:val="00E3329D"/>
    <w:rsid w:val="00E3329F"/>
    <w:rsid w:val="00E332F6"/>
    <w:rsid w:val="00E33388"/>
    <w:rsid w:val="00E3341B"/>
    <w:rsid w:val="00E33527"/>
    <w:rsid w:val="00E33566"/>
    <w:rsid w:val="00E335B7"/>
    <w:rsid w:val="00E33661"/>
    <w:rsid w:val="00E33669"/>
    <w:rsid w:val="00E33683"/>
    <w:rsid w:val="00E33751"/>
    <w:rsid w:val="00E338D6"/>
    <w:rsid w:val="00E338DF"/>
    <w:rsid w:val="00E338F3"/>
    <w:rsid w:val="00E339C1"/>
    <w:rsid w:val="00E33A4F"/>
    <w:rsid w:val="00E33A5C"/>
    <w:rsid w:val="00E33A6A"/>
    <w:rsid w:val="00E33A79"/>
    <w:rsid w:val="00E33B08"/>
    <w:rsid w:val="00E33B2E"/>
    <w:rsid w:val="00E33B35"/>
    <w:rsid w:val="00E33B51"/>
    <w:rsid w:val="00E33C63"/>
    <w:rsid w:val="00E33CB7"/>
    <w:rsid w:val="00E33CBF"/>
    <w:rsid w:val="00E33D02"/>
    <w:rsid w:val="00E33D57"/>
    <w:rsid w:val="00E33D9D"/>
    <w:rsid w:val="00E33DD6"/>
    <w:rsid w:val="00E33E4B"/>
    <w:rsid w:val="00E33EE9"/>
    <w:rsid w:val="00E33FC2"/>
    <w:rsid w:val="00E33FEC"/>
    <w:rsid w:val="00E33FF5"/>
    <w:rsid w:val="00E34033"/>
    <w:rsid w:val="00E3409C"/>
    <w:rsid w:val="00E340BA"/>
    <w:rsid w:val="00E34140"/>
    <w:rsid w:val="00E3418A"/>
    <w:rsid w:val="00E341B1"/>
    <w:rsid w:val="00E34256"/>
    <w:rsid w:val="00E34266"/>
    <w:rsid w:val="00E34297"/>
    <w:rsid w:val="00E342CD"/>
    <w:rsid w:val="00E342DB"/>
    <w:rsid w:val="00E34318"/>
    <w:rsid w:val="00E34335"/>
    <w:rsid w:val="00E34342"/>
    <w:rsid w:val="00E3434A"/>
    <w:rsid w:val="00E343DB"/>
    <w:rsid w:val="00E344F6"/>
    <w:rsid w:val="00E34522"/>
    <w:rsid w:val="00E34530"/>
    <w:rsid w:val="00E345AC"/>
    <w:rsid w:val="00E345BA"/>
    <w:rsid w:val="00E346BD"/>
    <w:rsid w:val="00E3473D"/>
    <w:rsid w:val="00E34886"/>
    <w:rsid w:val="00E348C1"/>
    <w:rsid w:val="00E348DB"/>
    <w:rsid w:val="00E34911"/>
    <w:rsid w:val="00E34994"/>
    <w:rsid w:val="00E349BF"/>
    <w:rsid w:val="00E349E1"/>
    <w:rsid w:val="00E34A92"/>
    <w:rsid w:val="00E34BFC"/>
    <w:rsid w:val="00E34C43"/>
    <w:rsid w:val="00E34CCB"/>
    <w:rsid w:val="00E34CE1"/>
    <w:rsid w:val="00E34D42"/>
    <w:rsid w:val="00E34D73"/>
    <w:rsid w:val="00E34D96"/>
    <w:rsid w:val="00E34DEF"/>
    <w:rsid w:val="00E34F09"/>
    <w:rsid w:val="00E34F5D"/>
    <w:rsid w:val="00E34FDF"/>
    <w:rsid w:val="00E34FE2"/>
    <w:rsid w:val="00E34FEB"/>
    <w:rsid w:val="00E35023"/>
    <w:rsid w:val="00E350B7"/>
    <w:rsid w:val="00E35106"/>
    <w:rsid w:val="00E35109"/>
    <w:rsid w:val="00E351CD"/>
    <w:rsid w:val="00E35213"/>
    <w:rsid w:val="00E35250"/>
    <w:rsid w:val="00E3526A"/>
    <w:rsid w:val="00E3527A"/>
    <w:rsid w:val="00E35314"/>
    <w:rsid w:val="00E355F8"/>
    <w:rsid w:val="00E35639"/>
    <w:rsid w:val="00E356B0"/>
    <w:rsid w:val="00E356F7"/>
    <w:rsid w:val="00E35726"/>
    <w:rsid w:val="00E357D4"/>
    <w:rsid w:val="00E357F0"/>
    <w:rsid w:val="00E35859"/>
    <w:rsid w:val="00E358AA"/>
    <w:rsid w:val="00E358BA"/>
    <w:rsid w:val="00E358E0"/>
    <w:rsid w:val="00E35941"/>
    <w:rsid w:val="00E35988"/>
    <w:rsid w:val="00E35B61"/>
    <w:rsid w:val="00E35B9B"/>
    <w:rsid w:val="00E35C04"/>
    <w:rsid w:val="00E35C1C"/>
    <w:rsid w:val="00E35C36"/>
    <w:rsid w:val="00E35C8F"/>
    <w:rsid w:val="00E35D02"/>
    <w:rsid w:val="00E35D37"/>
    <w:rsid w:val="00E35D94"/>
    <w:rsid w:val="00E35ED3"/>
    <w:rsid w:val="00E35EDC"/>
    <w:rsid w:val="00E35FB0"/>
    <w:rsid w:val="00E35FE8"/>
    <w:rsid w:val="00E3608E"/>
    <w:rsid w:val="00E361B3"/>
    <w:rsid w:val="00E361B9"/>
    <w:rsid w:val="00E361EC"/>
    <w:rsid w:val="00E36242"/>
    <w:rsid w:val="00E36277"/>
    <w:rsid w:val="00E362A5"/>
    <w:rsid w:val="00E362BE"/>
    <w:rsid w:val="00E362CD"/>
    <w:rsid w:val="00E3637E"/>
    <w:rsid w:val="00E363AB"/>
    <w:rsid w:val="00E363EF"/>
    <w:rsid w:val="00E36452"/>
    <w:rsid w:val="00E364E7"/>
    <w:rsid w:val="00E364E8"/>
    <w:rsid w:val="00E36568"/>
    <w:rsid w:val="00E3656B"/>
    <w:rsid w:val="00E365EF"/>
    <w:rsid w:val="00E3665E"/>
    <w:rsid w:val="00E366D3"/>
    <w:rsid w:val="00E36720"/>
    <w:rsid w:val="00E36780"/>
    <w:rsid w:val="00E36795"/>
    <w:rsid w:val="00E36917"/>
    <w:rsid w:val="00E369A1"/>
    <w:rsid w:val="00E369C8"/>
    <w:rsid w:val="00E369F5"/>
    <w:rsid w:val="00E369F8"/>
    <w:rsid w:val="00E36A6F"/>
    <w:rsid w:val="00E36A8C"/>
    <w:rsid w:val="00E36AD3"/>
    <w:rsid w:val="00E36B55"/>
    <w:rsid w:val="00E36BEC"/>
    <w:rsid w:val="00E36C6B"/>
    <w:rsid w:val="00E36C99"/>
    <w:rsid w:val="00E36D7B"/>
    <w:rsid w:val="00E36E79"/>
    <w:rsid w:val="00E36F38"/>
    <w:rsid w:val="00E36F66"/>
    <w:rsid w:val="00E37089"/>
    <w:rsid w:val="00E370D6"/>
    <w:rsid w:val="00E37100"/>
    <w:rsid w:val="00E3715D"/>
    <w:rsid w:val="00E37171"/>
    <w:rsid w:val="00E37355"/>
    <w:rsid w:val="00E373BD"/>
    <w:rsid w:val="00E373D1"/>
    <w:rsid w:val="00E37428"/>
    <w:rsid w:val="00E37468"/>
    <w:rsid w:val="00E374AD"/>
    <w:rsid w:val="00E3750B"/>
    <w:rsid w:val="00E375D1"/>
    <w:rsid w:val="00E37613"/>
    <w:rsid w:val="00E376AF"/>
    <w:rsid w:val="00E376D3"/>
    <w:rsid w:val="00E376DF"/>
    <w:rsid w:val="00E37794"/>
    <w:rsid w:val="00E3779A"/>
    <w:rsid w:val="00E377A1"/>
    <w:rsid w:val="00E3783B"/>
    <w:rsid w:val="00E3789C"/>
    <w:rsid w:val="00E378A2"/>
    <w:rsid w:val="00E378B8"/>
    <w:rsid w:val="00E3790F"/>
    <w:rsid w:val="00E379FA"/>
    <w:rsid w:val="00E37A18"/>
    <w:rsid w:val="00E37A95"/>
    <w:rsid w:val="00E37AD8"/>
    <w:rsid w:val="00E37ADB"/>
    <w:rsid w:val="00E37B53"/>
    <w:rsid w:val="00E37BF7"/>
    <w:rsid w:val="00E37C12"/>
    <w:rsid w:val="00E37C20"/>
    <w:rsid w:val="00E37C4F"/>
    <w:rsid w:val="00E37C64"/>
    <w:rsid w:val="00E37C66"/>
    <w:rsid w:val="00E37CA6"/>
    <w:rsid w:val="00E37CBE"/>
    <w:rsid w:val="00E37DD4"/>
    <w:rsid w:val="00E37E83"/>
    <w:rsid w:val="00E37E87"/>
    <w:rsid w:val="00E37F21"/>
    <w:rsid w:val="00E400FB"/>
    <w:rsid w:val="00E40197"/>
    <w:rsid w:val="00E4019D"/>
    <w:rsid w:val="00E402A0"/>
    <w:rsid w:val="00E4036D"/>
    <w:rsid w:val="00E403AF"/>
    <w:rsid w:val="00E403E5"/>
    <w:rsid w:val="00E40459"/>
    <w:rsid w:val="00E404C9"/>
    <w:rsid w:val="00E404F7"/>
    <w:rsid w:val="00E405C1"/>
    <w:rsid w:val="00E405D6"/>
    <w:rsid w:val="00E406AF"/>
    <w:rsid w:val="00E4070D"/>
    <w:rsid w:val="00E40715"/>
    <w:rsid w:val="00E40827"/>
    <w:rsid w:val="00E4083D"/>
    <w:rsid w:val="00E40881"/>
    <w:rsid w:val="00E408C9"/>
    <w:rsid w:val="00E40932"/>
    <w:rsid w:val="00E409B2"/>
    <w:rsid w:val="00E409B5"/>
    <w:rsid w:val="00E40A93"/>
    <w:rsid w:val="00E40AB8"/>
    <w:rsid w:val="00E40ADD"/>
    <w:rsid w:val="00E40AED"/>
    <w:rsid w:val="00E40AF2"/>
    <w:rsid w:val="00E40B45"/>
    <w:rsid w:val="00E40B4E"/>
    <w:rsid w:val="00E40BEF"/>
    <w:rsid w:val="00E40C49"/>
    <w:rsid w:val="00E40C5A"/>
    <w:rsid w:val="00E40C73"/>
    <w:rsid w:val="00E40CC3"/>
    <w:rsid w:val="00E40CD1"/>
    <w:rsid w:val="00E40D38"/>
    <w:rsid w:val="00E41095"/>
    <w:rsid w:val="00E410AD"/>
    <w:rsid w:val="00E411AD"/>
    <w:rsid w:val="00E411CE"/>
    <w:rsid w:val="00E411DE"/>
    <w:rsid w:val="00E41254"/>
    <w:rsid w:val="00E41337"/>
    <w:rsid w:val="00E41339"/>
    <w:rsid w:val="00E413C2"/>
    <w:rsid w:val="00E413DE"/>
    <w:rsid w:val="00E41455"/>
    <w:rsid w:val="00E414C2"/>
    <w:rsid w:val="00E414E7"/>
    <w:rsid w:val="00E4152B"/>
    <w:rsid w:val="00E41534"/>
    <w:rsid w:val="00E4158D"/>
    <w:rsid w:val="00E41683"/>
    <w:rsid w:val="00E41686"/>
    <w:rsid w:val="00E417C8"/>
    <w:rsid w:val="00E418D2"/>
    <w:rsid w:val="00E41980"/>
    <w:rsid w:val="00E41A11"/>
    <w:rsid w:val="00E41A28"/>
    <w:rsid w:val="00E41B19"/>
    <w:rsid w:val="00E41B9F"/>
    <w:rsid w:val="00E41BF6"/>
    <w:rsid w:val="00E41C16"/>
    <w:rsid w:val="00E41CA8"/>
    <w:rsid w:val="00E41D58"/>
    <w:rsid w:val="00E41E17"/>
    <w:rsid w:val="00E41E26"/>
    <w:rsid w:val="00E41EE1"/>
    <w:rsid w:val="00E41F68"/>
    <w:rsid w:val="00E41F79"/>
    <w:rsid w:val="00E4205A"/>
    <w:rsid w:val="00E420AB"/>
    <w:rsid w:val="00E420D2"/>
    <w:rsid w:val="00E420D9"/>
    <w:rsid w:val="00E42129"/>
    <w:rsid w:val="00E4213A"/>
    <w:rsid w:val="00E42273"/>
    <w:rsid w:val="00E42301"/>
    <w:rsid w:val="00E424D9"/>
    <w:rsid w:val="00E4250C"/>
    <w:rsid w:val="00E4252E"/>
    <w:rsid w:val="00E42531"/>
    <w:rsid w:val="00E4256A"/>
    <w:rsid w:val="00E425D7"/>
    <w:rsid w:val="00E4262E"/>
    <w:rsid w:val="00E4263B"/>
    <w:rsid w:val="00E426B8"/>
    <w:rsid w:val="00E42832"/>
    <w:rsid w:val="00E428BF"/>
    <w:rsid w:val="00E428EE"/>
    <w:rsid w:val="00E42917"/>
    <w:rsid w:val="00E42980"/>
    <w:rsid w:val="00E429D2"/>
    <w:rsid w:val="00E429F7"/>
    <w:rsid w:val="00E42A1F"/>
    <w:rsid w:val="00E42A2F"/>
    <w:rsid w:val="00E42A6C"/>
    <w:rsid w:val="00E42AFE"/>
    <w:rsid w:val="00E42B28"/>
    <w:rsid w:val="00E42B5B"/>
    <w:rsid w:val="00E42B74"/>
    <w:rsid w:val="00E42B7C"/>
    <w:rsid w:val="00E42B7D"/>
    <w:rsid w:val="00E42B85"/>
    <w:rsid w:val="00E42BCA"/>
    <w:rsid w:val="00E42C5B"/>
    <w:rsid w:val="00E42C83"/>
    <w:rsid w:val="00E42C99"/>
    <w:rsid w:val="00E42CD7"/>
    <w:rsid w:val="00E42D2D"/>
    <w:rsid w:val="00E42D59"/>
    <w:rsid w:val="00E42DF4"/>
    <w:rsid w:val="00E42F6E"/>
    <w:rsid w:val="00E42F72"/>
    <w:rsid w:val="00E42F9C"/>
    <w:rsid w:val="00E42FAF"/>
    <w:rsid w:val="00E430D6"/>
    <w:rsid w:val="00E430FE"/>
    <w:rsid w:val="00E43115"/>
    <w:rsid w:val="00E43134"/>
    <w:rsid w:val="00E4315E"/>
    <w:rsid w:val="00E43167"/>
    <w:rsid w:val="00E431CA"/>
    <w:rsid w:val="00E4323B"/>
    <w:rsid w:val="00E432E0"/>
    <w:rsid w:val="00E43371"/>
    <w:rsid w:val="00E4337A"/>
    <w:rsid w:val="00E4345D"/>
    <w:rsid w:val="00E43495"/>
    <w:rsid w:val="00E434E9"/>
    <w:rsid w:val="00E43524"/>
    <w:rsid w:val="00E435B3"/>
    <w:rsid w:val="00E435ED"/>
    <w:rsid w:val="00E43641"/>
    <w:rsid w:val="00E436E3"/>
    <w:rsid w:val="00E43705"/>
    <w:rsid w:val="00E437ED"/>
    <w:rsid w:val="00E437FA"/>
    <w:rsid w:val="00E4381E"/>
    <w:rsid w:val="00E4385B"/>
    <w:rsid w:val="00E439F4"/>
    <w:rsid w:val="00E43A4E"/>
    <w:rsid w:val="00E43ABC"/>
    <w:rsid w:val="00E43AC2"/>
    <w:rsid w:val="00E43AD2"/>
    <w:rsid w:val="00E43B4C"/>
    <w:rsid w:val="00E43B5B"/>
    <w:rsid w:val="00E43B8A"/>
    <w:rsid w:val="00E43CEB"/>
    <w:rsid w:val="00E43D0D"/>
    <w:rsid w:val="00E43D22"/>
    <w:rsid w:val="00E43D5A"/>
    <w:rsid w:val="00E43DD0"/>
    <w:rsid w:val="00E43F64"/>
    <w:rsid w:val="00E43FAF"/>
    <w:rsid w:val="00E44010"/>
    <w:rsid w:val="00E44018"/>
    <w:rsid w:val="00E44168"/>
    <w:rsid w:val="00E4418B"/>
    <w:rsid w:val="00E4421B"/>
    <w:rsid w:val="00E44226"/>
    <w:rsid w:val="00E44289"/>
    <w:rsid w:val="00E443B7"/>
    <w:rsid w:val="00E44455"/>
    <w:rsid w:val="00E4447F"/>
    <w:rsid w:val="00E44488"/>
    <w:rsid w:val="00E444AD"/>
    <w:rsid w:val="00E44544"/>
    <w:rsid w:val="00E44562"/>
    <w:rsid w:val="00E445E4"/>
    <w:rsid w:val="00E44666"/>
    <w:rsid w:val="00E44684"/>
    <w:rsid w:val="00E446DD"/>
    <w:rsid w:val="00E44709"/>
    <w:rsid w:val="00E44837"/>
    <w:rsid w:val="00E44839"/>
    <w:rsid w:val="00E4486B"/>
    <w:rsid w:val="00E44891"/>
    <w:rsid w:val="00E448A1"/>
    <w:rsid w:val="00E44923"/>
    <w:rsid w:val="00E44983"/>
    <w:rsid w:val="00E449D2"/>
    <w:rsid w:val="00E44A01"/>
    <w:rsid w:val="00E44A16"/>
    <w:rsid w:val="00E44A49"/>
    <w:rsid w:val="00E44A54"/>
    <w:rsid w:val="00E44A9B"/>
    <w:rsid w:val="00E44B6A"/>
    <w:rsid w:val="00E44B96"/>
    <w:rsid w:val="00E44BBA"/>
    <w:rsid w:val="00E44C0F"/>
    <w:rsid w:val="00E44C2A"/>
    <w:rsid w:val="00E44CEC"/>
    <w:rsid w:val="00E44D0B"/>
    <w:rsid w:val="00E44D94"/>
    <w:rsid w:val="00E44DC5"/>
    <w:rsid w:val="00E44F9C"/>
    <w:rsid w:val="00E44FA2"/>
    <w:rsid w:val="00E44FFA"/>
    <w:rsid w:val="00E4502A"/>
    <w:rsid w:val="00E4506F"/>
    <w:rsid w:val="00E4516A"/>
    <w:rsid w:val="00E4518C"/>
    <w:rsid w:val="00E451A1"/>
    <w:rsid w:val="00E451AB"/>
    <w:rsid w:val="00E451B0"/>
    <w:rsid w:val="00E45225"/>
    <w:rsid w:val="00E45236"/>
    <w:rsid w:val="00E45336"/>
    <w:rsid w:val="00E453CD"/>
    <w:rsid w:val="00E45454"/>
    <w:rsid w:val="00E4546F"/>
    <w:rsid w:val="00E45471"/>
    <w:rsid w:val="00E4556A"/>
    <w:rsid w:val="00E45594"/>
    <w:rsid w:val="00E455A6"/>
    <w:rsid w:val="00E455D1"/>
    <w:rsid w:val="00E456B2"/>
    <w:rsid w:val="00E456ED"/>
    <w:rsid w:val="00E4574D"/>
    <w:rsid w:val="00E457D6"/>
    <w:rsid w:val="00E457DB"/>
    <w:rsid w:val="00E45804"/>
    <w:rsid w:val="00E45806"/>
    <w:rsid w:val="00E45825"/>
    <w:rsid w:val="00E458A7"/>
    <w:rsid w:val="00E458D5"/>
    <w:rsid w:val="00E458ED"/>
    <w:rsid w:val="00E459E8"/>
    <w:rsid w:val="00E45A8B"/>
    <w:rsid w:val="00E45B53"/>
    <w:rsid w:val="00E45B73"/>
    <w:rsid w:val="00E45B81"/>
    <w:rsid w:val="00E45BE9"/>
    <w:rsid w:val="00E45C8B"/>
    <w:rsid w:val="00E45D4C"/>
    <w:rsid w:val="00E45D6C"/>
    <w:rsid w:val="00E45DD2"/>
    <w:rsid w:val="00E4600B"/>
    <w:rsid w:val="00E46070"/>
    <w:rsid w:val="00E460CA"/>
    <w:rsid w:val="00E460F6"/>
    <w:rsid w:val="00E46137"/>
    <w:rsid w:val="00E46153"/>
    <w:rsid w:val="00E46189"/>
    <w:rsid w:val="00E4622D"/>
    <w:rsid w:val="00E463BA"/>
    <w:rsid w:val="00E4642F"/>
    <w:rsid w:val="00E46464"/>
    <w:rsid w:val="00E464A5"/>
    <w:rsid w:val="00E466E1"/>
    <w:rsid w:val="00E46700"/>
    <w:rsid w:val="00E467FB"/>
    <w:rsid w:val="00E4681C"/>
    <w:rsid w:val="00E468DC"/>
    <w:rsid w:val="00E46908"/>
    <w:rsid w:val="00E4690A"/>
    <w:rsid w:val="00E4691E"/>
    <w:rsid w:val="00E469B6"/>
    <w:rsid w:val="00E469D3"/>
    <w:rsid w:val="00E46A1D"/>
    <w:rsid w:val="00E46A92"/>
    <w:rsid w:val="00E46ACF"/>
    <w:rsid w:val="00E46B4A"/>
    <w:rsid w:val="00E46BB4"/>
    <w:rsid w:val="00E46C74"/>
    <w:rsid w:val="00E46D03"/>
    <w:rsid w:val="00E46D08"/>
    <w:rsid w:val="00E46D5E"/>
    <w:rsid w:val="00E46D64"/>
    <w:rsid w:val="00E46F35"/>
    <w:rsid w:val="00E47010"/>
    <w:rsid w:val="00E47089"/>
    <w:rsid w:val="00E47091"/>
    <w:rsid w:val="00E470FF"/>
    <w:rsid w:val="00E4726C"/>
    <w:rsid w:val="00E47309"/>
    <w:rsid w:val="00E4738A"/>
    <w:rsid w:val="00E47405"/>
    <w:rsid w:val="00E47547"/>
    <w:rsid w:val="00E47565"/>
    <w:rsid w:val="00E47571"/>
    <w:rsid w:val="00E47585"/>
    <w:rsid w:val="00E4771F"/>
    <w:rsid w:val="00E47720"/>
    <w:rsid w:val="00E478AA"/>
    <w:rsid w:val="00E478BA"/>
    <w:rsid w:val="00E478DB"/>
    <w:rsid w:val="00E4795E"/>
    <w:rsid w:val="00E47988"/>
    <w:rsid w:val="00E479EC"/>
    <w:rsid w:val="00E47A0E"/>
    <w:rsid w:val="00E47A20"/>
    <w:rsid w:val="00E47A42"/>
    <w:rsid w:val="00E47A89"/>
    <w:rsid w:val="00E47AE2"/>
    <w:rsid w:val="00E47B7A"/>
    <w:rsid w:val="00E47C0B"/>
    <w:rsid w:val="00E47C35"/>
    <w:rsid w:val="00E47C58"/>
    <w:rsid w:val="00E47CC3"/>
    <w:rsid w:val="00E47D8D"/>
    <w:rsid w:val="00E47EA5"/>
    <w:rsid w:val="00E47F30"/>
    <w:rsid w:val="00E47F95"/>
    <w:rsid w:val="00E47FBD"/>
    <w:rsid w:val="00E500C4"/>
    <w:rsid w:val="00E501A7"/>
    <w:rsid w:val="00E501B9"/>
    <w:rsid w:val="00E502B7"/>
    <w:rsid w:val="00E50355"/>
    <w:rsid w:val="00E5043E"/>
    <w:rsid w:val="00E5046F"/>
    <w:rsid w:val="00E504AC"/>
    <w:rsid w:val="00E504E2"/>
    <w:rsid w:val="00E505D0"/>
    <w:rsid w:val="00E505FC"/>
    <w:rsid w:val="00E5064E"/>
    <w:rsid w:val="00E506D6"/>
    <w:rsid w:val="00E5075D"/>
    <w:rsid w:val="00E5079D"/>
    <w:rsid w:val="00E507B2"/>
    <w:rsid w:val="00E507CB"/>
    <w:rsid w:val="00E507D0"/>
    <w:rsid w:val="00E507EC"/>
    <w:rsid w:val="00E5082A"/>
    <w:rsid w:val="00E5085D"/>
    <w:rsid w:val="00E50872"/>
    <w:rsid w:val="00E5093C"/>
    <w:rsid w:val="00E50942"/>
    <w:rsid w:val="00E5094F"/>
    <w:rsid w:val="00E50965"/>
    <w:rsid w:val="00E50A5C"/>
    <w:rsid w:val="00E50A66"/>
    <w:rsid w:val="00E50A74"/>
    <w:rsid w:val="00E50A88"/>
    <w:rsid w:val="00E50AA4"/>
    <w:rsid w:val="00E50AB1"/>
    <w:rsid w:val="00E50B00"/>
    <w:rsid w:val="00E50BEF"/>
    <w:rsid w:val="00E50CC9"/>
    <w:rsid w:val="00E50CD4"/>
    <w:rsid w:val="00E50CEC"/>
    <w:rsid w:val="00E50E71"/>
    <w:rsid w:val="00E50EA0"/>
    <w:rsid w:val="00E50F9B"/>
    <w:rsid w:val="00E5113B"/>
    <w:rsid w:val="00E512F9"/>
    <w:rsid w:val="00E512FE"/>
    <w:rsid w:val="00E5133C"/>
    <w:rsid w:val="00E514EE"/>
    <w:rsid w:val="00E51521"/>
    <w:rsid w:val="00E516C9"/>
    <w:rsid w:val="00E516EF"/>
    <w:rsid w:val="00E5176D"/>
    <w:rsid w:val="00E5179D"/>
    <w:rsid w:val="00E51B50"/>
    <w:rsid w:val="00E51BB9"/>
    <w:rsid w:val="00E51C13"/>
    <w:rsid w:val="00E51C7B"/>
    <w:rsid w:val="00E51CBC"/>
    <w:rsid w:val="00E51D06"/>
    <w:rsid w:val="00E51DAD"/>
    <w:rsid w:val="00E51DC4"/>
    <w:rsid w:val="00E51DF5"/>
    <w:rsid w:val="00E51E53"/>
    <w:rsid w:val="00E51E87"/>
    <w:rsid w:val="00E51EB3"/>
    <w:rsid w:val="00E51ECC"/>
    <w:rsid w:val="00E51F0D"/>
    <w:rsid w:val="00E51F27"/>
    <w:rsid w:val="00E51F2F"/>
    <w:rsid w:val="00E51FAE"/>
    <w:rsid w:val="00E51FB4"/>
    <w:rsid w:val="00E51FCF"/>
    <w:rsid w:val="00E5204E"/>
    <w:rsid w:val="00E52075"/>
    <w:rsid w:val="00E52095"/>
    <w:rsid w:val="00E521A6"/>
    <w:rsid w:val="00E521AF"/>
    <w:rsid w:val="00E521FD"/>
    <w:rsid w:val="00E52277"/>
    <w:rsid w:val="00E52330"/>
    <w:rsid w:val="00E52333"/>
    <w:rsid w:val="00E5240D"/>
    <w:rsid w:val="00E524A3"/>
    <w:rsid w:val="00E52562"/>
    <w:rsid w:val="00E5262A"/>
    <w:rsid w:val="00E52664"/>
    <w:rsid w:val="00E526BF"/>
    <w:rsid w:val="00E52769"/>
    <w:rsid w:val="00E527EB"/>
    <w:rsid w:val="00E52829"/>
    <w:rsid w:val="00E528BB"/>
    <w:rsid w:val="00E528F8"/>
    <w:rsid w:val="00E52A31"/>
    <w:rsid w:val="00E52A35"/>
    <w:rsid w:val="00E52A9C"/>
    <w:rsid w:val="00E52AA8"/>
    <w:rsid w:val="00E52AAE"/>
    <w:rsid w:val="00E52ABE"/>
    <w:rsid w:val="00E52AE2"/>
    <w:rsid w:val="00E52B1E"/>
    <w:rsid w:val="00E52B77"/>
    <w:rsid w:val="00E52D41"/>
    <w:rsid w:val="00E52F1A"/>
    <w:rsid w:val="00E52F87"/>
    <w:rsid w:val="00E52FC6"/>
    <w:rsid w:val="00E53067"/>
    <w:rsid w:val="00E530D6"/>
    <w:rsid w:val="00E53247"/>
    <w:rsid w:val="00E5325A"/>
    <w:rsid w:val="00E53413"/>
    <w:rsid w:val="00E53438"/>
    <w:rsid w:val="00E53446"/>
    <w:rsid w:val="00E534BD"/>
    <w:rsid w:val="00E53597"/>
    <w:rsid w:val="00E535BA"/>
    <w:rsid w:val="00E535CE"/>
    <w:rsid w:val="00E53668"/>
    <w:rsid w:val="00E53681"/>
    <w:rsid w:val="00E536FF"/>
    <w:rsid w:val="00E5379C"/>
    <w:rsid w:val="00E538E7"/>
    <w:rsid w:val="00E53930"/>
    <w:rsid w:val="00E539BC"/>
    <w:rsid w:val="00E539C8"/>
    <w:rsid w:val="00E539F8"/>
    <w:rsid w:val="00E53A84"/>
    <w:rsid w:val="00E53B5A"/>
    <w:rsid w:val="00E53BE9"/>
    <w:rsid w:val="00E53C8E"/>
    <w:rsid w:val="00E53EBF"/>
    <w:rsid w:val="00E54075"/>
    <w:rsid w:val="00E540CB"/>
    <w:rsid w:val="00E54122"/>
    <w:rsid w:val="00E54198"/>
    <w:rsid w:val="00E541C5"/>
    <w:rsid w:val="00E5427D"/>
    <w:rsid w:val="00E542B2"/>
    <w:rsid w:val="00E542C8"/>
    <w:rsid w:val="00E542DA"/>
    <w:rsid w:val="00E542E9"/>
    <w:rsid w:val="00E542ED"/>
    <w:rsid w:val="00E542FB"/>
    <w:rsid w:val="00E5433D"/>
    <w:rsid w:val="00E543D7"/>
    <w:rsid w:val="00E5440F"/>
    <w:rsid w:val="00E54489"/>
    <w:rsid w:val="00E5451B"/>
    <w:rsid w:val="00E5457C"/>
    <w:rsid w:val="00E54666"/>
    <w:rsid w:val="00E5468F"/>
    <w:rsid w:val="00E546DB"/>
    <w:rsid w:val="00E54722"/>
    <w:rsid w:val="00E547C6"/>
    <w:rsid w:val="00E547FF"/>
    <w:rsid w:val="00E54863"/>
    <w:rsid w:val="00E5487C"/>
    <w:rsid w:val="00E5489B"/>
    <w:rsid w:val="00E548AB"/>
    <w:rsid w:val="00E54949"/>
    <w:rsid w:val="00E5497A"/>
    <w:rsid w:val="00E5498F"/>
    <w:rsid w:val="00E54A67"/>
    <w:rsid w:val="00E54B0A"/>
    <w:rsid w:val="00E54B95"/>
    <w:rsid w:val="00E54BBF"/>
    <w:rsid w:val="00E54C34"/>
    <w:rsid w:val="00E54E2B"/>
    <w:rsid w:val="00E54E33"/>
    <w:rsid w:val="00E54FE3"/>
    <w:rsid w:val="00E55039"/>
    <w:rsid w:val="00E550F8"/>
    <w:rsid w:val="00E5516C"/>
    <w:rsid w:val="00E55209"/>
    <w:rsid w:val="00E5534E"/>
    <w:rsid w:val="00E55389"/>
    <w:rsid w:val="00E553F7"/>
    <w:rsid w:val="00E553FE"/>
    <w:rsid w:val="00E554E3"/>
    <w:rsid w:val="00E55501"/>
    <w:rsid w:val="00E55568"/>
    <w:rsid w:val="00E55582"/>
    <w:rsid w:val="00E55689"/>
    <w:rsid w:val="00E55752"/>
    <w:rsid w:val="00E557BD"/>
    <w:rsid w:val="00E557EC"/>
    <w:rsid w:val="00E55870"/>
    <w:rsid w:val="00E558E7"/>
    <w:rsid w:val="00E55918"/>
    <w:rsid w:val="00E55947"/>
    <w:rsid w:val="00E55950"/>
    <w:rsid w:val="00E559C6"/>
    <w:rsid w:val="00E559CA"/>
    <w:rsid w:val="00E55A52"/>
    <w:rsid w:val="00E55AA2"/>
    <w:rsid w:val="00E55AE1"/>
    <w:rsid w:val="00E55AF2"/>
    <w:rsid w:val="00E55BD1"/>
    <w:rsid w:val="00E55CB1"/>
    <w:rsid w:val="00E55D46"/>
    <w:rsid w:val="00E55E39"/>
    <w:rsid w:val="00E56059"/>
    <w:rsid w:val="00E56162"/>
    <w:rsid w:val="00E561A8"/>
    <w:rsid w:val="00E56334"/>
    <w:rsid w:val="00E5636B"/>
    <w:rsid w:val="00E5638B"/>
    <w:rsid w:val="00E563F6"/>
    <w:rsid w:val="00E5641C"/>
    <w:rsid w:val="00E56458"/>
    <w:rsid w:val="00E56552"/>
    <w:rsid w:val="00E56554"/>
    <w:rsid w:val="00E5655E"/>
    <w:rsid w:val="00E56561"/>
    <w:rsid w:val="00E565A8"/>
    <w:rsid w:val="00E565B8"/>
    <w:rsid w:val="00E56623"/>
    <w:rsid w:val="00E5662E"/>
    <w:rsid w:val="00E56648"/>
    <w:rsid w:val="00E56772"/>
    <w:rsid w:val="00E567AC"/>
    <w:rsid w:val="00E56824"/>
    <w:rsid w:val="00E5685F"/>
    <w:rsid w:val="00E56932"/>
    <w:rsid w:val="00E5695B"/>
    <w:rsid w:val="00E5696E"/>
    <w:rsid w:val="00E569CD"/>
    <w:rsid w:val="00E56A14"/>
    <w:rsid w:val="00E56A18"/>
    <w:rsid w:val="00E56A2F"/>
    <w:rsid w:val="00E56B51"/>
    <w:rsid w:val="00E56B61"/>
    <w:rsid w:val="00E56D44"/>
    <w:rsid w:val="00E56DC2"/>
    <w:rsid w:val="00E56E71"/>
    <w:rsid w:val="00E56EDC"/>
    <w:rsid w:val="00E5712E"/>
    <w:rsid w:val="00E571B4"/>
    <w:rsid w:val="00E57204"/>
    <w:rsid w:val="00E5743D"/>
    <w:rsid w:val="00E57441"/>
    <w:rsid w:val="00E57574"/>
    <w:rsid w:val="00E57584"/>
    <w:rsid w:val="00E5761A"/>
    <w:rsid w:val="00E576BE"/>
    <w:rsid w:val="00E57796"/>
    <w:rsid w:val="00E577A4"/>
    <w:rsid w:val="00E577B3"/>
    <w:rsid w:val="00E577DD"/>
    <w:rsid w:val="00E57805"/>
    <w:rsid w:val="00E578C5"/>
    <w:rsid w:val="00E5796A"/>
    <w:rsid w:val="00E5799D"/>
    <w:rsid w:val="00E57A03"/>
    <w:rsid w:val="00E57A14"/>
    <w:rsid w:val="00E57A46"/>
    <w:rsid w:val="00E57A86"/>
    <w:rsid w:val="00E57B5F"/>
    <w:rsid w:val="00E57BBC"/>
    <w:rsid w:val="00E57BC2"/>
    <w:rsid w:val="00E57C51"/>
    <w:rsid w:val="00E57C68"/>
    <w:rsid w:val="00E57C7B"/>
    <w:rsid w:val="00E57C95"/>
    <w:rsid w:val="00E57D0A"/>
    <w:rsid w:val="00E57DB9"/>
    <w:rsid w:val="00E57E0C"/>
    <w:rsid w:val="00E57F5D"/>
    <w:rsid w:val="00E57F7A"/>
    <w:rsid w:val="00E5E3F0"/>
    <w:rsid w:val="00E60034"/>
    <w:rsid w:val="00E6004F"/>
    <w:rsid w:val="00E6006E"/>
    <w:rsid w:val="00E6009D"/>
    <w:rsid w:val="00E600B3"/>
    <w:rsid w:val="00E6014D"/>
    <w:rsid w:val="00E60272"/>
    <w:rsid w:val="00E60275"/>
    <w:rsid w:val="00E6029C"/>
    <w:rsid w:val="00E60336"/>
    <w:rsid w:val="00E60356"/>
    <w:rsid w:val="00E603DF"/>
    <w:rsid w:val="00E604DD"/>
    <w:rsid w:val="00E60562"/>
    <w:rsid w:val="00E60574"/>
    <w:rsid w:val="00E6069A"/>
    <w:rsid w:val="00E6069B"/>
    <w:rsid w:val="00E606F6"/>
    <w:rsid w:val="00E6071B"/>
    <w:rsid w:val="00E60789"/>
    <w:rsid w:val="00E6079F"/>
    <w:rsid w:val="00E607BC"/>
    <w:rsid w:val="00E607DF"/>
    <w:rsid w:val="00E60841"/>
    <w:rsid w:val="00E608A0"/>
    <w:rsid w:val="00E608BA"/>
    <w:rsid w:val="00E608D5"/>
    <w:rsid w:val="00E60911"/>
    <w:rsid w:val="00E60A74"/>
    <w:rsid w:val="00E60A75"/>
    <w:rsid w:val="00E60A9A"/>
    <w:rsid w:val="00E60AD7"/>
    <w:rsid w:val="00E60ADB"/>
    <w:rsid w:val="00E60B1C"/>
    <w:rsid w:val="00E60BA1"/>
    <w:rsid w:val="00E60C66"/>
    <w:rsid w:val="00E60C7B"/>
    <w:rsid w:val="00E60CFE"/>
    <w:rsid w:val="00E60D51"/>
    <w:rsid w:val="00E61025"/>
    <w:rsid w:val="00E61065"/>
    <w:rsid w:val="00E610DF"/>
    <w:rsid w:val="00E610F7"/>
    <w:rsid w:val="00E61114"/>
    <w:rsid w:val="00E61129"/>
    <w:rsid w:val="00E612B5"/>
    <w:rsid w:val="00E612B9"/>
    <w:rsid w:val="00E61302"/>
    <w:rsid w:val="00E61344"/>
    <w:rsid w:val="00E61471"/>
    <w:rsid w:val="00E6148D"/>
    <w:rsid w:val="00E614EC"/>
    <w:rsid w:val="00E61566"/>
    <w:rsid w:val="00E61608"/>
    <w:rsid w:val="00E616BA"/>
    <w:rsid w:val="00E6195B"/>
    <w:rsid w:val="00E61963"/>
    <w:rsid w:val="00E619B0"/>
    <w:rsid w:val="00E619B9"/>
    <w:rsid w:val="00E61AC8"/>
    <w:rsid w:val="00E61B9C"/>
    <w:rsid w:val="00E61BEF"/>
    <w:rsid w:val="00E61CE5"/>
    <w:rsid w:val="00E61D21"/>
    <w:rsid w:val="00E61D68"/>
    <w:rsid w:val="00E61D79"/>
    <w:rsid w:val="00E61DC9"/>
    <w:rsid w:val="00E61DF4"/>
    <w:rsid w:val="00E61E3F"/>
    <w:rsid w:val="00E61F42"/>
    <w:rsid w:val="00E61FD6"/>
    <w:rsid w:val="00E6203E"/>
    <w:rsid w:val="00E620A0"/>
    <w:rsid w:val="00E6212A"/>
    <w:rsid w:val="00E6215C"/>
    <w:rsid w:val="00E621B7"/>
    <w:rsid w:val="00E621F1"/>
    <w:rsid w:val="00E622D6"/>
    <w:rsid w:val="00E62371"/>
    <w:rsid w:val="00E62376"/>
    <w:rsid w:val="00E62408"/>
    <w:rsid w:val="00E624A5"/>
    <w:rsid w:val="00E62526"/>
    <w:rsid w:val="00E6252E"/>
    <w:rsid w:val="00E62576"/>
    <w:rsid w:val="00E6258B"/>
    <w:rsid w:val="00E625C9"/>
    <w:rsid w:val="00E62672"/>
    <w:rsid w:val="00E62770"/>
    <w:rsid w:val="00E62772"/>
    <w:rsid w:val="00E627AE"/>
    <w:rsid w:val="00E627EF"/>
    <w:rsid w:val="00E628B6"/>
    <w:rsid w:val="00E628F0"/>
    <w:rsid w:val="00E629B6"/>
    <w:rsid w:val="00E629F0"/>
    <w:rsid w:val="00E62A0C"/>
    <w:rsid w:val="00E62AC8"/>
    <w:rsid w:val="00E62AF5"/>
    <w:rsid w:val="00E62C00"/>
    <w:rsid w:val="00E62C7D"/>
    <w:rsid w:val="00E62C93"/>
    <w:rsid w:val="00E62CA1"/>
    <w:rsid w:val="00E62D37"/>
    <w:rsid w:val="00E62D52"/>
    <w:rsid w:val="00E62DBA"/>
    <w:rsid w:val="00E62DC9"/>
    <w:rsid w:val="00E62DE2"/>
    <w:rsid w:val="00E62DFC"/>
    <w:rsid w:val="00E62F40"/>
    <w:rsid w:val="00E62F7F"/>
    <w:rsid w:val="00E62FCC"/>
    <w:rsid w:val="00E63014"/>
    <w:rsid w:val="00E63079"/>
    <w:rsid w:val="00E630BD"/>
    <w:rsid w:val="00E6310D"/>
    <w:rsid w:val="00E63161"/>
    <w:rsid w:val="00E6316E"/>
    <w:rsid w:val="00E63197"/>
    <w:rsid w:val="00E631AE"/>
    <w:rsid w:val="00E632B7"/>
    <w:rsid w:val="00E6332E"/>
    <w:rsid w:val="00E633AA"/>
    <w:rsid w:val="00E633EB"/>
    <w:rsid w:val="00E6343D"/>
    <w:rsid w:val="00E63465"/>
    <w:rsid w:val="00E634DA"/>
    <w:rsid w:val="00E63581"/>
    <w:rsid w:val="00E63620"/>
    <w:rsid w:val="00E6363E"/>
    <w:rsid w:val="00E63717"/>
    <w:rsid w:val="00E63938"/>
    <w:rsid w:val="00E6398E"/>
    <w:rsid w:val="00E639B5"/>
    <w:rsid w:val="00E639BD"/>
    <w:rsid w:val="00E639CB"/>
    <w:rsid w:val="00E639D8"/>
    <w:rsid w:val="00E63A0F"/>
    <w:rsid w:val="00E63A49"/>
    <w:rsid w:val="00E63A53"/>
    <w:rsid w:val="00E63A80"/>
    <w:rsid w:val="00E63AE6"/>
    <w:rsid w:val="00E63C50"/>
    <w:rsid w:val="00E63C61"/>
    <w:rsid w:val="00E63C9B"/>
    <w:rsid w:val="00E63D01"/>
    <w:rsid w:val="00E63D2E"/>
    <w:rsid w:val="00E63DD6"/>
    <w:rsid w:val="00E63DDF"/>
    <w:rsid w:val="00E63EDE"/>
    <w:rsid w:val="00E63EF6"/>
    <w:rsid w:val="00E64010"/>
    <w:rsid w:val="00E64018"/>
    <w:rsid w:val="00E6402A"/>
    <w:rsid w:val="00E64067"/>
    <w:rsid w:val="00E640CE"/>
    <w:rsid w:val="00E6414D"/>
    <w:rsid w:val="00E641E0"/>
    <w:rsid w:val="00E64228"/>
    <w:rsid w:val="00E64294"/>
    <w:rsid w:val="00E6429E"/>
    <w:rsid w:val="00E642DE"/>
    <w:rsid w:val="00E642F7"/>
    <w:rsid w:val="00E64349"/>
    <w:rsid w:val="00E643F4"/>
    <w:rsid w:val="00E6447D"/>
    <w:rsid w:val="00E64492"/>
    <w:rsid w:val="00E6455B"/>
    <w:rsid w:val="00E645BD"/>
    <w:rsid w:val="00E64611"/>
    <w:rsid w:val="00E64784"/>
    <w:rsid w:val="00E647E1"/>
    <w:rsid w:val="00E64814"/>
    <w:rsid w:val="00E6484C"/>
    <w:rsid w:val="00E64863"/>
    <w:rsid w:val="00E6487F"/>
    <w:rsid w:val="00E6488E"/>
    <w:rsid w:val="00E64A2E"/>
    <w:rsid w:val="00E64A6F"/>
    <w:rsid w:val="00E64AEC"/>
    <w:rsid w:val="00E64C22"/>
    <w:rsid w:val="00E64C79"/>
    <w:rsid w:val="00E64DD0"/>
    <w:rsid w:val="00E64DD5"/>
    <w:rsid w:val="00E64ED3"/>
    <w:rsid w:val="00E64EE7"/>
    <w:rsid w:val="00E64FA6"/>
    <w:rsid w:val="00E64FAC"/>
    <w:rsid w:val="00E65040"/>
    <w:rsid w:val="00E650E6"/>
    <w:rsid w:val="00E65206"/>
    <w:rsid w:val="00E6521F"/>
    <w:rsid w:val="00E6522A"/>
    <w:rsid w:val="00E65231"/>
    <w:rsid w:val="00E65259"/>
    <w:rsid w:val="00E652C6"/>
    <w:rsid w:val="00E6536D"/>
    <w:rsid w:val="00E65388"/>
    <w:rsid w:val="00E653D6"/>
    <w:rsid w:val="00E65437"/>
    <w:rsid w:val="00E6546C"/>
    <w:rsid w:val="00E6548E"/>
    <w:rsid w:val="00E65514"/>
    <w:rsid w:val="00E6559C"/>
    <w:rsid w:val="00E65645"/>
    <w:rsid w:val="00E6577D"/>
    <w:rsid w:val="00E658FF"/>
    <w:rsid w:val="00E6591C"/>
    <w:rsid w:val="00E65959"/>
    <w:rsid w:val="00E659CD"/>
    <w:rsid w:val="00E65AF3"/>
    <w:rsid w:val="00E65B0E"/>
    <w:rsid w:val="00E65B9A"/>
    <w:rsid w:val="00E65BE4"/>
    <w:rsid w:val="00E65C22"/>
    <w:rsid w:val="00E65D5C"/>
    <w:rsid w:val="00E65E43"/>
    <w:rsid w:val="00E65E66"/>
    <w:rsid w:val="00E65EAA"/>
    <w:rsid w:val="00E65F23"/>
    <w:rsid w:val="00E65F43"/>
    <w:rsid w:val="00E65F75"/>
    <w:rsid w:val="00E66010"/>
    <w:rsid w:val="00E6634D"/>
    <w:rsid w:val="00E6636E"/>
    <w:rsid w:val="00E663ED"/>
    <w:rsid w:val="00E664CB"/>
    <w:rsid w:val="00E66550"/>
    <w:rsid w:val="00E66575"/>
    <w:rsid w:val="00E6657E"/>
    <w:rsid w:val="00E665A4"/>
    <w:rsid w:val="00E6661E"/>
    <w:rsid w:val="00E6663B"/>
    <w:rsid w:val="00E666C6"/>
    <w:rsid w:val="00E66732"/>
    <w:rsid w:val="00E66786"/>
    <w:rsid w:val="00E667A7"/>
    <w:rsid w:val="00E667F6"/>
    <w:rsid w:val="00E668DF"/>
    <w:rsid w:val="00E66907"/>
    <w:rsid w:val="00E66917"/>
    <w:rsid w:val="00E66932"/>
    <w:rsid w:val="00E669B2"/>
    <w:rsid w:val="00E669D4"/>
    <w:rsid w:val="00E66A2C"/>
    <w:rsid w:val="00E66A7B"/>
    <w:rsid w:val="00E66ADB"/>
    <w:rsid w:val="00E66ADC"/>
    <w:rsid w:val="00E66AE0"/>
    <w:rsid w:val="00E66B46"/>
    <w:rsid w:val="00E66B81"/>
    <w:rsid w:val="00E66B91"/>
    <w:rsid w:val="00E66B9B"/>
    <w:rsid w:val="00E66BB1"/>
    <w:rsid w:val="00E66C35"/>
    <w:rsid w:val="00E66C57"/>
    <w:rsid w:val="00E66D0C"/>
    <w:rsid w:val="00E66D13"/>
    <w:rsid w:val="00E66DB2"/>
    <w:rsid w:val="00E66ED0"/>
    <w:rsid w:val="00E66F1C"/>
    <w:rsid w:val="00E66F7A"/>
    <w:rsid w:val="00E66FA0"/>
    <w:rsid w:val="00E66FA5"/>
    <w:rsid w:val="00E66FC9"/>
    <w:rsid w:val="00E66FFD"/>
    <w:rsid w:val="00E67012"/>
    <w:rsid w:val="00E67056"/>
    <w:rsid w:val="00E670B0"/>
    <w:rsid w:val="00E67281"/>
    <w:rsid w:val="00E67295"/>
    <w:rsid w:val="00E672E6"/>
    <w:rsid w:val="00E672ED"/>
    <w:rsid w:val="00E672FD"/>
    <w:rsid w:val="00E6735B"/>
    <w:rsid w:val="00E67492"/>
    <w:rsid w:val="00E6752C"/>
    <w:rsid w:val="00E67573"/>
    <w:rsid w:val="00E675C3"/>
    <w:rsid w:val="00E67639"/>
    <w:rsid w:val="00E677C3"/>
    <w:rsid w:val="00E6782D"/>
    <w:rsid w:val="00E6788F"/>
    <w:rsid w:val="00E678E2"/>
    <w:rsid w:val="00E67928"/>
    <w:rsid w:val="00E679C0"/>
    <w:rsid w:val="00E679FF"/>
    <w:rsid w:val="00E67A90"/>
    <w:rsid w:val="00E67A98"/>
    <w:rsid w:val="00E67ABB"/>
    <w:rsid w:val="00E67B18"/>
    <w:rsid w:val="00E67B66"/>
    <w:rsid w:val="00E67BFA"/>
    <w:rsid w:val="00E67C27"/>
    <w:rsid w:val="00E67C3A"/>
    <w:rsid w:val="00E67C3F"/>
    <w:rsid w:val="00E67C43"/>
    <w:rsid w:val="00E67C4C"/>
    <w:rsid w:val="00E67D1C"/>
    <w:rsid w:val="00E67D4A"/>
    <w:rsid w:val="00E67E1B"/>
    <w:rsid w:val="00E67E4F"/>
    <w:rsid w:val="00E67FCC"/>
    <w:rsid w:val="00E700A6"/>
    <w:rsid w:val="00E700C9"/>
    <w:rsid w:val="00E700E3"/>
    <w:rsid w:val="00E700E7"/>
    <w:rsid w:val="00E70104"/>
    <w:rsid w:val="00E7014F"/>
    <w:rsid w:val="00E701CB"/>
    <w:rsid w:val="00E7027C"/>
    <w:rsid w:val="00E702D3"/>
    <w:rsid w:val="00E70491"/>
    <w:rsid w:val="00E7050B"/>
    <w:rsid w:val="00E705A3"/>
    <w:rsid w:val="00E7061B"/>
    <w:rsid w:val="00E70633"/>
    <w:rsid w:val="00E70640"/>
    <w:rsid w:val="00E7069B"/>
    <w:rsid w:val="00E70897"/>
    <w:rsid w:val="00E708D5"/>
    <w:rsid w:val="00E708FB"/>
    <w:rsid w:val="00E709C2"/>
    <w:rsid w:val="00E70B30"/>
    <w:rsid w:val="00E70BA1"/>
    <w:rsid w:val="00E70C74"/>
    <w:rsid w:val="00E70D00"/>
    <w:rsid w:val="00E70D3F"/>
    <w:rsid w:val="00E70DBB"/>
    <w:rsid w:val="00E70E67"/>
    <w:rsid w:val="00E70E80"/>
    <w:rsid w:val="00E70F50"/>
    <w:rsid w:val="00E70FB8"/>
    <w:rsid w:val="00E71077"/>
    <w:rsid w:val="00E710D5"/>
    <w:rsid w:val="00E7112B"/>
    <w:rsid w:val="00E71148"/>
    <w:rsid w:val="00E7118C"/>
    <w:rsid w:val="00E71378"/>
    <w:rsid w:val="00E7140C"/>
    <w:rsid w:val="00E714F0"/>
    <w:rsid w:val="00E71526"/>
    <w:rsid w:val="00E71593"/>
    <w:rsid w:val="00E715E8"/>
    <w:rsid w:val="00E715F6"/>
    <w:rsid w:val="00E71626"/>
    <w:rsid w:val="00E71777"/>
    <w:rsid w:val="00E71799"/>
    <w:rsid w:val="00E7186B"/>
    <w:rsid w:val="00E719AC"/>
    <w:rsid w:val="00E719E3"/>
    <w:rsid w:val="00E71A66"/>
    <w:rsid w:val="00E71A74"/>
    <w:rsid w:val="00E71AE6"/>
    <w:rsid w:val="00E71B1E"/>
    <w:rsid w:val="00E71B45"/>
    <w:rsid w:val="00E71B46"/>
    <w:rsid w:val="00E71BDF"/>
    <w:rsid w:val="00E71C52"/>
    <w:rsid w:val="00E71C62"/>
    <w:rsid w:val="00E71D26"/>
    <w:rsid w:val="00E71D69"/>
    <w:rsid w:val="00E71D73"/>
    <w:rsid w:val="00E71DAF"/>
    <w:rsid w:val="00E71DB4"/>
    <w:rsid w:val="00E71E08"/>
    <w:rsid w:val="00E71E58"/>
    <w:rsid w:val="00E71E63"/>
    <w:rsid w:val="00E71E8A"/>
    <w:rsid w:val="00E71EE6"/>
    <w:rsid w:val="00E71FEF"/>
    <w:rsid w:val="00E7200C"/>
    <w:rsid w:val="00E72062"/>
    <w:rsid w:val="00E720A2"/>
    <w:rsid w:val="00E720A9"/>
    <w:rsid w:val="00E72135"/>
    <w:rsid w:val="00E721A4"/>
    <w:rsid w:val="00E7220B"/>
    <w:rsid w:val="00E7222F"/>
    <w:rsid w:val="00E72236"/>
    <w:rsid w:val="00E72246"/>
    <w:rsid w:val="00E722C0"/>
    <w:rsid w:val="00E72323"/>
    <w:rsid w:val="00E72416"/>
    <w:rsid w:val="00E72476"/>
    <w:rsid w:val="00E72479"/>
    <w:rsid w:val="00E725D7"/>
    <w:rsid w:val="00E72662"/>
    <w:rsid w:val="00E7267B"/>
    <w:rsid w:val="00E72711"/>
    <w:rsid w:val="00E7274A"/>
    <w:rsid w:val="00E727B2"/>
    <w:rsid w:val="00E72834"/>
    <w:rsid w:val="00E7285A"/>
    <w:rsid w:val="00E728A1"/>
    <w:rsid w:val="00E72A35"/>
    <w:rsid w:val="00E72A6A"/>
    <w:rsid w:val="00E72B14"/>
    <w:rsid w:val="00E72B1B"/>
    <w:rsid w:val="00E72B32"/>
    <w:rsid w:val="00E72BB5"/>
    <w:rsid w:val="00E72BF8"/>
    <w:rsid w:val="00E72CAE"/>
    <w:rsid w:val="00E72CD4"/>
    <w:rsid w:val="00E72DAA"/>
    <w:rsid w:val="00E72E13"/>
    <w:rsid w:val="00E72E1D"/>
    <w:rsid w:val="00E72E51"/>
    <w:rsid w:val="00E72E6F"/>
    <w:rsid w:val="00E72EAE"/>
    <w:rsid w:val="00E72EC8"/>
    <w:rsid w:val="00E72F2C"/>
    <w:rsid w:val="00E72F87"/>
    <w:rsid w:val="00E7314D"/>
    <w:rsid w:val="00E7317B"/>
    <w:rsid w:val="00E731A6"/>
    <w:rsid w:val="00E7323A"/>
    <w:rsid w:val="00E73337"/>
    <w:rsid w:val="00E733A0"/>
    <w:rsid w:val="00E733A3"/>
    <w:rsid w:val="00E733AD"/>
    <w:rsid w:val="00E733B5"/>
    <w:rsid w:val="00E73426"/>
    <w:rsid w:val="00E73486"/>
    <w:rsid w:val="00E73540"/>
    <w:rsid w:val="00E73599"/>
    <w:rsid w:val="00E735DA"/>
    <w:rsid w:val="00E735E1"/>
    <w:rsid w:val="00E7365B"/>
    <w:rsid w:val="00E736C6"/>
    <w:rsid w:val="00E73711"/>
    <w:rsid w:val="00E73728"/>
    <w:rsid w:val="00E73776"/>
    <w:rsid w:val="00E737D6"/>
    <w:rsid w:val="00E7385B"/>
    <w:rsid w:val="00E738BC"/>
    <w:rsid w:val="00E738DB"/>
    <w:rsid w:val="00E738E4"/>
    <w:rsid w:val="00E738E7"/>
    <w:rsid w:val="00E73933"/>
    <w:rsid w:val="00E7396E"/>
    <w:rsid w:val="00E739A5"/>
    <w:rsid w:val="00E739BA"/>
    <w:rsid w:val="00E73A06"/>
    <w:rsid w:val="00E73A0E"/>
    <w:rsid w:val="00E73A78"/>
    <w:rsid w:val="00E73B40"/>
    <w:rsid w:val="00E73BA1"/>
    <w:rsid w:val="00E73C14"/>
    <w:rsid w:val="00E73CB3"/>
    <w:rsid w:val="00E73D06"/>
    <w:rsid w:val="00E73D3D"/>
    <w:rsid w:val="00E73EE4"/>
    <w:rsid w:val="00E73F6F"/>
    <w:rsid w:val="00E73F99"/>
    <w:rsid w:val="00E73FB1"/>
    <w:rsid w:val="00E74011"/>
    <w:rsid w:val="00E74056"/>
    <w:rsid w:val="00E7407A"/>
    <w:rsid w:val="00E7418C"/>
    <w:rsid w:val="00E741AB"/>
    <w:rsid w:val="00E74280"/>
    <w:rsid w:val="00E742E1"/>
    <w:rsid w:val="00E74317"/>
    <w:rsid w:val="00E7438E"/>
    <w:rsid w:val="00E7443D"/>
    <w:rsid w:val="00E744A0"/>
    <w:rsid w:val="00E744A9"/>
    <w:rsid w:val="00E744F0"/>
    <w:rsid w:val="00E745A6"/>
    <w:rsid w:val="00E74630"/>
    <w:rsid w:val="00E7463D"/>
    <w:rsid w:val="00E7463E"/>
    <w:rsid w:val="00E74673"/>
    <w:rsid w:val="00E7469D"/>
    <w:rsid w:val="00E746EA"/>
    <w:rsid w:val="00E7479E"/>
    <w:rsid w:val="00E747D2"/>
    <w:rsid w:val="00E74870"/>
    <w:rsid w:val="00E74890"/>
    <w:rsid w:val="00E748B4"/>
    <w:rsid w:val="00E748C7"/>
    <w:rsid w:val="00E749F8"/>
    <w:rsid w:val="00E749FF"/>
    <w:rsid w:val="00E74A7D"/>
    <w:rsid w:val="00E74AB6"/>
    <w:rsid w:val="00E74BA6"/>
    <w:rsid w:val="00E74BED"/>
    <w:rsid w:val="00E74CEA"/>
    <w:rsid w:val="00E74CFA"/>
    <w:rsid w:val="00E74D7C"/>
    <w:rsid w:val="00E74DA8"/>
    <w:rsid w:val="00E74EFE"/>
    <w:rsid w:val="00E74F22"/>
    <w:rsid w:val="00E74F79"/>
    <w:rsid w:val="00E7500C"/>
    <w:rsid w:val="00E75013"/>
    <w:rsid w:val="00E75059"/>
    <w:rsid w:val="00E752BF"/>
    <w:rsid w:val="00E752D6"/>
    <w:rsid w:val="00E752D7"/>
    <w:rsid w:val="00E75312"/>
    <w:rsid w:val="00E75436"/>
    <w:rsid w:val="00E75491"/>
    <w:rsid w:val="00E754E1"/>
    <w:rsid w:val="00E755AC"/>
    <w:rsid w:val="00E7565E"/>
    <w:rsid w:val="00E756B6"/>
    <w:rsid w:val="00E758AC"/>
    <w:rsid w:val="00E75903"/>
    <w:rsid w:val="00E759BC"/>
    <w:rsid w:val="00E75AE2"/>
    <w:rsid w:val="00E75B32"/>
    <w:rsid w:val="00E75BEB"/>
    <w:rsid w:val="00E75D58"/>
    <w:rsid w:val="00E75D89"/>
    <w:rsid w:val="00E75E09"/>
    <w:rsid w:val="00E75EEC"/>
    <w:rsid w:val="00E75F13"/>
    <w:rsid w:val="00E75F2C"/>
    <w:rsid w:val="00E75FFA"/>
    <w:rsid w:val="00E7603A"/>
    <w:rsid w:val="00E760A9"/>
    <w:rsid w:val="00E76120"/>
    <w:rsid w:val="00E761C2"/>
    <w:rsid w:val="00E761D0"/>
    <w:rsid w:val="00E761D1"/>
    <w:rsid w:val="00E7621F"/>
    <w:rsid w:val="00E763E0"/>
    <w:rsid w:val="00E76452"/>
    <w:rsid w:val="00E764A5"/>
    <w:rsid w:val="00E764AC"/>
    <w:rsid w:val="00E76538"/>
    <w:rsid w:val="00E7660F"/>
    <w:rsid w:val="00E76617"/>
    <w:rsid w:val="00E76637"/>
    <w:rsid w:val="00E76663"/>
    <w:rsid w:val="00E76786"/>
    <w:rsid w:val="00E7681C"/>
    <w:rsid w:val="00E7686B"/>
    <w:rsid w:val="00E7687A"/>
    <w:rsid w:val="00E768AE"/>
    <w:rsid w:val="00E76A70"/>
    <w:rsid w:val="00E76A95"/>
    <w:rsid w:val="00E76C0E"/>
    <w:rsid w:val="00E76C2A"/>
    <w:rsid w:val="00E76CE7"/>
    <w:rsid w:val="00E76D66"/>
    <w:rsid w:val="00E76DEB"/>
    <w:rsid w:val="00E76E4C"/>
    <w:rsid w:val="00E76F3A"/>
    <w:rsid w:val="00E76F9C"/>
    <w:rsid w:val="00E76FEC"/>
    <w:rsid w:val="00E77003"/>
    <w:rsid w:val="00E77017"/>
    <w:rsid w:val="00E7702D"/>
    <w:rsid w:val="00E7710B"/>
    <w:rsid w:val="00E771CE"/>
    <w:rsid w:val="00E7721D"/>
    <w:rsid w:val="00E772B8"/>
    <w:rsid w:val="00E77329"/>
    <w:rsid w:val="00E7738C"/>
    <w:rsid w:val="00E773B9"/>
    <w:rsid w:val="00E77491"/>
    <w:rsid w:val="00E7757F"/>
    <w:rsid w:val="00E775AD"/>
    <w:rsid w:val="00E7762F"/>
    <w:rsid w:val="00E7766C"/>
    <w:rsid w:val="00E77676"/>
    <w:rsid w:val="00E7770B"/>
    <w:rsid w:val="00E77741"/>
    <w:rsid w:val="00E77813"/>
    <w:rsid w:val="00E7781A"/>
    <w:rsid w:val="00E7784C"/>
    <w:rsid w:val="00E77871"/>
    <w:rsid w:val="00E77959"/>
    <w:rsid w:val="00E7797A"/>
    <w:rsid w:val="00E779C5"/>
    <w:rsid w:val="00E77A84"/>
    <w:rsid w:val="00E77AE3"/>
    <w:rsid w:val="00E77B92"/>
    <w:rsid w:val="00E77BD6"/>
    <w:rsid w:val="00E77BD7"/>
    <w:rsid w:val="00E77C63"/>
    <w:rsid w:val="00E77D2F"/>
    <w:rsid w:val="00E77D75"/>
    <w:rsid w:val="00E77D91"/>
    <w:rsid w:val="00E77E0E"/>
    <w:rsid w:val="00E77EC7"/>
    <w:rsid w:val="00E77EEB"/>
    <w:rsid w:val="00E77F57"/>
    <w:rsid w:val="00E77FCB"/>
    <w:rsid w:val="00E77FCD"/>
    <w:rsid w:val="00E80020"/>
    <w:rsid w:val="00E80029"/>
    <w:rsid w:val="00E80183"/>
    <w:rsid w:val="00E8019E"/>
    <w:rsid w:val="00E80201"/>
    <w:rsid w:val="00E80243"/>
    <w:rsid w:val="00E802FB"/>
    <w:rsid w:val="00E8036A"/>
    <w:rsid w:val="00E803DE"/>
    <w:rsid w:val="00E803E0"/>
    <w:rsid w:val="00E80435"/>
    <w:rsid w:val="00E80442"/>
    <w:rsid w:val="00E8046B"/>
    <w:rsid w:val="00E804CE"/>
    <w:rsid w:val="00E8051C"/>
    <w:rsid w:val="00E80525"/>
    <w:rsid w:val="00E80568"/>
    <w:rsid w:val="00E8073A"/>
    <w:rsid w:val="00E807F1"/>
    <w:rsid w:val="00E808A3"/>
    <w:rsid w:val="00E808B5"/>
    <w:rsid w:val="00E8093C"/>
    <w:rsid w:val="00E80992"/>
    <w:rsid w:val="00E809DC"/>
    <w:rsid w:val="00E80A1C"/>
    <w:rsid w:val="00E80A92"/>
    <w:rsid w:val="00E80ADB"/>
    <w:rsid w:val="00E80B22"/>
    <w:rsid w:val="00E80C49"/>
    <w:rsid w:val="00E80C66"/>
    <w:rsid w:val="00E80C86"/>
    <w:rsid w:val="00E80C87"/>
    <w:rsid w:val="00E80DCA"/>
    <w:rsid w:val="00E80DE8"/>
    <w:rsid w:val="00E80E09"/>
    <w:rsid w:val="00E80E29"/>
    <w:rsid w:val="00E80EC1"/>
    <w:rsid w:val="00E81097"/>
    <w:rsid w:val="00E810B0"/>
    <w:rsid w:val="00E810B6"/>
    <w:rsid w:val="00E8111A"/>
    <w:rsid w:val="00E811AC"/>
    <w:rsid w:val="00E812F8"/>
    <w:rsid w:val="00E81377"/>
    <w:rsid w:val="00E8140E"/>
    <w:rsid w:val="00E8145B"/>
    <w:rsid w:val="00E814EF"/>
    <w:rsid w:val="00E81502"/>
    <w:rsid w:val="00E8151A"/>
    <w:rsid w:val="00E8154F"/>
    <w:rsid w:val="00E81563"/>
    <w:rsid w:val="00E81718"/>
    <w:rsid w:val="00E81795"/>
    <w:rsid w:val="00E817EE"/>
    <w:rsid w:val="00E8182F"/>
    <w:rsid w:val="00E81893"/>
    <w:rsid w:val="00E81902"/>
    <w:rsid w:val="00E8190D"/>
    <w:rsid w:val="00E81915"/>
    <w:rsid w:val="00E819EE"/>
    <w:rsid w:val="00E81A16"/>
    <w:rsid w:val="00E81A50"/>
    <w:rsid w:val="00E81ACA"/>
    <w:rsid w:val="00E81B0A"/>
    <w:rsid w:val="00E81B86"/>
    <w:rsid w:val="00E81C02"/>
    <w:rsid w:val="00E81C33"/>
    <w:rsid w:val="00E81CBE"/>
    <w:rsid w:val="00E81CE4"/>
    <w:rsid w:val="00E81D07"/>
    <w:rsid w:val="00E81D11"/>
    <w:rsid w:val="00E81EBC"/>
    <w:rsid w:val="00E81EEB"/>
    <w:rsid w:val="00E81FF6"/>
    <w:rsid w:val="00E820A3"/>
    <w:rsid w:val="00E82173"/>
    <w:rsid w:val="00E82183"/>
    <w:rsid w:val="00E821AC"/>
    <w:rsid w:val="00E8227C"/>
    <w:rsid w:val="00E822AE"/>
    <w:rsid w:val="00E822E0"/>
    <w:rsid w:val="00E822EF"/>
    <w:rsid w:val="00E8239A"/>
    <w:rsid w:val="00E823D5"/>
    <w:rsid w:val="00E82459"/>
    <w:rsid w:val="00E824CD"/>
    <w:rsid w:val="00E824F6"/>
    <w:rsid w:val="00E82693"/>
    <w:rsid w:val="00E8277E"/>
    <w:rsid w:val="00E82820"/>
    <w:rsid w:val="00E82861"/>
    <w:rsid w:val="00E828F1"/>
    <w:rsid w:val="00E82A6D"/>
    <w:rsid w:val="00E82A83"/>
    <w:rsid w:val="00E82A96"/>
    <w:rsid w:val="00E82A9A"/>
    <w:rsid w:val="00E82B12"/>
    <w:rsid w:val="00E82BC0"/>
    <w:rsid w:val="00E82BC9"/>
    <w:rsid w:val="00E82C2C"/>
    <w:rsid w:val="00E82CD9"/>
    <w:rsid w:val="00E82E26"/>
    <w:rsid w:val="00E82E87"/>
    <w:rsid w:val="00E82F0E"/>
    <w:rsid w:val="00E82F78"/>
    <w:rsid w:val="00E832B1"/>
    <w:rsid w:val="00E832B4"/>
    <w:rsid w:val="00E832ED"/>
    <w:rsid w:val="00E83311"/>
    <w:rsid w:val="00E83342"/>
    <w:rsid w:val="00E83373"/>
    <w:rsid w:val="00E833FA"/>
    <w:rsid w:val="00E8340C"/>
    <w:rsid w:val="00E83460"/>
    <w:rsid w:val="00E8348A"/>
    <w:rsid w:val="00E83501"/>
    <w:rsid w:val="00E83566"/>
    <w:rsid w:val="00E835EC"/>
    <w:rsid w:val="00E83644"/>
    <w:rsid w:val="00E83674"/>
    <w:rsid w:val="00E83702"/>
    <w:rsid w:val="00E83815"/>
    <w:rsid w:val="00E8384A"/>
    <w:rsid w:val="00E8391C"/>
    <w:rsid w:val="00E83921"/>
    <w:rsid w:val="00E839C2"/>
    <w:rsid w:val="00E839F9"/>
    <w:rsid w:val="00E83A28"/>
    <w:rsid w:val="00E83A73"/>
    <w:rsid w:val="00E83AA2"/>
    <w:rsid w:val="00E83B07"/>
    <w:rsid w:val="00E83BBB"/>
    <w:rsid w:val="00E83BCB"/>
    <w:rsid w:val="00E83BD0"/>
    <w:rsid w:val="00E83C1B"/>
    <w:rsid w:val="00E83C1E"/>
    <w:rsid w:val="00E83C2D"/>
    <w:rsid w:val="00E83C7F"/>
    <w:rsid w:val="00E83CCB"/>
    <w:rsid w:val="00E83CD1"/>
    <w:rsid w:val="00E83D52"/>
    <w:rsid w:val="00E83DE4"/>
    <w:rsid w:val="00E83E22"/>
    <w:rsid w:val="00E83EAB"/>
    <w:rsid w:val="00E83EB4"/>
    <w:rsid w:val="00E83EC2"/>
    <w:rsid w:val="00E83EC8"/>
    <w:rsid w:val="00E83F4E"/>
    <w:rsid w:val="00E83F7B"/>
    <w:rsid w:val="00E840AF"/>
    <w:rsid w:val="00E840FD"/>
    <w:rsid w:val="00E84136"/>
    <w:rsid w:val="00E841D6"/>
    <w:rsid w:val="00E841EF"/>
    <w:rsid w:val="00E84201"/>
    <w:rsid w:val="00E842A1"/>
    <w:rsid w:val="00E84375"/>
    <w:rsid w:val="00E843B3"/>
    <w:rsid w:val="00E843D8"/>
    <w:rsid w:val="00E84406"/>
    <w:rsid w:val="00E8448D"/>
    <w:rsid w:val="00E844F3"/>
    <w:rsid w:val="00E8453F"/>
    <w:rsid w:val="00E845C6"/>
    <w:rsid w:val="00E84610"/>
    <w:rsid w:val="00E84626"/>
    <w:rsid w:val="00E84633"/>
    <w:rsid w:val="00E846D2"/>
    <w:rsid w:val="00E8472E"/>
    <w:rsid w:val="00E84796"/>
    <w:rsid w:val="00E847BC"/>
    <w:rsid w:val="00E847D2"/>
    <w:rsid w:val="00E847FF"/>
    <w:rsid w:val="00E8481E"/>
    <w:rsid w:val="00E8484A"/>
    <w:rsid w:val="00E848CD"/>
    <w:rsid w:val="00E8491D"/>
    <w:rsid w:val="00E84958"/>
    <w:rsid w:val="00E84A05"/>
    <w:rsid w:val="00E84AD6"/>
    <w:rsid w:val="00E84B54"/>
    <w:rsid w:val="00E84B79"/>
    <w:rsid w:val="00E84BC6"/>
    <w:rsid w:val="00E84C7A"/>
    <w:rsid w:val="00E84D62"/>
    <w:rsid w:val="00E84F79"/>
    <w:rsid w:val="00E85024"/>
    <w:rsid w:val="00E85044"/>
    <w:rsid w:val="00E85061"/>
    <w:rsid w:val="00E85085"/>
    <w:rsid w:val="00E85108"/>
    <w:rsid w:val="00E851AB"/>
    <w:rsid w:val="00E851CC"/>
    <w:rsid w:val="00E8523F"/>
    <w:rsid w:val="00E852B7"/>
    <w:rsid w:val="00E85361"/>
    <w:rsid w:val="00E8536F"/>
    <w:rsid w:val="00E853FE"/>
    <w:rsid w:val="00E8568E"/>
    <w:rsid w:val="00E857EA"/>
    <w:rsid w:val="00E85820"/>
    <w:rsid w:val="00E8583C"/>
    <w:rsid w:val="00E85878"/>
    <w:rsid w:val="00E85910"/>
    <w:rsid w:val="00E8591A"/>
    <w:rsid w:val="00E85930"/>
    <w:rsid w:val="00E8595E"/>
    <w:rsid w:val="00E859C0"/>
    <w:rsid w:val="00E85A3C"/>
    <w:rsid w:val="00E85AD6"/>
    <w:rsid w:val="00E85AE8"/>
    <w:rsid w:val="00E85AF2"/>
    <w:rsid w:val="00E85AFB"/>
    <w:rsid w:val="00E85BAF"/>
    <w:rsid w:val="00E85C03"/>
    <w:rsid w:val="00E85C2F"/>
    <w:rsid w:val="00E85C8C"/>
    <w:rsid w:val="00E85C98"/>
    <w:rsid w:val="00E85F23"/>
    <w:rsid w:val="00E85F63"/>
    <w:rsid w:val="00E85FFD"/>
    <w:rsid w:val="00E8616B"/>
    <w:rsid w:val="00E861D0"/>
    <w:rsid w:val="00E86211"/>
    <w:rsid w:val="00E86246"/>
    <w:rsid w:val="00E86370"/>
    <w:rsid w:val="00E863A5"/>
    <w:rsid w:val="00E863A9"/>
    <w:rsid w:val="00E8649B"/>
    <w:rsid w:val="00E8651E"/>
    <w:rsid w:val="00E866E2"/>
    <w:rsid w:val="00E86718"/>
    <w:rsid w:val="00E8671E"/>
    <w:rsid w:val="00E8674E"/>
    <w:rsid w:val="00E8678F"/>
    <w:rsid w:val="00E867C7"/>
    <w:rsid w:val="00E8697E"/>
    <w:rsid w:val="00E869E5"/>
    <w:rsid w:val="00E86A07"/>
    <w:rsid w:val="00E86C45"/>
    <w:rsid w:val="00E86D53"/>
    <w:rsid w:val="00E86E06"/>
    <w:rsid w:val="00E8706E"/>
    <w:rsid w:val="00E870BC"/>
    <w:rsid w:val="00E87105"/>
    <w:rsid w:val="00E87127"/>
    <w:rsid w:val="00E8713C"/>
    <w:rsid w:val="00E8714F"/>
    <w:rsid w:val="00E87201"/>
    <w:rsid w:val="00E8721B"/>
    <w:rsid w:val="00E87244"/>
    <w:rsid w:val="00E872A4"/>
    <w:rsid w:val="00E873BE"/>
    <w:rsid w:val="00E8740C"/>
    <w:rsid w:val="00E8745F"/>
    <w:rsid w:val="00E87518"/>
    <w:rsid w:val="00E875A7"/>
    <w:rsid w:val="00E875B9"/>
    <w:rsid w:val="00E876C5"/>
    <w:rsid w:val="00E87836"/>
    <w:rsid w:val="00E878CF"/>
    <w:rsid w:val="00E878F5"/>
    <w:rsid w:val="00E87900"/>
    <w:rsid w:val="00E87906"/>
    <w:rsid w:val="00E87A1C"/>
    <w:rsid w:val="00E87A1D"/>
    <w:rsid w:val="00E87A3F"/>
    <w:rsid w:val="00E87A5A"/>
    <w:rsid w:val="00E87B37"/>
    <w:rsid w:val="00E87B64"/>
    <w:rsid w:val="00E87B65"/>
    <w:rsid w:val="00E87BCE"/>
    <w:rsid w:val="00E87C00"/>
    <w:rsid w:val="00E87C7A"/>
    <w:rsid w:val="00E87D61"/>
    <w:rsid w:val="00E87D80"/>
    <w:rsid w:val="00E87DD7"/>
    <w:rsid w:val="00E87E25"/>
    <w:rsid w:val="00E87E9C"/>
    <w:rsid w:val="00E87F75"/>
    <w:rsid w:val="00E87F85"/>
    <w:rsid w:val="00E87FA3"/>
    <w:rsid w:val="00E87FBE"/>
    <w:rsid w:val="00E87FDA"/>
    <w:rsid w:val="00E87FE2"/>
    <w:rsid w:val="00E90021"/>
    <w:rsid w:val="00E90027"/>
    <w:rsid w:val="00E9004C"/>
    <w:rsid w:val="00E900DE"/>
    <w:rsid w:val="00E90179"/>
    <w:rsid w:val="00E90193"/>
    <w:rsid w:val="00E901D7"/>
    <w:rsid w:val="00E90213"/>
    <w:rsid w:val="00E90350"/>
    <w:rsid w:val="00E90375"/>
    <w:rsid w:val="00E9040D"/>
    <w:rsid w:val="00E90413"/>
    <w:rsid w:val="00E90423"/>
    <w:rsid w:val="00E9046A"/>
    <w:rsid w:val="00E9048D"/>
    <w:rsid w:val="00E90502"/>
    <w:rsid w:val="00E90518"/>
    <w:rsid w:val="00E9059D"/>
    <w:rsid w:val="00E905CA"/>
    <w:rsid w:val="00E905E9"/>
    <w:rsid w:val="00E906BE"/>
    <w:rsid w:val="00E90769"/>
    <w:rsid w:val="00E907EC"/>
    <w:rsid w:val="00E907F4"/>
    <w:rsid w:val="00E908CF"/>
    <w:rsid w:val="00E90AF6"/>
    <w:rsid w:val="00E90BE8"/>
    <w:rsid w:val="00E90C53"/>
    <w:rsid w:val="00E90C66"/>
    <w:rsid w:val="00E90D99"/>
    <w:rsid w:val="00E90DFA"/>
    <w:rsid w:val="00E90EB6"/>
    <w:rsid w:val="00E90FD2"/>
    <w:rsid w:val="00E9102F"/>
    <w:rsid w:val="00E910A2"/>
    <w:rsid w:val="00E910AE"/>
    <w:rsid w:val="00E910F2"/>
    <w:rsid w:val="00E911CD"/>
    <w:rsid w:val="00E9125B"/>
    <w:rsid w:val="00E9133C"/>
    <w:rsid w:val="00E913F9"/>
    <w:rsid w:val="00E914B8"/>
    <w:rsid w:val="00E9153E"/>
    <w:rsid w:val="00E9156A"/>
    <w:rsid w:val="00E9156E"/>
    <w:rsid w:val="00E9157E"/>
    <w:rsid w:val="00E9172D"/>
    <w:rsid w:val="00E918D7"/>
    <w:rsid w:val="00E91919"/>
    <w:rsid w:val="00E91994"/>
    <w:rsid w:val="00E91BB6"/>
    <w:rsid w:val="00E91CD5"/>
    <w:rsid w:val="00E91D0A"/>
    <w:rsid w:val="00E91D98"/>
    <w:rsid w:val="00E91DB0"/>
    <w:rsid w:val="00E91DB7"/>
    <w:rsid w:val="00E91E7E"/>
    <w:rsid w:val="00E91F0F"/>
    <w:rsid w:val="00E91F6A"/>
    <w:rsid w:val="00E92069"/>
    <w:rsid w:val="00E9207C"/>
    <w:rsid w:val="00E9207D"/>
    <w:rsid w:val="00E92080"/>
    <w:rsid w:val="00E92090"/>
    <w:rsid w:val="00E92126"/>
    <w:rsid w:val="00E92137"/>
    <w:rsid w:val="00E921F8"/>
    <w:rsid w:val="00E92268"/>
    <w:rsid w:val="00E92338"/>
    <w:rsid w:val="00E923AE"/>
    <w:rsid w:val="00E924D3"/>
    <w:rsid w:val="00E924DB"/>
    <w:rsid w:val="00E925EA"/>
    <w:rsid w:val="00E9263F"/>
    <w:rsid w:val="00E926BD"/>
    <w:rsid w:val="00E92748"/>
    <w:rsid w:val="00E92786"/>
    <w:rsid w:val="00E927BF"/>
    <w:rsid w:val="00E927E0"/>
    <w:rsid w:val="00E927F5"/>
    <w:rsid w:val="00E928DA"/>
    <w:rsid w:val="00E92974"/>
    <w:rsid w:val="00E92975"/>
    <w:rsid w:val="00E929C6"/>
    <w:rsid w:val="00E929EF"/>
    <w:rsid w:val="00E92AC7"/>
    <w:rsid w:val="00E92AFD"/>
    <w:rsid w:val="00E92B72"/>
    <w:rsid w:val="00E92BC5"/>
    <w:rsid w:val="00E92C94"/>
    <w:rsid w:val="00E92CC1"/>
    <w:rsid w:val="00E92D60"/>
    <w:rsid w:val="00E92DD5"/>
    <w:rsid w:val="00E92E4D"/>
    <w:rsid w:val="00E92E67"/>
    <w:rsid w:val="00E92F3B"/>
    <w:rsid w:val="00E92F4D"/>
    <w:rsid w:val="00E92FE1"/>
    <w:rsid w:val="00E92FF9"/>
    <w:rsid w:val="00E93063"/>
    <w:rsid w:val="00E9306D"/>
    <w:rsid w:val="00E93112"/>
    <w:rsid w:val="00E93151"/>
    <w:rsid w:val="00E9320B"/>
    <w:rsid w:val="00E9330C"/>
    <w:rsid w:val="00E933E3"/>
    <w:rsid w:val="00E9341C"/>
    <w:rsid w:val="00E934CA"/>
    <w:rsid w:val="00E93507"/>
    <w:rsid w:val="00E9351D"/>
    <w:rsid w:val="00E93525"/>
    <w:rsid w:val="00E9358F"/>
    <w:rsid w:val="00E935D2"/>
    <w:rsid w:val="00E9368F"/>
    <w:rsid w:val="00E936D8"/>
    <w:rsid w:val="00E93700"/>
    <w:rsid w:val="00E93724"/>
    <w:rsid w:val="00E93726"/>
    <w:rsid w:val="00E9374E"/>
    <w:rsid w:val="00E93794"/>
    <w:rsid w:val="00E93895"/>
    <w:rsid w:val="00E93977"/>
    <w:rsid w:val="00E93A41"/>
    <w:rsid w:val="00E93A4D"/>
    <w:rsid w:val="00E93BB7"/>
    <w:rsid w:val="00E93BE4"/>
    <w:rsid w:val="00E93C1A"/>
    <w:rsid w:val="00E93C31"/>
    <w:rsid w:val="00E93C4F"/>
    <w:rsid w:val="00E93D7D"/>
    <w:rsid w:val="00E93DAF"/>
    <w:rsid w:val="00E93E28"/>
    <w:rsid w:val="00E93E75"/>
    <w:rsid w:val="00E93EE0"/>
    <w:rsid w:val="00E93F6B"/>
    <w:rsid w:val="00E940AF"/>
    <w:rsid w:val="00E940C7"/>
    <w:rsid w:val="00E9418B"/>
    <w:rsid w:val="00E941AE"/>
    <w:rsid w:val="00E941C1"/>
    <w:rsid w:val="00E94207"/>
    <w:rsid w:val="00E94234"/>
    <w:rsid w:val="00E94299"/>
    <w:rsid w:val="00E94305"/>
    <w:rsid w:val="00E943D9"/>
    <w:rsid w:val="00E9446E"/>
    <w:rsid w:val="00E944D9"/>
    <w:rsid w:val="00E944F4"/>
    <w:rsid w:val="00E94619"/>
    <w:rsid w:val="00E94656"/>
    <w:rsid w:val="00E94660"/>
    <w:rsid w:val="00E94680"/>
    <w:rsid w:val="00E946C0"/>
    <w:rsid w:val="00E9470D"/>
    <w:rsid w:val="00E947B7"/>
    <w:rsid w:val="00E94812"/>
    <w:rsid w:val="00E9484A"/>
    <w:rsid w:val="00E94852"/>
    <w:rsid w:val="00E9488C"/>
    <w:rsid w:val="00E94893"/>
    <w:rsid w:val="00E948AD"/>
    <w:rsid w:val="00E94915"/>
    <w:rsid w:val="00E9493A"/>
    <w:rsid w:val="00E949B6"/>
    <w:rsid w:val="00E949C8"/>
    <w:rsid w:val="00E949E7"/>
    <w:rsid w:val="00E949F6"/>
    <w:rsid w:val="00E94A42"/>
    <w:rsid w:val="00E94AB1"/>
    <w:rsid w:val="00E94B38"/>
    <w:rsid w:val="00E94B5A"/>
    <w:rsid w:val="00E94CC2"/>
    <w:rsid w:val="00E94CEB"/>
    <w:rsid w:val="00E94CEF"/>
    <w:rsid w:val="00E94DF0"/>
    <w:rsid w:val="00E94E46"/>
    <w:rsid w:val="00E94E6C"/>
    <w:rsid w:val="00E94E79"/>
    <w:rsid w:val="00E94F63"/>
    <w:rsid w:val="00E94F64"/>
    <w:rsid w:val="00E94F72"/>
    <w:rsid w:val="00E94FF0"/>
    <w:rsid w:val="00E950A8"/>
    <w:rsid w:val="00E950DF"/>
    <w:rsid w:val="00E950FB"/>
    <w:rsid w:val="00E95203"/>
    <w:rsid w:val="00E95242"/>
    <w:rsid w:val="00E95254"/>
    <w:rsid w:val="00E95282"/>
    <w:rsid w:val="00E95284"/>
    <w:rsid w:val="00E9538A"/>
    <w:rsid w:val="00E953CE"/>
    <w:rsid w:val="00E954DE"/>
    <w:rsid w:val="00E95515"/>
    <w:rsid w:val="00E955C6"/>
    <w:rsid w:val="00E955C9"/>
    <w:rsid w:val="00E95668"/>
    <w:rsid w:val="00E9567C"/>
    <w:rsid w:val="00E95715"/>
    <w:rsid w:val="00E95761"/>
    <w:rsid w:val="00E957B4"/>
    <w:rsid w:val="00E957BB"/>
    <w:rsid w:val="00E957F8"/>
    <w:rsid w:val="00E95802"/>
    <w:rsid w:val="00E9586D"/>
    <w:rsid w:val="00E958F9"/>
    <w:rsid w:val="00E9591F"/>
    <w:rsid w:val="00E95A4B"/>
    <w:rsid w:val="00E95A79"/>
    <w:rsid w:val="00E95B44"/>
    <w:rsid w:val="00E95B58"/>
    <w:rsid w:val="00E95B7D"/>
    <w:rsid w:val="00E95B8C"/>
    <w:rsid w:val="00E95E20"/>
    <w:rsid w:val="00E95E55"/>
    <w:rsid w:val="00E95E60"/>
    <w:rsid w:val="00E95E71"/>
    <w:rsid w:val="00E95F00"/>
    <w:rsid w:val="00E95F47"/>
    <w:rsid w:val="00E95F63"/>
    <w:rsid w:val="00E95F94"/>
    <w:rsid w:val="00E96021"/>
    <w:rsid w:val="00E9608B"/>
    <w:rsid w:val="00E960AB"/>
    <w:rsid w:val="00E96254"/>
    <w:rsid w:val="00E96259"/>
    <w:rsid w:val="00E962FB"/>
    <w:rsid w:val="00E9635E"/>
    <w:rsid w:val="00E965B1"/>
    <w:rsid w:val="00E965F9"/>
    <w:rsid w:val="00E965FA"/>
    <w:rsid w:val="00E9662C"/>
    <w:rsid w:val="00E96695"/>
    <w:rsid w:val="00E966DB"/>
    <w:rsid w:val="00E96712"/>
    <w:rsid w:val="00E96722"/>
    <w:rsid w:val="00E967A0"/>
    <w:rsid w:val="00E96808"/>
    <w:rsid w:val="00E968CA"/>
    <w:rsid w:val="00E968D9"/>
    <w:rsid w:val="00E9695D"/>
    <w:rsid w:val="00E96991"/>
    <w:rsid w:val="00E96A3D"/>
    <w:rsid w:val="00E96A6F"/>
    <w:rsid w:val="00E96AE4"/>
    <w:rsid w:val="00E96B0D"/>
    <w:rsid w:val="00E96B90"/>
    <w:rsid w:val="00E96B92"/>
    <w:rsid w:val="00E96BB2"/>
    <w:rsid w:val="00E96BE2"/>
    <w:rsid w:val="00E96C1C"/>
    <w:rsid w:val="00E96C64"/>
    <w:rsid w:val="00E96C79"/>
    <w:rsid w:val="00E96D3D"/>
    <w:rsid w:val="00E96D5A"/>
    <w:rsid w:val="00E96DEF"/>
    <w:rsid w:val="00E96E25"/>
    <w:rsid w:val="00E96E6E"/>
    <w:rsid w:val="00E96EFD"/>
    <w:rsid w:val="00E96F20"/>
    <w:rsid w:val="00E97015"/>
    <w:rsid w:val="00E97021"/>
    <w:rsid w:val="00E970D6"/>
    <w:rsid w:val="00E97150"/>
    <w:rsid w:val="00E97154"/>
    <w:rsid w:val="00E97169"/>
    <w:rsid w:val="00E971BE"/>
    <w:rsid w:val="00E971DB"/>
    <w:rsid w:val="00E97217"/>
    <w:rsid w:val="00E97226"/>
    <w:rsid w:val="00E97479"/>
    <w:rsid w:val="00E974A0"/>
    <w:rsid w:val="00E97539"/>
    <w:rsid w:val="00E97735"/>
    <w:rsid w:val="00E97853"/>
    <w:rsid w:val="00E9789C"/>
    <w:rsid w:val="00E97919"/>
    <w:rsid w:val="00E9791B"/>
    <w:rsid w:val="00E97979"/>
    <w:rsid w:val="00E979EF"/>
    <w:rsid w:val="00E97A15"/>
    <w:rsid w:val="00E97A1F"/>
    <w:rsid w:val="00E97A21"/>
    <w:rsid w:val="00E97A6F"/>
    <w:rsid w:val="00E97B39"/>
    <w:rsid w:val="00E97B91"/>
    <w:rsid w:val="00E97BB3"/>
    <w:rsid w:val="00E97BD8"/>
    <w:rsid w:val="00E97C79"/>
    <w:rsid w:val="00E97D08"/>
    <w:rsid w:val="00E97DC7"/>
    <w:rsid w:val="00E97E9E"/>
    <w:rsid w:val="00E97F37"/>
    <w:rsid w:val="00EA000D"/>
    <w:rsid w:val="00EA0076"/>
    <w:rsid w:val="00EA00BA"/>
    <w:rsid w:val="00EA00EA"/>
    <w:rsid w:val="00EA02AC"/>
    <w:rsid w:val="00EA02D5"/>
    <w:rsid w:val="00EA0415"/>
    <w:rsid w:val="00EA0427"/>
    <w:rsid w:val="00EA0429"/>
    <w:rsid w:val="00EA042B"/>
    <w:rsid w:val="00EA0445"/>
    <w:rsid w:val="00EA0446"/>
    <w:rsid w:val="00EA0447"/>
    <w:rsid w:val="00EA04E5"/>
    <w:rsid w:val="00EA054D"/>
    <w:rsid w:val="00EA05FE"/>
    <w:rsid w:val="00EA06C1"/>
    <w:rsid w:val="00EA06E6"/>
    <w:rsid w:val="00EA0718"/>
    <w:rsid w:val="00EA0789"/>
    <w:rsid w:val="00EA0794"/>
    <w:rsid w:val="00EA07E8"/>
    <w:rsid w:val="00EA0825"/>
    <w:rsid w:val="00EA086B"/>
    <w:rsid w:val="00EA087D"/>
    <w:rsid w:val="00EA0908"/>
    <w:rsid w:val="00EA093F"/>
    <w:rsid w:val="00EA0943"/>
    <w:rsid w:val="00EA098F"/>
    <w:rsid w:val="00EA0ACB"/>
    <w:rsid w:val="00EA0AD1"/>
    <w:rsid w:val="00EA0B72"/>
    <w:rsid w:val="00EA0BA5"/>
    <w:rsid w:val="00EA0BFB"/>
    <w:rsid w:val="00EA0C25"/>
    <w:rsid w:val="00EA0D7D"/>
    <w:rsid w:val="00EA0D88"/>
    <w:rsid w:val="00EA0E30"/>
    <w:rsid w:val="00EA0E4B"/>
    <w:rsid w:val="00EA0E5F"/>
    <w:rsid w:val="00EA0EF5"/>
    <w:rsid w:val="00EA0F09"/>
    <w:rsid w:val="00EA0F91"/>
    <w:rsid w:val="00EA0FB2"/>
    <w:rsid w:val="00EA0FD6"/>
    <w:rsid w:val="00EA101E"/>
    <w:rsid w:val="00EA1096"/>
    <w:rsid w:val="00EA10D8"/>
    <w:rsid w:val="00EA1139"/>
    <w:rsid w:val="00EA1167"/>
    <w:rsid w:val="00EA1178"/>
    <w:rsid w:val="00EA1206"/>
    <w:rsid w:val="00EA1234"/>
    <w:rsid w:val="00EA1378"/>
    <w:rsid w:val="00EA13EE"/>
    <w:rsid w:val="00EA1434"/>
    <w:rsid w:val="00EA1444"/>
    <w:rsid w:val="00EA1449"/>
    <w:rsid w:val="00EA14D2"/>
    <w:rsid w:val="00EA1567"/>
    <w:rsid w:val="00EA1590"/>
    <w:rsid w:val="00EA15F5"/>
    <w:rsid w:val="00EA16E1"/>
    <w:rsid w:val="00EA1756"/>
    <w:rsid w:val="00EA1819"/>
    <w:rsid w:val="00EA1823"/>
    <w:rsid w:val="00EA187B"/>
    <w:rsid w:val="00EA19A5"/>
    <w:rsid w:val="00EA1A4C"/>
    <w:rsid w:val="00EA1AA6"/>
    <w:rsid w:val="00EA1AB7"/>
    <w:rsid w:val="00EA1B29"/>
    <w:rsid w:val="00EA1B3E"/>
    <w:rsid w:val="00EA1B5F"/>
    <w:rsid w:val="00EA1B6B"/>
    <w:rsid w:val="00EA1BAC"/>
    <w:rsid w:val="00EA1BC0"/>
    <w:rsid w:val="00EA1BE5"/>
    <w:rsid w:val="00EA1C0B"/>
    <w:rsid w:val="00EA1C1D"/>
    <w:rsid w:val="00EA1CDE"/>
    <w:rsid w:val="00EA1D25"/>
    <w:rsid w:val="00EA1D82"/>
    <w:rsid w:val="00EA1DF5"/>
    <w:rsid w:val="00EA1E01"/>
    <w:rsid w:val="00EA1E0F"/>
    <w:rsid w:val="00EA1E26"/>
    <w:rsid w:val="00EA1EE6"/>
    <w:rsid w:val="00EA1EF6"/>
    <w:rsid w:val="00EA1F33"/>
    <w:rsid w:val="00EA1F73"/>
    <w:rsid w:val="00EA1F79"/>
    <w:rsid w:val="00EA2071"/>
    <w:rsid w:val="00EA20A3"/>
    <w:rsid w:val="00EA2108"/>
    <w:rsid w:val="00EA21DF"/>
    <w:rsid w:val="00EA21F1"/>
    <w:rsid w:val="00EA2213"/>
    <w:rsid w:val="00EA22E6"/>
    <w:rsid w:val="00EA2414"/>
    <w:rsid w:val="00EA2456"/>
    <w:rsid w:val="00EA2477"/>
    <w:rsid w:val="00EA2493"/>
    <w:rsid w:val="00EA2565"/>
    <w:rsid w:val="00EA2592"/>
    <w:rsid w:val="00EA25EC"/>
    <w:rsid w:val="00EA2616"/>
    <w:rsid w:val="00EA2695"/>
    <w:rsid w:val="00EA2701"/>
    <w:rsid w:val="00EA2788"/>
    <w:rsid w:val="00EA27A5"/>
    <w:rsid w:val="00EA27B8"/>
    <w:rsid w:val="00EA2806"/>
    <w:rsid w:val="00EA28D7"/>
    <w:rsid w:val="00EA294F"/>
    <w:rsid w:val="00EA2A11"/>
    <w:rsid w:val="00EA2A26"/>
    <w:rsid w:val="00EA2A4D"/>
    <w:rsid w:val="00EA2AB3"/>
    <w:rsid w:val="00EA2AD9"/>
    <w:rsid w:val="00EA2B85"/>
    <w:rsid w:val="00EA2BE8"/>
    <w:rsid w:val="00EA2C43"/>
    <w:rsid w:val="00EA2C49"/>
    <w:rsid w:val="00EA2C76"/>
    <w:rsid w:val="00EA2D1E"/>
    <w:rsid w:val="00EA2DF6"/>
    <w:rsid w:val="00EA2E59"/>
    <w:rsid w:val="00EA2ECB"/>
    <w:rsid w:val="00EA2F58"/>
    <w:rsid w:val="00EA2FBA"/>
    <w:rsid w:val="00EA3028"/>
    <w:rsid w:val="00EA3065"/>
    <w:rsid w:val="00EA3072"/>
    <w:rsid w:val="00EA3101"/>
    <w:rsid w:val="00EA320A"/>
    <w:rsid w:val="00EA321E"/>
    <w:rsid w:val="00EA32D8"/>
    <w:rsid w:val="00EA32E1"/>
    <w:rsid w:val="00EA334A"/>
    <w:rsid w:val="00EA3385"/>
    <w:rsid w:val="00EA33EB"/>
    <w:rsid w:val="00EA3519"/>
    <w:rsid w:val="00EA3586"/>
    <w:rsid w:val="00EA375E"/>
    <w:rsid w:val="00EA3865"/>
    <w:rsid w:val="00EA3884"/>
    <w:rsid w:val="00EA391B"/>
    <w:rsid w:val="00EA3995"/>
    <w:rsid w:val="00EA3A1F"/>
    <w:rsid w:val="00EA3A84"/>
    <w:rsid w:val="00EA3A96"/>
    <w:rsid w:val="00EA3B2D"/>
    <w:rsid w:val="00EA3B42"/>
    <w:rsid w:val="00EA3B4A"/>
    <w:rsid w:val="00EA3BF5"/>
    <w:rsid w:val="00EA3C1B"/>
    <w:rsid w:val="00EA3C72"/>
    <w:rsid w:val="00EA3CA0"/>
    <w:rsid w:val="00EA3DB0"/>
    <w:rsid w:val="00EA3DB8"/>
    <w:rsid w:val="00EA3EAB"/>
    <w:rsid w:val="00EA3FAA"/>
    <w:rsid w:val="00EA3FC9"/>
    <w:rsid w:val="00EA4002"/>
    <w:rsid w:val="00EA400B"/>
    <w:rsid w:val="00EA4050"/>
    <w:rsid w:val="00EA4097"/>
    <w:rsid w:val="00EA4119"/>
    <w:rsid w:val="00EA41EE"/>
    <w:rsid w:val="00EA41FF"/>
    <w:rsid w:val="00EA435A"/>
    <w:rsid w:val="00EA43B7"/>
    <w:rsid w:val="00EA4525"/>
    <w:rsid w:val="00EA454D"/>
    <w:rsid w:val="00EA45F9"/>
    <w:rsid w:val="00EA46EC"/>
    <w:rsid w:val="00EA4795"/>
    <w:rsid w:val="00EA4846"/>
    <w:rsid w:val="00EA4863"/>
    <w:rsid w:val="00EA48E0"/>
    <w:rsid w:val="00EA495E"/>
    <w:rsid w:val="00EA49E3"/>
    <w:rsid w:val="00EA4A9E"/>
    <w:rsid w:val="00EA4ACD"/>
    <w:rsid w:val="00EA4ACF"/>
    <w:rsid w:val="00EA4B01"/>
    <w:rsid w:val="00EA4C52"/>
    <w:rsid w:val="00EA4D3A"/>
    <w:rsid w:val="00EA4D4D"/>
    <w:rsid w:val="00EA4EA4"/>
    <w:rsid w:val="00EA4FFB"/>
    <w:rsid w:val="00EA5046"/>
    <w:rsid w:val="00EA50F4"/>
    <w:rsid w:val="00EA5116"/>
    <w:rsid w:val="00EA526A"/>
    <w:rsid w:val="00EA52D7"/>
    <w:rsid w:val="00EA52FF"/>
    <w:rsid w:val="00EA5352"/>
    <w:rsid w:val="00EA537C"/>
    <w:rsid w:val="00EA545B"/>
    <w:rsid w:val="00EA547C"/>
    <w:rsid w:val="00EA54CE"/>
    <w:rsid w:val="00EA54EA"/>
    <w:rsid w:val="00EA5500"/>
    <w:rsid w:val="00EA556A"/>
    <w:rsid w:val="00EA556D"/>
    <w:rsid w:val="00EA560B"/>
    <w:rsid w:val="00EA56AE"/>
    <w:rsid w:val="00EA575A"/>
    <w:rsid w:val="00EA57CB"/>
    <w:rsid w:val="00EA5807"/>
    <w:rsid w:val="00EA5859"/>
    <w:rsid w:val="00EA5863"/>
    <w:rsid w:val="00EA5882"/>
    <w:rsid w:val="00EA5928"/>
    <w:rsid w:val="00EA5995"/>
    <w:rsid w:val="00EA59E9"/>
    <w:rsid w:val="00EA5A15"/>
    <w:rsid w:val="00EA5B89"/>
    <w:rsid w:val="00EA5BFB"/>
    <w:rsid w:val="00EA5BFD"/>
    <w:rsid w:val="00EA5C90"/>
    <w:rsid w:val="00EA5D81"/>
    <w:rsid w:val="00EA5D8F"/>
    <w:rsid w:val="00EA5DF3"/>
    <w:rsid w:val="00EA5E4E"/>
    <w:rsid w:val="00EA5E5A"/>
    <w:rsid w:val="00EA5EA7"/>
    <w:rsid w:val="00EA5ED6"/>
    <w:rsid w:val="00EA5F3B"/>
    <w:rsid w:val="00EA5FC5"/>
    <w:rsid w:val="00EA5FCF"/>
    <w:rsid w:val="00EA600C"/>
    <w:rsid w:val="00EA60AF"/>
    <w:rsid w:val="00EA6129"/>
    <w:rsid w:val="00EA61B2"/>
    <w:rsid w:val="00EA625A"/>
    <w:rsid w:val="00EA629C"/>
    <w:rsid w:val="00EA62C0"/>
    <w:rsid w:val="00EA633E"/>
    <w:rsid w:val="00EA63BD"/>
    <w:rsid w:val="00EA6405"/>
    <w:rsid w:val="00EA6426"/>
    <w:rsid w:val="00EA645A"/>
    <w:rsid w:val="00EA6480"/>
    <w:rsid w:val="00EA64A2"/>
    <w:rsid w:val="00EA656F"/>
    <w:rsid w:val="00EA65F8"/>
    <w:rsid w:val="00EA6651"/>
    <w:rsid w:val="00EA668A"/>
    <w:rsid w:val="00EA6800"/>
    <w:rsid w:val="00EA681A"/>
    <w:rsid w:val="00EA696E"/>
    <w:rsid w:val="00EA69FA"/>
    <w:rsid w:val="00EA6A1B"/>
    <w:rsid w:val="00EA6C07"/>
    <w:rsid w:val="00EA6C0A"/>
    <w:rsid w:val="00EA6C1F"/>
    <w:rsid w:val="00EA6C6F"/>
    <w:rsid w:val="00EA6D44"/>
    <w:rsid w:val="00EA6E21"/>
    <w:rsid w:val="00EA6E4E"/>
    <w:rsid w:val="00EA6E7A"/>
    <w:rsid w:val="00EA7078"/>
    <w:rsid w:val="00EA70F1"/>
    <w:rsid w:val="00EA7104"/>
    <w:rsid w:val="00EA7118"/>
    <w:rsid w:val="00EA7301"/>
    <w:rsid w:val="00EA734F"/>
    <w:rsid w:val="00EA73C0"/>
    <w:rsid w:val="00EA73E5"/>
    <w:rsid w:val="00EA7506"/>
    <w:rsid w:val="00EA75FD"/>
    <w:rsid w:val="00EA75FE"/>
    <w:rsid w:val="00EA762E"/>
    <w:rsid w:val="00EA76F3"/>
    <w:rsid w:val="00EA7715"/>
    <w:rsid w:val="00EA771D"/>
    <w:rsid w:val="00EA775F"/>
    <w:rsid w:val="00EA781E"/>
    <w:rsid w:val="00EA7838"/>
    <w:rsid w:val="00EA78BB"/>
    <w:rsid w:val="00EA78C7"/>
    <w:rsid w:val="00EA78EB"/>
    <w:rsid w:val="00EA791C"/>
    <w:rsid w:val="00EA7A69"/>
    <w:rsid w:val="00EA7AC6"/>
    <w:rsid w:val="00EA7D3B"/>
    <w:rsid w:val="00EA7D9C"/>
    <w:rsid w:val="00EA7DAE"/>
    <w:rsid w:val="00EA7E55"/>
    <w:rsid w:val="00EA7E8A"/>
    <w:rsid w:val="00EA7EE7"/>
    <w:rsid w:val="00EB0096"/>
    <w:rsid w:val="00EB00A9"/>
    <w:rsid w:val="00EB0175"/>
    <w:rsid w:val="00EB02E8"/>
    <w:rsid w:val="00EB0327"/>
    <w:rsid w:val="00EB0362"/>
    <w:rsid w:val="00EB03C3"/>
    <w:rsid w:val="00EB04EA"/>
    <w:rsid w:val="00EB0508"/>
    <w:rsid w:val="00EB051D"/>
    <w:rsid w:val="00EB0721"/>
    <w:rsid w:val="00EB083B"/>
    <w:rsid w:val="00EB0853"/>
    <w:rsid w:val="00EB086A"/>
    <w:rsid w:val="00EB08B5"/>
    <w:rsid w:val="00EB08F0"/>
    <w:rsid w:val="00EB0918"/>
    <w:rsid w:val="00EB095F"/>
    <w:rsid w:val="00EB0AEA"/>
    <w:rsid w:val="00EB0B22"/>
    <w:rsid w:val="00EB0B82"/>
    <w:rsid w:val="00EB0BE6"/>
    <w:rsid w:val="00EB0C6A"/>
    <w:rsid w:val="00EB0D59"/>
    <w:rsid w:val="00EB0E7D"/>
    <w:rsid w:val="00EB0EDD"/>
    <w:rsid w:val="00EB0EEF"/>
    <w:rsid w:val="00EB0F6C"/>
    <w:rsid w:val="00EB0F82"/>
    <w:rsid w:val="00EB0FAE"/>
    <w:rsid w:val="00EB0FB7"/>
    <w:rsid w:val="00EB0FE7"/>
    <w:rsid w:val="00EB1039"/>
    <w:rsid w:val="00EB10E0"/>
    <w:rsid w:val="00EB1154"/>
    <w:rsid w:val="00EB1187"/>
    <w:rsid w:val="00EB122D"/>
    <w:rsid w:val="00EB123F"/>
    <w:rsid w:val="00EB13F5"/>
    <w:rsid w:val="00EB1461"/>
    <w:rsid w:val="00EB14AA"/>
    <w:rsid w:val="00EB15A9"/>
    <w:rsid w:val="00EB1644"/>
    <w:rsid w:val="00EB1781"/>
    <w:rsid w:val="00EB1887"/>
    <w:rsid w:val="00EB1A36"/>
    <w:rsid w:val="00EB1AEA"/>
    <w:rsid w:val="00EB1B36"/>
    <w:rsid w:val="00EB1BCA"/>
    <w:rsid w:val="00EB1D0C"/>
    <w:rsid w:val="00EB1DFC"/>
    <w:rsid w:val="00EB1E5B"/>
    <w:rsid w:val="00EB1EE5"/>
    <w:rsid w:val="00EB1F53"/>
    <w:rsid w:val="00EB1F7D"/>
    <w:rsid w:val="00EB200C"/>
    <w:rsid w:val="00EB2014"/>
    <w:rsid w:val="00EB2112"/>
    <w:rsid w:val="00EB2152"/>
    <w:rsid w:val="00EB21ED"/>
    <w:rsid w:val="00EB2279"/>
    <w:rsid w:val="00EB22E8"/>
    <w:rsid w:val="00EB248B"/>
    <w:rsid w:val="00EB2588"/>
    <w:rsid w:val="00EB25EC"/>
    <w:rsid w:val="00EB2628"/>
    <w:rsid w:val="00EB2630"/>
    <w:rsid w:val="00EB2646"/>
    <w:rsid w:val="00EB265C"/>
    <w:rsid w:val="00EB27CE"/>
    <w:rsid w:val="00EB2850"/>
    <w:rsid w:val="00EB28EA"/>
    <w:rsid w:val="00EB2979"/>
    <w:rsid w:val="00EB2BC0"/>
    <w:rsid w:val="00EB2CE3"/>
    <w:rsid w:val="00EB2CEC"/>
    <w:rsid w:val="00EB2D2A"/>
    <w:rsid w:val="00EB2DAB"/>
    <w:rsid w:val="00EB2E73"/>
    <w:rsid w:val="00EB2F29"/>
    <w:rsid w:val="00EB2F5C"/>
    <w:rsid w:val="00EB300F"/>
    <w:rsid w:val="00EB3140"/>
    <w:rsid w:val="00EB31E5"/>
    <w:rsid w:val="00EB3235"/>
    <w:rsid w:val="00EB3265"/>
    <w:rsid w:val="00EB32C2"/>
    <w:rsid w:val="00EB3359"/>
    <w:rsid w:val="00EB34B9"/>
    <w:rsid w:val="00EB34BF"/>
    <w:rsid w:val="00EB34D5"/>
    <w:rsid w:val="00EB3554"/>
    <w:rsid w:val="00EB3567"/>
    <w:rsid w:val="00EB360A"/>
    <w:rsid w:val="00EB364E"/>
    <w:rsid w:val="00EB3817"/>
    <w:rsid w:val="00EB38F7"/>
    <w:rsid w:val="00EB3949"/>
    <w:rsid w:val="00EB398E"/>
    <w:rsid w:val="00EB39D4"/>
    <w:rsid w:val="00EB3AB0"/>
    <w:rsid w:val="00EB3C0C"/>
    <w:rsid w:val="00EB3D66"/>
    <w:rsid w:val="00EB3D91"/>
    <w:rsid w:val="00EB3E85"/>
    <w:rsid w:val="00EB3EEF"/>
    <w:rsid w:val="00EB3F17"/>
    <w:rsid w:val="00EB3F65"/>
    <w:rsid w:val="00EB403C"/>
    <w:rsid w:val="00EB4180"/>
    <w:rsid w:val="00EB42FF"/>
    <w:rsid w:val="00EB4353"/>
    <w:rsid w:val="00EB446A"/>
    <w:rsid w:val="00EB4679"/>
    <w:rsid w:val="00EB4688"/>
    <w:rsid w:val="00EB46A4"/>
    <w:rsid w:val="00EB4894"/>
    <w:rsid w:val="00EB495A"/>
    <w:rsid w:val="00EB4ACD"/>
    <w:rsid w:val="00EB4B35"/>
    <w:rsid w:val="00EB4C1A"/>
    <w:rsid w:val="00EB4CB1"/>
    <w:rsid w:val="00EB4CD8"/>
    <w:rsid w:val="00EB4DBB"/>
    <w:rsid w:val="00EB4DC2"/>
    <w:rsid w:val="00EB4E3A"/>
    <w:rsid w:val="00EB4F7E"/>
    <w:rsid w:val="00EB507E"/>
    <w:rsid w:val="00EB50DF"/>
    <w:rsid w:val="00EB50E5"/>
    <w:rsid w:val="00EB51E7"/>
    <w:rsid w:val="00EB526C"/>
    <w:rsid w:val="00EB52A1"/>
    <w:rsid w:val="00EB5306"/>
    <w:rsid w:val="00EB538B"/>
    <w:rsid w:val="00EB53EB"/>
    <w:rsid w:val="00EB53F6"/>
    <w:rsid w:val="00EB5405"/>
    <w:rsid w:val="00EB5420"/>
    <w:rsid w:val="00EB5445"/>
    <w:rsid w:val="00EB5455"/>
    <w:rsid w:val="00EB5470"/>
    <w:rsid w:val="00EB54C8"/>
    <w:rsid w:val="00EB5561"/>
    <w:rsid w:val="00EB55A8"/>
    <w:rsid w:val="00EB5691"/>
    <w:rsid w:val="00EB57E3"/>
    <w:rsid w:val="00EB584A"/>
    <w:rsid w:val="00EB5901"/>
    <w:rsid w:val="00EB594C"/>
    <w:rsid w:val="00EB599F"/>
    <w:rsid w:val="00EB5A2B"/>
    <w:rsid w:val="00EB5B3D"/>
    <w:rsid w:val="00EB5C56"/>
    <w:rsid w:val="00EB5CA1"/>
    <w:rsid w:val="00EB5CC8"/>
    <w:rsid w:val="00EB5CEE"/>
    <w:rsid w:val="00EB5D61"/>
    <w:rsid w:val="00EB5EC5"/>
    <w:rsid w:val="00EB5F04"/>
    <w:rsid w:val="00EB5F77"/>
    <w:rsid w:val="00EB5F80"/>
    <w:rsid w:val="00EB5FB5"/>
    <w:rsid w:val="00EB6038"/>
    <w:rsid w:val="00EB60AD"/>
    <w:rsid w:val="00EB6126"/>
    <w:rsid w:val="00EB6155"/>
    <w:rsid w:val="00EB61E5"/>
    <w:rsid w:val="00EB6288"/>
    <w:rsid w:val="00EB6463"/>
    <w:rsid w:val="00EB64BB"/>
    <w:rsid w:val="00EB6507"/>
    <w:rsid w:val="00EB652C"/>
    <w:rsid w:val="00EB65D9"/>
    <w:rsid w:val="00EB673A"/>
    <w:rsid w:val="00EB6771"/>
    <w:rsid w:val="00EB6776"/>
    <w:rsid w:val="00EB67F5"/>
    <w:rsid w:val="00EB68EE"/>
    <w:rsid w:val="00EB694C"/>
    <w:rsid w:val="00EB698D"/>
    <w:rsid w:val="00EB6A57"/>
    <w:rsid w:val="00EB6AB4"/>
    <w:rsid w:val="00EB6B3C"/>
    <w:rsid w:val="00EB6B87"/>
    <w:rsid w:val="00EB6B8C"/>
    <w:rsid w:val="00EB6C76"/>
    <w:rsid w:val="00EB6C8D"/>
    <w:rsid w:val="00EB6C96"/>
    <w:rsid w:val="00EB6CAA"/>
    <w:rsid w:val="00EB6D2A"/>
    <w:rsid w:val="00EB6D3F"/>
    <w:rsid w:val="00EB6DE0"/>
    <w:rsid w:val="00EB6E6F"/>
    <w:rsid w:val="00EB6F44"/>
    <w:rsid w:val="00EB6F8B"/>
    <w:rsid w:val="00EB700B"/>
    <w:rsid w:val="00EB70DE"/>
    <w:rsid w:val="00EB70DF"/>
    <w:rsid w:val="00EB717F"/>
    <w:rsid w:val="00EB7230"/>
    <w:rsid w:val="00EB725A"/>
    <w:rsid w:val="00EB72FE"/>
    <w:rsid w:val="00EB734A"/>
    <w:rsid w:val="00EB73F5"/>
    <w:rsid w:val="00EB74E1"/>
    <w:rsid w:val="00EB7513"/>
    <w:rsid w:val="00EB7679"/>
    <w:rsid w:val="00EB76BE"/>
    <w:rsid w:val="00EB76E2"/>
    <w:rsid w:val="00EB7864"/>
    <w:rsid w:val="00EB78B9"/>
    <w:rsid w:val="00EB79A3"/>
    <w:rsid w:val="00EB79B6"/>
    <w:rsid w:val="00EB79D8"/>
    <w:rsid w:val="00EB79DB"/>
    <w:rsid w:val="00EB7A7A"/>
    <w:rsid w:val="00EB7B39"/>
    <w:rsid w:val="00EB7BC3"/>
    <w:rsid w:val="00EB7BDB"/>
    <w:rsid w:val="00EB7BFC"/>
    <w:rsid w:val="00EB7C5E"/>
    <w:rsid w:val="00EB7CD1"/>
    <w:rsid w:val="00EB7DA9"/>
    <w:rsid w:val="00EB7DCF"/>
    <w:rsid w:val="00EB7F0E"/>
    <w:rsid w:val="00EB7F7B"/>
    <w:rsid w:val="00EB7FC1"/>
    <w:rsid w:val="00EB7FC4"/>
    <w:rsid w:val="00EC00B4"/>
    <w:rsid w:val="00EC00E6"/>
    <w:rsid w:val="00EC010C"/>
    <w:rsid w:val="00EC011F"/>
    <w:rsid w:val="00EC025F"/>
    <w:rsid w:val="00EC02AA"/>
    <w:rsid w:val="00EC02C8"/>
    <w:rsid w:val="00EC030E"/>
    <w:rsid w:val="00EC0312"/>
    <w:rsid w:val="00EC0436"/>
    <w:rsid w:val="00EC0470"/>
    <w:rsid w:val="00EC049F"/>
    <w:rsid w:val="00EC04C9"/>
    <w:rsid w:val="00EC0511"/>
    <w:rsid w:val="00EC06D5"/>
    <w:rsid w:val="00EC070A"/>
    <w:rsid w:val="00EC07D4"/>
    <w:rsid w:val="00EC08BC"/>
    <w:rsid w:val="00EC08CE"/>
    <w:rsid w:val="00EC08E5"/>
    <w:rsid w:val="00EC09B0"/>
    <w:rsid w:val="00EC0A21"/>
    <w:rsid w:val="00EC0A55"/>
    <w:rsid w:val="00EC0B93"/>
    <w:rsid w:val="00EC0C0B"/>
    <w:rsid w:val="00EC0C3C"/>
    <w:rsid w:val="00EC0E6B"/>
    <w:rsid w:val="00EC0E96"/>
    <w:rsid w:val="00EC0EB3"/>
    <w:rsid w:val="00EC0EE1"/>
    <w:rsid w:val="00EC0EF9"/>
    <w:rsid w:val="00EC0F7B"/>
    <w:rsid w:val="00EC0FF0"/>
    <w:rsid w:val="00EC1194"/>
    <w:rsid w:val="00EC11B6"/>
    <w:rsid w:val="00EC1208"/>
    <w:rsid w:val="00EC12C1"/>
    <w:rsid w:val="00EC12CB"/>
    <w:rsid w:val="00EC1382"/>
    <w:rsid w:val="00EC13B7"/>
    <w:rsid w:val="00EC142D"/>
    <w:rsid w:val="00EC14CE"/>
    <w:rsid w:val="00EC14E7"/>
    <w:rsid w:val="00EC14FF"/>
    <w:rsid w:val="00EC1503"/>
    <w:rsid w:val="00EC155A"/>
    <w:rsid w:val="00EC1560"/>
    <w:rsid w:val="00EC15A2"/>
    <w:rsid w:val="00EC15D8"/>
    <w:rsid w:val="00EC160C"/>
    <w:rsid w:val="00EC1613"/>
    <w:rsid w:val="00EC1666"/>
    <w:rsid w:val="00EC176E"/>
    <w:rsid w:val="00EC17C4"/>
    <w:rsid w:val="00EC180C"/>
    <w:rsid w:val="00EC1878"/>
    <w:rsid w:val="00EC190C"/>
    <w:rsid w:val="00EC19C4"/>
    <w:rsid w:val="00EC19EE"/>
    <w:rsid w:val="00EC19F6"/>
    <w:rsid w:val="00EC19FB"/>
    <w:rsid w:val="00EC1AFA"/>
    <w:rsid w:val="00EC1B6B"/>
    <w:rsid w:val="00EC1BCC"/>
    <w:rsid w:val="00EC1C6A"/>
    <w:rsid w:val="00EC1CE9"/>
    <w:rsid w:val="00EC1D85"/>
    <w:rsid w:val="00EC1E22"/>
    <w:rsid w:val="00EC1E24"/>
    <w:rsid w:val="00EC1E33"/>
    <w:rsid w:val="00EC1E6E"/>
    <w:rsid w:val="00EC1F5A"/>
    <w:rsid w:val="00EC1F7C"/>
    <w:rsid w:val="00EC2078"/>
    <w:rsid w:val="00EC2091"/>
    <w:rsid w:val="00EC20E5"/>
    <w:rsid w:val="00EC2114"/>
    <w:rsid w:val="00EC2167"/>
    <w:rsid w:val="00EC21E1"/>
    <w:rsid w:val="00EC226C"/>
    <w:rsid w:val="00EC22A2"/>
    <w:rsid w:val="00EC22E8"/>
    <w:rsid w:val="00EC22FA"/>
    <w:rsid w:val="00EC231E"/>
    <w:rsid w:val="00EC2336"/>
    <w:rsid w:val="00EC238A"/>
    <w:rsid w:val="00EC23B7"/>
    <w:rsid w:val="00EC2442"/>
    <w:rsid w:val="00EC24B1"/>
    <w:rsid w:val="00EC2534"/>
    <w:rsid w:val="00EC25B3"/>
    <w:rsid w:val="00EC25E1"/>
    <w:rsid w:val="00EC26DA"/>
    <w:rsid w:val="00EC26DE"/>
    <w:rsid w:val="00EC2701"/>
    <w:rsid w:val="00EC2720"/>
    <w:rsid w:val="00EC2775"/>
    <w:rsid w:val="00EC281B"/>
    <w:rsid w:val="00EC28AB"/>
    <w:rsid w:val="00EC28B7"/>
    <w:rsid w:val="00EC28D4"/>
    <w:rsid w:val="00EC28E4"/>
    <w:rsid w:val="00EC29D4"/>
    <w:rsid w:val="00EC29D5"/>
    <w:rsid w:val="00EC29D8"/>
    <w:rsid w:val="00EC2A7E"/>
    <w:rsid w:val="00EC2A83"/>
    <w:rsid w:val="00EC2B07"/>
    <w:rsid w:val="00EC2B83"/>
    <w:rsid w:val="00EC2C01"/>
    <w:rsid w:val="00EC2CF0"/>
    <w:rsid w:val="00EC2D08"/>
    <w:rsid w:val="00EC2D0D"/>
    <w:rsid w:val="00EC2D96"/>
    <w:rsid w:val="00EC2DBA"/>
    <w:rsid w:val="00EC2DED"/>
    <w:rsid w:val="00EC2EB4"/>
    <w:rsid w:val="00EC2EFF"/>
    <w:rsid w:val="00EC30E9"/>
    <w:rsid w:val="00EC3138"/>
    <w:rsid w:val="00EC3157"/>
    <w:rsid w:val="00EC31A2"/>
    <w:rsid w:val="00EC322E"/>
    <w:rsid w:val="00EC3240"/>
    <w:rsid w:val="00EC3269"/>
    <w:rsid w:val="00EC3299"/>
    <w:rsid w:val="00EC32B3"/>
    <w:rsid w:val="00EC32B8"/>
    <w:rsid w:val="00EC32C0"/>
    <w:rsid w:val="00EC336E"/>
    <w:rsid w:val="00EC3514"/>
    <w:rsid w:val="00EC356D"/>
    <w:rsid w:val="00EC3716"/>
    <w:rsid w:val="00EC372A"/>
    <w:rsid w:val="00EC37AB"/>
    <w:rsid w:val="00EC3801"/>
    <w:rsid w:val="00EC387A"/>
    <w:rsid w:val="00EC3884"/>
    <w:rsid w:val="00EC394C"/>
    <w:rsid w:val="00EC3B0F"/>
    <w:rsid w:val="00EC3B6C"/>
    <w:rsid w:val="00EC3B70"/>
    <w:rsid w:val="00EC3BD1"/>
    <w:rsid w:val="00EC3CBD"/>
    <w:rsid w:val="00EC3CDE"/>
    <w:rsid w:val="00EC3D01"/>
    <w:rsid w:val="00EC3D1C"/>
    <w:rsid w:val="00EC3D2E"/>
    <w:rsid w:val="00EC3E0D"/>
    <w:rsid w:val="00EC3E99"/>
    <w:rsid w:val="00EC3EC7"/>
    <w:rsid w:val="00EC3F06"/>
    <w:rsid w:val="00EC4022"/>
    <w:rsid w:val="00EC40A9"/>
    <w:rsid w:val="00EC40E1"/>
    <w:rsid w:val="00EC4128"/>
    <w:rsid w:val="00EC4175"/>
    <w:rsid w:val="00EC426D"/>
    <w:rsid w:val="00EC428B"/>
    <w:rsid w:val="00EC428E"/>
    <w:rsid w:val="00EC435B"/>
    <w:rsid w:val="00EC4369"/>
    <w:rsid w:val="00EC4375"/>
    <w:rsid w:val="00EC4389"/>
    <w:rsid w:val="00EC438E"/>
    <w:rsid w:val="00EC4421"/>
    <w:rsid w:val="00EC44E3"/>
    <w:rsid w:val="00EC45B1"/>
    <w:rsid w:val="00EC4612"/>
    <w:rsid w:val="00EC4692"/>
    <w:rsid w:val="00EC46C5"/>
    <w:rsid w:val="00EC473A"/>
    <w:rsid w:val="00EC47B2"/>
    <w:rsid w:val="00EC47D2"/>
    <w:rsid w:val="00EC48C2"/>
    <w:rsid w:val="00EC4914"/>
    <w:rsid w:val="00EC49EF"/>
    <w:rsid w:val="00EC4AD9"/>
    <w:rsid w:val="00EC4AF7"/>
    <w:rsid w:val="00EC4B3B"/>
    <w:rsid w:val="00EC4C44"/>
    <w:rsid w:val="00EC4C5E"/>
    <w:rsid w:val="00EC4CDB"/>
    <w:rsid w:val="00EC4CE8"/>
    <w:rsid w:val="00EC4D98"/>
    <w:rsid w:val="00EC4DBD"/>
    <w:rsid w:val="00EC4DF7"/>
    <w:rsid w:val="00EC4E91"/>
    <w:rsid w:val="00EC4F3D"/>
    <w:rsid w:val="00EC4F43"/>
    <w:rsid w:val="00EC4F6E"/>
    <w:rsid w:val="00EC4F7E"/>
    <w:rsid w:val="00EC4F89"/>
    <w:rsid w:val="00EC503B"/>
    <w:rsid w:val="00EC5071"/>
    <w:rsid w:val="00EC5144"/>
    <w:rsid w:val="00EC5173"/>
    <w:rsid w:val="00EC51B0"/>
    <w:rsid w:val="00EC5247"/>
    <w:rsid w:val="00EC52A1"/>
    <w:rsid w:val="00EC530C"/>
    <w:rsid w:val="00EC534A"/>
    <w:rsid w:val="00EC53D6"/>
    <w:rsid w:val="00EC5400"/>
    <w:rsid w:val="00EC5436"/>
    <w:rsid w:val="00EC549F"/>
    <w:rsid w:val="00EC54A4"/>
    <w:rsid w:val="00EC54AE"/>
    <w:rsid w:val="00EC54C2"/>
    <w:rsid w:val="00EC54E0"/>
    <w:rsid w:val="00EC54F8"/>
    <w:rsid w:val="00EC5536"/>
    <w:rsid w:val="00EC5549"/>
    <w:rsid w:val="00EC55D0"/>
    <w:rsid w:val="00EC5623"/>
    <w:rsid w:val="00EC5652"/>
    <w:rsid w:val="00EC57B9"/>
    <w:rsid w:val="00EC57C2"/>
    <w:rsid w:val="00EC5803"/>
    <w:rsid w:val="00EC5889"/>
    <w:rsid w:val="00EC5938"/>
    <w:rsid w:val="00EC5ABD"/>
    <w:rsid w:val="00EC5B03"/>
    <w:rsid w:val="00EC5B41"/>
    <w:rsid w:val="00EC5B82"/>
    <w:rsid w:val="00EC5BD0"/>
    <w:rsid w:val="00EC5D06"/>
    <w:rsid w:val="00EC5D0F"/>
    <w:rsid w:val="00EC5D49"/>
    <w:rsid w:val="00EC5D5C"/>
    <w:rsid w:val="00EC5D8C"/>
    <w:rsid w:val="00EC5FD8"/>
    <w:rsid w:val="00EC5FEE"/>
    <w:rsid w:val="00EC602D"/>
    <w:rsid w:val="00EC60C4"/>
    <w:rsid w:val="00EC647B"/>
    <w:rsid w:val="00EC64E1"/>
    <w:rsid w:val="00EC64FA"/>
    <w:rsid w:val="00EC6541"/>
    <w:rsid w:val="00EC6551"/>
    <w:rsid w:val="00EC65CD"/>
    <w:rsid w:val="00EC65D9"/>
    <w:rsid w:val="00EC6602"/>
    <w:rsid w:val="00EC6664"/>
    <w:rsid w:val="00EC6713"/>
    <w:rsid w:val="00EC6722"/>
    <w:rsid w:val="00EC679C"/>
    <w:rsid w:val="00EC67BA"/>
    <w:rsid w:val="00EC68BA"/>
    <w:rsid w:val="00EC68FC"/>
    <w:rsid w:val="00EC698A"/>
    <w:rsid w:val="00EC698D"/>
    <w:rsid w:val="00EC69B5"/>
    <w:rsid w:val="00EC6A1B"/>
    <w:rsid w:val="00EC6A5E"/>
    <w:rsid w:val="00EC6A90"/>
    <w:rsid w:val="00EC6AD5"/>
    <w:rsid w:val="00EC6AF2"/>
    <w:rsid w:val="00EC6B13"/>
    <w:rsid w:val="00EC6C08"/>
    <w:rsid w:val="00EC6C39"/>
    <w:rsid w:val="00EC6CA4"/>
    <w:rsid w:val="00EC6CC6"/>
    <w:rsid w:val="00EC6CCA"/>
    <w:rsid w:val="00EC6DCC"/>
    <w:rsid w:val="00EC6E0A"/>
    <w:rsid w:val="00EC6EFD"/>
    <w:rsid w:val="00EC6F30"/>
    <w:rsid w:val="00EC6F93"/>
    <w:rsid w:val="00EC7011"/>
    <w:rsid w:val="00EC704C"/>
    <w:rsid w:val="00EC7054"/>
    <w:rsid w:val="00EC70ED"/>
    <w:rsid w:val="00EC7245"/>
    <w:rsid w:val="00EC729F"/>
    <w:rsid w:val="00EC72BC"/>
    <w:rsid w:val="00EC72CD"/>
    <w:rsid w:val="00EC7461"/>
    <w:rsid w:val="00EC7499"/>
    <w:rsid w:val="00EC74BD"/>
    <w:rsid w:val="00EC74D1"/>
    <w:rsid w:val="00EC7604"/>
    <w:rsid w:val="00EC76BB"/>
    <w:rsid w:val="00EC771E"/>
    <w:rsid w:val="00EC77F3"/>
    <w:rsid w:val="00EC784E"/>
    <w:rsid w:val="00EC78AA"/>
    <w:rsid w:val="00EC790D"/>
    <w:rsid w:val="00EC7969"/>
    <w:rsid w:val="00EC79EF"/>
    <w:rsid w:val="00EC79FA"/>
    <w:rsid w:val="00EC7A05"/>
    <w:rsid w:val="00EC7ABA"/>
    <w:rsid w:val="00EC7AF0"/>
    <w:rsid w:val="00EC7AF7"/>
    <w:rsid w:val="00EC7B09"/>
    <w:rsid w:val="00EC7CBA"/>
    <w:rsid w:val="00EC7CC2"/>
    <w:rsid w:val="00EC7D1A"/>
    <w:rsid w:val="00EC7D5E"/>
    <w:rsid w:val="00EC7D94"/>
    <w:rsid w:val="00EC7DE7"/>
    <w:rsid w:val="00EC7E37"/>
    <w:rsid w:val="00EC7EEE"/>
    <w:rsid w:val="00EC7F02"/>
    <w:rsid w:val="00ED0053"/>
    <w:rsid w:val="00ED0092"/>
    <w:rsid w:val="00ED00B4"/>
    <w:rsid w:val="00ED012A"/>
    <w:rsid w:val="00ED01D5"/>
    <w:rsid w:val="00ED0327"/>
    <w:rsid w:val="00ED032B"/>
    <w:rsid w:val="00ED0343"/>
    <w:rsid w:val="00ED03A0"/>
    <w:rsid w:val="00ED03FC"/>
    <w:rsid w:val="00ED045A"/>
    <w:rsid w:val="00ED04D3"/>
    <w:rsid w:val="00ED04D5"/>
    <w:rsid w:val="00ED04EA"/>
    <w:rsid w:val="00ED05B2"/>
    <w:rsid w:val="00ED063D"/>
    <w:rsid w:val="00ED063F"/>
    <w:rsid w:val="00ED06AA"/>
    <w:rsid w:val="00ED072D"/>
    <w:rsid w:val="00ED0732"/>
    <w:rsid w:val="00ED075E"/>
    <w:rsid w:val="00ED077D"/>
    <w:rsid w:val="00ED0792"/>
    <w:rsid w:val="00ED0843"/>
    <w:rsid w:val="00ED089F"/>
    <w:rsid w:val="00ED08F7"/>
    <w:rsid w:val="00ED0948"/>
    <w:rsid w:val="00ED0A02"/>
    <w:rsid w:val="00ED0A3B"/>
    <w:rsid w:val="00ED0A4F"/>
    <w:rsid w:val="00ED0AAE"/>
    <w:rsid w:val="00ED0B45"/>
    <w:rsid w:val="00ED0B4A"/>
    <w:rsid w:val="00ED0B5E"/>
    <w:rsid w:val="00ED0C56"/>
    <w:rsid w:val="00ED0CAA"/>
    <w:rsid w:val="00ED0D46"/>
    <w:rsid w:val="00ED0E9D"/>
    <w:rsid w:val="00ED0EB2"/>
    <w:rsid w:val="00ED0F02"/>
    <w:rsid w:val="00ED0F18"/>
    <w:rsid w:val="00ED0F44"/>
    <w:rsid w:val="00ED0FE9"/>
    <w:rsid w:val="00ED100D"/>
    <w:rsid w:val="00ED1066"/>
    <w:rsid w:val="00ED10EE"/>
    <w:rsid w:val="00ED1176"/>
    <w:rsid w:val="00ED1199"/>
    <w:rsid w:val="00ED12D0"/>
    <w:rsid w:val="00ED12D3"/>
    <w:rsid w:val="00ED130F"/>
    <w:rsid w:val="00ED1394"/>
    <w:rsid w:val="00ED1399"/>
    <w:rsid w:val="00ED13B5"/>
    <w:rsid w:val="00ED142A"/>
    <w:rsid w:val="00ED1436"/>
    <w:rsid w:val="00ED1478"/>
    <w:rsid w:val="00ED1498"/>
    <w:rsid w:val="00ED14E7"/>
    <w:rsid w:val="00ED155A"/>
    <w:rsid w:val="00ED1591"/>
    <w:rsid w:val="00ED1636"/>
    <w:rsid w:val="00ED16BD"/>
    <w:rsid w:val="00ED16EA"/>
    <w:rsid w:val="00ED1780"/>
    <w:rsid w:val="00ED17A2"/>
    <w:rsid w:val="00ED17C7"/>
    <w:rsid w:val="00ED17CD"/>
    <w:rsid w:val="00ED17D1"/>
    <w:rsid w:val="00ED17E3"/>
    <w:rsid w:val="00ED1839"/>
    <w:rsid w:val="00ED18B8"/>
    <w:rsid w:val="00ED19C9"/>
    <w:rsid w:val="00ED1A44"/>
    <w:rsid w:val="00ED1A91"/>
    <w:rsid w:val="00ED1A92"/>
    <w:rsid w:val="00ED1AB9"/>
    <w:rsid w:val="00ED1B2B"/>
    <w:rsid w:val="00ED1B6C"/>
    <w:rsid w:val="00ED1BB2"/>
    <w:rsid w:val="00ED1BF2"/>
    <w:rsid w:val="00ED1C03"/>
    <w:rsid w:val="00ED1CE4"/>
    <w:rsid w:val="00ED1D05"/>
    <w:rsid w:val="00ED1D2D"/>
    <w:rsid w:val="00ED1D50"/>
    <w:rsid w:val="00ED1D57"/>
    <w:rsid w:val="00ED1DB8"/>
    <w:rsid w:val="00ED1DC7"/>
    <w:rsid w:val="00ED1EB6"/>
    <w:rsid w:val="00ED1EEB"/>
    <w:rsid w:val="00ED1F2B"/>
    <w:rsid w:val="00ED1F5E"/>
    <w:rsid w:val="00ED1F89"/>
    <w:rsid w:val="00ED2031"/>
    <w:rsid w:val="00ED2051"/>
    <w:rsid w:val="00ED207D"/>
    <w:rsid w:val="00ED20B6"/>
    <w:rsid w:val="00ED2105"/>
    <w:rsid w:val="00ED2173"/>
    <w:rsid w:val="00ED2235"/>
    <w:rsid w:val="00ED2299"/>
    <w:rsid w:val="00ED22B7"/>
    <w:rsid w:val="00ED22FF"/>
    <w:rsid w:val="00ED232B"/>
    <w:rsid w:val="00ED234B"/>
    <w:rsid w:val="00ED238C"/>
    <w:rsid w:val="00ED2391"/>
    <w:rsid w:val="00ED24A4"/>
    <w:rsid w:val="00ED26AC"/>
    <w:rsid w:val="00ED27A1"/>
    <w:rsid w:val="00ED2891"/>
    <w:rsid w:val="00ED293A"/>
    <w:rsid w:val="00ED29C8"/>
    <w:rsid w:val="00ED29EC"/>
    <w:rsid w:val="00ED2A82"/>
    <w:rsid w:val="00ED2B6F"/>
    <w:rsid w:val="00ED2CEE"/>
    <w:rsid w:val="00ED2D18"/>
    <w:rsid w:val="00ED2D90"/>
    <w:rsid w:val="00ED2E24"/>
    <w:rsid w:val="00ED2E5D"/>
    <w:rsid w:val="00ED2F1E"/>
    <w:rsid w:val="00ED2F2C"/>
    <w:rsid w:val="00ED3071"/>
    <w:rsid w:val="00ED31A9"/>
    <w:rsid w:val="00ED323F"/>
    <w:rsid w:val="00ED32C2"/>
    <w:rsid w:val="00ED33D1"/>
    <w:rsid w:val="00ED3413"/>
    <w:rsid w:val="00ED34A0"/>
    <w:rsid w:val="00ED34F7"/>
    <w:rsid w:val="00ED3505"/>
    <w:rsid w:val="00ED3571"/>
    <w:rsid w:val="00ED35B1"/>
    <w:rsid w:val="00ED35D6"/>
    <w:rsid w:val="00ED3628"/>
    <w:rsid w:val="00ED362A"/>
    <w:rsid w:val="00ED365A"/>
    <w:rsid w:val="00ED368C"/>
    <w:rsid w:val="00ED3822"/>
    <w:rsid w:val="00ED38D3"/>
    <w:rsid w:val="00ED3A7B"/>
    <w:rsid w:val="00ED3A90"/>
    <w:rsid w:val="00ED3B5B"/>
    <w:rsid w:val="00ED3BAD"/>
    <w:rsid w:val="00ED3D7A"/>
    <w:rsid w:val="00ED3DE8"/>
    <w:rsid w:val="00ED3E6B"/>
    <w:rsid w:val="00ED3ECE"/>
    <w:rsid w:val="00ED3F54"/>
    <w:rsid w:val="00ED3FB1"/>
    <w:rsid w:val="00ED3FB6"/>
    <w:rsid w:val="00ED3FDB"/>
    <w:rsid w:val="00ED4143"/>
    <w:rsid w:val="00ED4222"/>
    <w:rsid w:val="00ED430B"/>
    <w:rsid w:val="00ED431C"/>
    <w:rsid w:val="00ED43DD"/>
    <w:rsid w:val="00ED44C3"/>
    <w:rsid w:val="00ED45D1"/>
    <w:rsid w:val="00ED4619"/>
    <w:rsid w:val="00ED4666"/>
    <w:rsid w:val="00ED4672"/>
    <w:rsid w:val="00ED4750"/>
    <w:rsid w:val="00ED47A9"/>
    <w:rsid w:val="00ED47DB"/>
    <w:rsid w:val="00ED48CC"/>
    <w:rsid w:val="00ED48D5"/>
    <w:rsid w:val="00ED4906"/>
    <w:rsid w:val="00ED4A37"/>
    <w:rsid w:val="00ED4A3C"/>
    <w:rsid w:val="00ED4A4E"/>
    <w:rsid w:val="00ED4A61"/>
    <w:rsid w:val="00ED4A64"/>
    <w:rsid w:val="00ED4AEC"/>
    <w:rsid w:val="00ED4AF4"/>
    <w:rsid w:val="00ED4AFB"/>
    <w:rsid w:val="00ED4B58"/>
    <w:rsid w:val="00ED4BAF"/>
    <w:rsid w:val="00ED4BC3"/>
    <w:rsid w:val="00ED4CFB"/>
    <w:rsid w:val="00ED4DA3"/>
    <w:rsid w:val="00ED4DF0"/>
    <w:rsid w:val="00ED4E9A"/>
    <w:rsid w:val="00ED4F17"/>
    <w:rsid w:val="00ED4F1E"/>
    <w:rsid w:val="00ED4F9D"/>
    <w:rsid w:val="00ED502F"/>
    <w:rsid w:val="00ED5052"/>
    <w:rsid w:val="00ED5094"/>
    <w:rsid w:val="00ED50AB"/>
    <w:rsid w:val="00ED50B0"/>
    <w:rsid w:val="00ED513B"/>
    <w:rsid w:val="00ED5241"/>
    <w:rsid w:val="00ED5254"/>
    <w:rsid w:val="00ED530D"/>
    <w:rsid w:val="00ED549D"/>
    <w:rsid w:val="00ED54F9"/>
    <w:rsid w:val="00ED5520"/>
    <w:rsid w:val="00ED5551"/>
    <w:rsid w:val="00ED5563"/>
    <w:rsid w:val="00ED566B"/>
    <w:rsid w:val="00ED575A"/>
    <w:rsid w:val="00ED5762"/>
    <w:rsid w:val="00ED57E0"/>
    <w:rsid w:val="00ED5850"/>
    <w:rsid w:val="00ED5975"/>
    <w:rsid w:val="00ED5989"/>
    <w:rsid w:val="00ED59F2"/>
    <w:rsid w:val="00ED5AA7"/>
    <w:rsid w:val="00ED5ACC"/>
    <w:rsid w:val="00ED5AD8"/>
    <w:rsid w:val="00ED5B2E"/>
    <w:rsid w:val="00ED5B87"/>
    <w:rsid w:val="00ED5B8D"/>
    <w:rsid w:val="00ED5E33"/>
    <w:rsid w:val="00ED5E63"/>
    <w:rsid w:val="00ED5F59"/>
    <w:rsid w:val="00ED5F93"/>
    <w:rsid w:val="00ED6012"/>
    <w:rsid w:val="00ED60CA"/>
    <w:rsid w:val="00ED60E1"/>
    <w:rsid w:val="00ED61AB"/>
    <w:rsid w:val="00ED61EB"/>
    <w:rsid w:val="00ED62A3"/>
    <w:rsid w:val="00ED639A"/>
    <w:rsid w:val="00ED6467"/>
    <w:rsid w:val="00ED649A"/>
    <w:rsid w:val="00ED6509"/>
    <w:rsid w:val="00ED654A"/>
    <w:rsid w:val="00ED6557"/>
    <w:rsid w:val="00ED6586"/>
    <w:rsid w:val="00ED66FE"/>
    <w:rsid w:val="00ED6714"/>
    <w:rsid w:val="00ED6721"/>
    <w:rsid w:val="00ED6727"/>
    <w:rsid w:val="00ED677F"/>
    <w:rsid w:val="00ED67CE"/>
    <w:rsid w:val="00ED67FE"/>
    <w:rsid w:val="00ED687C"/>
    <w:rsid w:val="00ED689A"/>
    <w:rsid w:val="00ED6942"/>
    <w:rsid w:val="00ED6960"/>
    <w:rsid w:val="00ED6981"/>
    <w:rsid w:val="00ED6AAB"/>
    <w:rsid w:val="00ED6AF6"/>
    <w:rsid w:val="00ED6AF7"/>
    <w:rsid w:val="00ED6B8A"/>
    <w:rsid w:val="00ED6BD5"/>
    <w:rsid w:val="00ED6BF4"/>
    <w:rsid w:val="00ED6C16"/>
    <w:rsid w:val="00ED6C8A"/>
    <w:rsid w:val="00ED6D68"/>
    <w:rsid w:val="00ED6D79"/>
    <w:rsid w:val="00ED6D84"/>
    <w:rsid w:val="00ED6E4A"/>
    <w:rsid w:val="00ED6F4A"/>
    <w:rsid w:val="00ED6F69"/>
    <w:rsid w:val="00ED6FAB"/>
    <w:rsid w:val="00ED7064"/>
    <w:rsid w:val="00ED7113"/>
    <w:rsid w:val="00ED7142"/>
    <w:rsid w:val="00ED7162"/>
    <w:rsid w:val="00ED7191"/>
    <w:rsid w:val="00ED7263"/>
    <w:rsid w:val="00ED72CC"/>
    <w:rsid w:val="00ED7338"/>
    <w:rsid w:val="00ED7364"/>
    <w:rsid w:val="00ED738E"/>
    <w:rsid w:val="00ED73AA"/>
    <w:rsid w:val="00ED73CF"/>
    <w:rsid w:val="00ED7454"/>
    <w:rsid w:val="00ED745E"/>
    <w:rsid w:val="00ED746A"/>
    <w:rsid w:val="00ED74CE"/>
    <w:rsid w:val="00ED75A1"/>
    <w:rsid w:val="00ED75ED"/>
    <w:rsid w:val="00ED766A"/>
    <w:rsid w:val="00ED7672"/>
    <w:rsid w:val="00ED7699"/>
    <w:rsid w:val="00ED76C7"/>
    <w:rsid w:val="00ED76CD"/>
    <w:rsid w:val="00ED7756"/>
    <w:rsid w:val="00ED7759"/>
    <w:rsid w:val="00ED778F"/>
    <w:rsid w:val="00ED77CD"/>
    <w:rsid w:val="00ED77ED"/>
    <w:rsid w:val="00ED77FB"/>
    <w:rsid w:val="00ED7818"/>
    <w:rsid w:val="00ED789C"/>
    <w:rsid w:val="00ED78FD"/>
    <w:rsid w:val="00ED79B9"/>
    <w:rsid w:val="00ED79CE"/>
    <w:rsid w:val="00ED79EF"/>
    <w:rsid w:val="00ED7A22"/>
    <w:rsid w:val="00ED7BBA"/>
    <w:rsid w:val="00ED7C7E"/>
    <w:rsid w:val="00ED7CDB"/>
    <w:rsid w:val="00ED7D20"/>
    <w:rsid w:val="00ED7D8E"/>
    <w:rsid w:val="00ED7DB4"/>
    <w:rsid w:val="00ED7E34"/>
    <w:rsid w:val="00ED7EED"/>
    <w:rsid w:val="00ED7F93"/>
    <w:rsid w:val="00EE006A"/>
    <w:rsid w:val="00EE0085"/>
    <w:rsid w:val="00EE01E6"/>
    <w:rsid w:val="00EE0223"/>
    <w:rsid w:val="00EE0225"/>
    <w:rsid w:val="00EE023A"/>
    <w:rsid w:val="00EE0280"/>
    <w:rsid w:val="00EE02AB"/>
    <w:rsid w:val="00EE035D"/>
    <w:rsid w:val="00EE045C"/>
    <w:rsid w:val="00EE048D"/>
    <w:rsid w:val="00EE053B"/>
    <w:rsid w:val="00EE0554"/>
    <w:rsid w:val="00EE06E3"/>
    <w:rsid w:val="00EE077B"/>
    <w:rsid w:val="00EE0806"/>
    <w:rsid w:val="00EE0816"/>
    <w:rsid w:val="00EE08B4"/>
    <w:rsid w:val="00EE0A47"/>
    <w:rsid w:val="00EE0B20"/>
    <w:rsid w:val="00EE0B2C"/>
    <w:rsid w:val="00EE0B84"/>
    <w:rsid w:val="00EE0BCC"/>
    <w:rsid w:val="00EE0BEB"/>
    <w:rsid w:val="00EE0C2C"/>
    <w:rsid w:val="00EE0CE5"/>
    <w:rsid w:val="00EE0DA8"/>
    <w:rsid w:val="00EE0DD3"/>
    <w:rsid w:val="00EE0EF9"/>
    <w:rsid w:val="00EE0F1C"/>
    <w:rsid w:val="00EE0F45"/>
    <w:rsid w:val="00EE0F58"/>
    <w:rsid w:val="00EE0FCB"/>
    <w:rsid w:val="00EE1015"/>
    <w:rsid w:val="00EE1022"/>
    <w:rsid w:val="00EE103F"/>
    <w:rsid w:val="00EE105A"/>
    <w:rsid w:val="00EE105E"/>
    <w:rsid w:val="00EE111C"/>
    <w:rsid w:val="00EE1140"/>
    <w:rsid w:val="00EE1165"/>
    <w:rsid w:val="00EE130E"/>
    <w:rsid w:val="00EE13A6"/>
    <w:rsid w:val="00EE1441"/>
    <w:rsid w:val="00EE150E"/>
    <w:rsid w:val="00EE15A0"/>
    <w:rsid w:val="00EE15DF"/>
    <w:rsid w:val="00EE1608"/>
    <w:rsid w:val="00EE1635"/>
    <w:rsid w:val="00EE1685"/>
    <w:rsid w:val="00EE16B7"/>
    <w:rsid w:val="00EE1713"/>
    <w:rsid w:val="00EE171B"/>
    <w:rsid w:val="00EE1746"/>
    <w:rsid w:val="00EE17C1"/>
    <w:rsid w:val="00EE17DA"/>
    <w:rsid w:val="00EE17F7"/>
    <w:rsid w:val="00EE183F"/>
    <w:rsid w:val="00EE1A83"/>
    <w:rsid w:val="00EE1ADF"/>
    <w:rsid w:val="00EE1B0C"/>
    <w:rsid w:val="00EE1B62"/>
    <w:rsid w:val="00EE1B68"/>
    <w:rsid w:val="00EE1BAD"/>
    <w:rsid w:val="00EE1BBC"/>
    <w:rsid w:val="00EE1BC6"/>
    <w:rsid w:val="00EE1C35"/>
    <w:rsid w:val="00EE1D16"/>
    <w:rsid w:val="00EE1D2E"/>
    <w:rsid w:val="00EE1DFD"/>
    <w:rsid w:val="00EE1E1E"/>
    <w:rsid w:val="00EE1E34"/>
    <w:rsid w:val="00EE1E75"/>
    <w:rsid w:val="00EE1EC8"/>
    <w:rsid w:val="00EE1F4B"/>
    <w:rsid w:val="00EE20C7"/>
    <w:rsid w:val="00EE229E"/>
    <w:rsid w:val="00EE234A"/>
    <w:rsid w:val="00EE23D5"/>
    <w:rsid w:val="00EE24D9"/>
    <w:rsid w:val="00EE24E1"/>
    <w:rsid w:val="00EE24F5"/>
    <w:rsid w:val="00EE251C"/>
    <w:rsid w:val="00EE258F"/>
    <w:rsid w:val="00EE2614"/>
    <w:rsid w:val="00EE262B"/>
    <w:rsid w:val="00EE26E9"/>
    <w:rsid w:val="00EE2719"/>
    <w:rsid w:val="00EE2743"/>
    <w:rsid w:val="00EE280F"/>
    <w:rsid w:val="00EE284F"/>
    <w:rsid w:val="00EE287E"/>
    <w:rsid w:val="00EE2918"/>
    <w:rsid w:val="00EE2955"/>
    <w:rsid w:val="00EE2973"/>
    <w:rsid w:val="00EE2A40"/>
    <w:rsid w:val="00EE2A7D"/>
    <w:rsid w:val="00EE2B44"/>
    <w:rsid w:val="00EE2B75"/>
    <w:rsid w:val="00EE2BC6"/>
    <w:rsid w:val="00EE2C50"/>
    <w:rsid w:val="00EE2C83"/>
    <w:rsid w:val="00EE2CED"/>
    <w:rsid w:val="00EE2D69"/>
    <w:rsid w:val="00EE2DBE"/>
    <w:rsid w:val="00EE2DF1"/>
    <w:rsid w:val="00EE2EB8"/>
    <w:rsid w:val="00EE2EF8"/>
    <w:rsid w:val="00EE2FBD"/>
    <w:rsid w:val="00EE2FDF"/>
    <w:rsid w:val="00EE3086"/>
    <w:rsid w:val="00EE3149"/>
    <w:rsid w:val="00EE3263"/>
    <w:rsid w:val="00EE3460"/>
    <w:rsid w:val="00EE34C6"/>
    <w:rsid w:val="00EE3512"/>
    <w:rsid w:val="00EE356E"/>
    <w:rsid w:val="00EE3662"/>
    <w:rsid w:val="00EE3694"/>
    <w:rsid w:val="00EE36BA"/>
    <w:rsid w:val="00EE36BB"/>
    <w:rsid w:val="00EE38B6"/>
    <w:rsid w:val="00EE3937"/>
    <w:rsid w:val="00EE3980"/>
    <w:rsid w:val="00EE399D"/>
    <w:rsid w:val="00EE39D5"/>
    <w:rsid w:val="00EE39DF"/>
    <w:rsid w:val="00EE3A95"/>
    <w:rsid w:val="00EE3A98"/>
    <w:rsid w:val="00EE3ADB"/>
    <w:rsid w:val="00EE3AF6"/>
    <w:rsid w:val="00EE3B8F"/>
    <w:rsid w:val="00EE3B95"/>
    <w:rsid w:val="00EE3CC6"/>
    <w:rsid w:val="00EE3CDE"/>
    <w:rsid w:val="00EE3CF0"/>
    <w:rsid w:val="00EE3D2D"/>
    <w:rsid w:val="00EE3DA4"/>
    <w:rsid w:val="00EE3E8A"/>
    <w:rsid w:val="00EE3EAE"/>
    <w:rsid w:val="00EE3F20"/>
    <w:rsid w:val="00EE3F3F"/>
    <w:rsid w:val="00EE3F59"/>
    <w:rsid w:val="00EE3F74"/>
    <w:rsid w:val="00EE403A"/>
    <w:rsid w:val="00EE4064"/>
    <w:rsid w:val="00EE41D9"/>
    <w:rsid w:val="00EE41E5"/>
    <w:rsid w:val="00EE4225"/>
    <w:rsid w:val="00EE4238"/>
    <w:rsid w:val="00EE424F"/>
    <w:rsid w:val="00EE4285"/>
    <w:rsid w:val="00EE42B1"/>
    <w:rsid w:val="00EE42B3"/>
    <w:rsid w:val="00EE43A3"/>
    <w:rsid w:val="00EE43B1"/>
    <w:rsid w:val="00EE4490"/>
    <w:rsid w:val="00EE449C"/>
    <w:rsid w:val="00EE45A9"/>
    <w:rsid w:val="00EE45FD"/>
    <w:rsid w:val="00EE4699"/>
    <w:rsid w:val="00EE46C5"/>
    <w:rsid w:val="00EE4721"/>
    <w:rsid w:val="00EE4800"/>
    <w:rsid w:val="00EE4895"/>
    <w:rsid w:val="00EE48CA"/>
    <w:rsid w:val="00EE48D8"/>
    <w:rsid w:val="00EE4903"/>
    <w:rsid w:val="00EE49EB"/>
    <w:rsid w:val="00EE4A5D"/>
    <w:rsid w:val="00EE4A61"/>
    <w:rsid w:val="00EE4ABD"/>
    <w:rsid w:val="00EE4AD8"/>
    <w:rsid w:val="00EE4B31"/>
    <w:rsid w:val="00EE4BC7"/>
    <w:rsid w:val="00EE4CA7"/>
    <w:rsid w:val="00EE4CC3"/>
    <w:rsid w:val="00EE4CE0"/>
    <w:rsid w:val="00EE4D00"/>
    <w:rsid w:val="00EE4D1D"/>
    <w:rsid w:val="00EE4D79"/>
    <w:rsid w:val="00EE4E09"/>
    <w:rsid w:val="00EE4E3C"/>
    <w:rsid w:val="00EE4E86"/>
    <w:rsid w:val="00EE4EAF"/>
    <w:rsid w:val="00EE5104"/>
    <w:rsid w:val="00EE5126"/>
    <w:rsid w:val="00EE529D"/>
    <w:rsid w:val="00EE52B0"/>
    <w:rsid w:val="00EE52C0"/>
    <w:rsid w:val="00EE5396"/>
    <w:rsid w:val="00EE541C"/>
    <w:rsid w:val="00EE547D"/>
    <w:rsid w:val="00EE5498"/>
    <w:rsid w:val="00EE55E7"/>
    <w:rsid w:val="00EE55FD"/>
    <w:rsid w:val="00EE561F"/>
    <w:rsid w:val="00EE563B"/>
    <w:rsid w:val="00EE56B8"/>
    <w:rsid w:val="00EE56D0"/>
    <w:rsid w:val="00EE56F1"/>
    <w:rsid w:val="00EE5719"/>
    <w:rsid w:val="00EE573E"/>
    <w:rsid w:val="00EE576C"/>
    <w:rsid w:val="00EE5772"/>
    <w:rsid w:val="00EE5834"/>
    <w:rsid w:val="00EE5AED"/>
    <w:rsid w:val="00EE5B70"/>
    <w:rsid w:val="00EE5C5C"/>
    <w:rsid w:val="00EE5D45"/>
    <w:rsid w:val="00EE5D8B"/>
    <w:rsid w:val="00EE5DC3"/>
    <w:rsid w:val="00EE5DE3"/>
    <w:rsid w:val="00EE5DFD"/>
    <w:rsid w:val="00EE5EA2"/>
    <w:rsid w:val="00EE5EC9"/>
    <w:rsid w:val="00EE5F1B"/>
    <w:rsid w:val="00EE5F21"/>
    <w:rsid w:val="00EE5FCF"/>
    <w:rsid w:val="00EE5FD6"/>
    <w:rsid w:val="00EE6010"/>
    <w:rsid w:val="00EE6051"/>
    <w:rsid w:val="00EE60A8"/>
    <w:rsid w:val="00EE60CD"/>
    <w:rsid w:val="00EE60D0"/>
    <w:rsid w:val="00EE6108"/>
    <w:rsid w:val="00EE611D"/>
    <w:rsid w:val="00EE61B2"/>
    <w:rsid w:val="00EE628F"/>
    <w:rsid w:val="00EE63AD"/>
    <w:rsid w:val="00EE63C6"/>
    <w:rsid w:val="00EE6451"/>
    <w:rsid w:val="00EE6482"/>
    <w:rsid w:val="00EE6538"/>
    <w:rsid w:val="00EE6682"/>
    <w:rsid w:val="00EE66BC"/>
    <w:rsid w:val="00EE66CF"/>
    <w:rsid w:val="00EE6776"/>
    <w:rsid w:val="00EE67B1"/>
    <w:rsid w:val="00EE6802"/>
    <w:rsid w:val="00EE689D"/>
    <w:rsid w:val="00EE68EF"/>
    <w:rsid w:val="00EE6A82"/>
    <w:rsid w:val="00EE6A90"/>
    <w:rsid w:val="00EE6B01"/>
    <w:rsid w:val="00EE6B2A"/>
    <w:rsid w:val="00EE6B2C"/>
    <w:rsid w:val="00EE6BB1"/>
    <w:rsid w:val="00EE6BC4"/>
    <w:rsid w:val="00EE6C00"/>
    <w:rsid w:val="00EE6C66"/>
    <w:rsid w:val="00EE6C8C"/>
    <w:rsid w:val="00EE6D07"/>
    <w:rsid w:val="00EE6D86"/>
    <w:rsid w:val="00EE6DAF"/>
    <w:rsid w:val="00EE6DD7"/>
    <w:rsid w:val="00EE6DE5"/>
    <w:rsid w:val="00EE6E15"/>
    <w:rsid w:val="00EE6F82"/>
    <w:rsid w:val="00EE6FCD"/>
    <w:rsid w:val="00EE7080"/>
    <w:rsid w:val="00EE709F"/>
    <w:rsid w:val="00EE70C8"/>
    <w:rsid w:val="00EE722C"/>
    <w:rsid w:val="00EE73D6"/>
    <w:rsid w:val="00EE7449"/>
    <w:rsid w:val="00EE74BB"/>
    <w:rsid w:val="00EE74C6"/>
    <w:rsid w:val="00EE74DB"/>
    <w:rsid w:val="00EE74DC"/>
    <w:rsid w:val="00EE75B1"/>
    <w:rsid w:val="00EE7795"/>
    <w:rsid w:val="00EE7844"/>
    <w:rsid w:val="00EE788A"/>
    <w:rsid w:val="00EE7898"/>
    <w:rsid w:val="00EE79D3"/>
    <w:rsid w:val="00EE7A06"/>
    <w:rsid w:val="00EE7AA3"/>
    <w:rsid w:val="00EE7ABC"/>
    <w:rsid w:val="00EE7B19"/>
    <w:rsid w:val="00EE7B54"/>
    <w:rsid w:val="00EE7B5F"/>
    <w:rsid w:val="00EE7BA8"/>
    <w:rsid w:val="00EE7E19"/>
    <w:rsid w:val="00EE7E4E"/>
    <w:rsid w:val="00EE7EFE"/>
    <w:rsid w:val="00EE7F72"/>
    <w:rsid w:val="00EE7F88"/>
    <w:rsid w:val="00EE7F9B"/>
    <w:rsid w:val="00EE7FF3"/>
    <w:rsid w:val="00EF00B3"/>
    <w:rsid w:val="00EF0126"/>
    <w:rsid w:val="00EF013B"/>
    <w:rsid w:val="00EF018D"/>
    <w:rsid w:val="00EF0230"/>
    <w:rsid w:val="00EF0266"/>
    <w:rsid w:val="00EF027A"/>
    <w:rsid w:val="00EF02B0"/>
    <w:rsid w:val="00EF038B"/>
    <w:rsid w:val="00EF03F2"/>
    <w:rsid w:val="00EF0491"/>
    <w:rsid w:val="00EF04F4"/>
    <w:rsid w:val="00EF05F7"/>
    <w:rsid w:val="00EF0670"/>
    <w:rsid w:val="00EF06BF"/>
    <w:rsid w:val="00EF06CB"/>
    <w:rsid w:val="00EF0727"/>
    <w:rsid w:val="00EF074C"/>
    <w:rsid w:val="00EF0752"/>
    <w:rsid w:val="00EF0777"/>
    <w:rsid w:val="00EF07C6"/>
    <w:rsid w:val="00EF0824"/>
    <w:rsid w:val="00EF0842"/>
    <w:rsid w:val="00EF089C"/>
    <w:rsid w:val="00EF08BD"/>
    <w:rsid w:val="00EF08F7"/>
    <w:rsid w:val="00EF094D"/>
    <w:rsid w:val="00EF09B7"/>
    <w:rsid w:val="00EF09BB"/>
    <w:rsid w:val="00EF09D1"/>
    <w:rsid w:val="00EF0A18"/>
    <w:rsid w:val="00EF0A9C"/>
    <w:rsid w:val="00EF0A9D"/>
    <w:rsid w:val="00EF0AE5"/>
    <w:rsid w:val="00EF0B50"/>
    <w:rsid w:val="00EF0C63"/>
    <w:rsid w:val="00EF0D08"/>
    <w:rsid w:val="00EF0D35"/>
    <w:rsid w:val="00EF0E00"/>
    <w:rsid w:val="00EF0E14"/>
    <w:rsid w:val="00EF0EB0"/>
    <w:rsid w:val="00EF0F0B"/>
    <w:rsid w:val="00EF0F9C"/>
    <w:rsid w:val="00EF1004"/>
    <w:rsid w:val="00EF1064"/>
    <w:rsid w:val="00EF107C"/>
    <w:rsid w:val="00EF109A"/>
    <w:rsid w:val="00EF10B8"/>
    <w:rsid w:val="00EF1125"/>
    <w:rsid w:val="00EF1243"/>
    <w:rsid w:val="00EF12C0"/>
    <w:rsid w:val="00EF1337"/>
    <w:rsid w:val="00EF134B"/>
    <w:rsid w:val="00EF1375"/>
    <w:rsid w:val="00EF1478"/>
    <w:rsid w:val="00EF1480"/>
    <w:rsid w:val="00EF14DB"/>
    <w:rsid w:val="00EF1517"/>
    <w:rsid w:val="00EF1589"/>
    <w:rsid w:val="00EF1604"/>
    <w:rsid w:val="00EF16EE"/>
    <w:rsid w:val="00EF16F0"/>
    <w:rsid w:val="00EF1730"/>
    <w:rsid w:val="00EF173F"/>
    <w:rsid w:val="00EF17B3"/>
    <w:rsid w:val="00EF18D9"/>
    <w:rsid w:val="00EF18F5"/>
    <w:rsid w:val="00EF192B"/>
    <w:rsid w:val="00EF192F"/>
    <w:rsid w:val="00EF1997"/>
    <w:rsid w:val="00EF19B3"/>
    <w:rsid w:val="00EF19BC"/>
    <w:rsid w:val="00EF1A8A"/>
    <w:rsid w:val="00EF1B5D"/>
    <w:rsid w:val="00EF1BD4"/>
    <w:rsid w:val="00EF1CA2"/>
    <w:rsid w:val="00EF1CB4"/>
    <w:rsid w:val="00EF1D23"/>
    <w:rsid w:val="00EF1D3C"/>
    <w:rsid w:val="00EF1DA1"/>
    <w:rsid w:val="00EF1DB9"/>
    <w:rsid w:val="00EF1DBB"/>
    <w:rsid w:val="00EF1DDF"/>
    <w:rsid w:val="00EF1DF8"/>
    <w:rsid w:val="00EF1F8B"/>
    <w:rsid w:val="00EF1F8C"/>
    <w:rsid w:val="00EF1FE9"/>
    <w:rsid w:val="00EF2008"/>
    <w:rsid w:val="00EF20AA"/>
    <w:rsid w:val="00EF20FD"/>
    <w:rsid w:val="00EF21D8"/>
    <w:rsid w:val="00EF2324"/>
    <w:rsid w:val="00EF2366"/>
    <w:rsid w:val="00EF236F"/>
    <w:rsid w:val="00EF23D7"/>
    <w:rsid w:val="00EF264C"/>
    <w:rsid w:val="00EF2677"/>
    <w:rsid w:val="00EF26F7"/>
    <w:rsid w:val="00EF2743"/>
    <w:rsid w:val="00EF27B0"/>
    <w:rsid w:val="00EF27E1"/>
    <w:rsid w:val="00EF28A7"/>
    <w:rsid w:val="00EF28BA"/>
    <w:rsid w:val="00EF2945"/>
    <w:rsid w:val="00EF2956"/>
    <w:rsid w:val="00EF2AD2"/>
    <w:rsid w:val="00EF2AD6"/>
    <w:rsid w:val="00EF2B12"/>
    <w:rsid w:val="00EF2B58"/>
    <w:rsid w:val="00EF2B93"/>
    <w:rsid w:val="00EF2BD5"/>
    <w:rsid w:val="00EF2C8F"/>
    <w:rsid w:val="00EF2CAC"/>
    <w:rsid w:val="00EF2D25"/>
    <w:rsid w:val="00EF2D55"/>
    <w:rsid w:val="00EF2D90"/>
    <w:rsid w:val="00EF2DB1"/>
    <w:rsid w:val="00EF2FD9"/>
    <w:rsid w:val="00EF2FE2"/>
    <w:rsid w:val="00EF315F"/>
    <w:rsid w:val="00EF3173"/>
    <w:rsid w:val="00EF31E9"/>
    <w:rsid w:val="00EF3231"/>
    <w:rsid w:val="00EF3268"/>
    <w:rsid w:val="00EF3270"/>
    <w:rsid w:val="00EF3277"/>
    <w:rsid w:val="00EF333A"/>
    <w:rsid w:val="00EF3345"/>
    <w:rsid w:val="00EF357F"/>
    <w:rsid w:val="00EF35B3"/>
    <w:rsid w:val="00EF360D"/>
    <w:rsid w:val="00EF3616"/>
    <w:rsid w:val="00EF3628"/>
    <w:rsid w:val="00EF36B6"/>
    <w:rsid w:val="00EF371C"/>
    <w:rsid w:val="00EF3722"/>
    <w:rsid w:val="00EF3814"/>
    <w:rsid w:val="00EF383B"/>
    <w:rsid w:val="00EF38DD"/>
    <w:rsid w:val="00EF3904"/>
    <w:rsid w:val="00EF39ED"/>
    <w:rsid w:val="00EF3A38"/>
    <w:rsid w:val="00EF3A88"/>
    <w:rsid w:val="00EF3AE2"/>
    <w:rsid w:val="00EF3BA3"/>
    <w:rsid w:val="00EF3BB7"/>
    <w:rsid w:val="00EF3BBC"/>
    <w:rsid w:val="00EF3C33"/>
    <w:rsid w:val="00EF3CE8"/>
    <w:rsid w:val="00EF3D47"/>
    <w:rsid w:val="00EF3E37"/>
    <w:rsid w:val="00EF3FB2"/>
    <w:rsid w:val="00EF3FC0"/>
    <w:rsid w:val="00EF4092"/>
    <w:rsid w:val="00EF40E1"/>
    <w:rsid w:val="00EF4152"/>
    <w:rsid w:val="00EF41CA"/>
    <w:rsid w:val="00EF41ED"/>
    <w:rsid w:val="00EF42C3"/>
    <w:rsid w:val="00EF431D"/>
    <w:rsid w:val="00EF4590"/>
    <w:rsid w:val="00EF4591"/>
    <w:rsid w:val="00EF4599"/>
    <w:rsid w:val="00EF459C"/>
    <w:rsid w:val="00EF45F5"/>
    <w:rsid w:val="00EF4608"/>
    <w:rsid w:val="00EF4764"/>
    <w:rsid w:val="00EF47FB"/>
    <w:rsid w:val="00EF485D"/>
    <w:rsid w:val="00EF4908"/>
    <w:rsid w:val="00EF49EF"/>
    <w:rsid w:val="00EF4A27"/>
    <w:rsid w:val="00EF4A3D"/>
    <w:rsid w:val="00EF4A47"/>
    <w:rsid w:val="00EF4A5D"/>
    <w:rsid w:val="00EF4AB1"/>
    <w:rsid w:val="00EF4B41"/>
    <w:rsid w:val="00EF4C73"/>
    <w:rsid w:val="00EF4CA2"/>
    <w:rsid w:val="00EF4CDE"/>
    <w:rsid w:val="00EF4D37"/>
    <w:rsid w:val="00EF4D87"/>
    <w:rsid w:val="00EF4F62"/>
    <w:rsid w:val="00EF4FD8"/>
    <w:rsid w:val="00EF5032"/>
    <w:rsid w:val="00EF5070"/>
    <w:rsid w:val="00EF511F"/>
    <w:rsid w:val="00EF51B0"/>
    <w:rsid w:val="00EF51FE"/>
    <w:rsid w:val="00EF524C"/>
    <w:rsid w:val="00EF5264"/>
    <w:rsid w:val="00EF52D0"/>
    <w:rsid w:val="00EF5379"/>
    <w:rsid w:val="00EF54FF"/>
    <w:rsid w:val="00EF5543"/>
    <w:rsid w:val="00EF554C"/>
    <w:rsid w:val="00EF55B1"/>
    <w:rsid w:val="00EF5640"/>
    <w:rsid w:val="00EF5684"/>
    <w:rsid w:val="00EF56AC"/>
    <w:rsid w:val="00EF5732"/>
    <w:rsid w:val="00EF5868"/>
    <w:rsid w:val="00EF58AD"/>
    <w:rsid w:val="00EF58C4"/>
    <w:rsid w:val="00EF58C6"/>
    <w:rsid w:val="00EF58EC"/>
    <w:rsid w:val="00EF5919"/>
    <w:rsid w:val="00EF5945"/>
    <w:rsid w:val="00EF594C"/>
    <w:rsid w:val="00EF5A73"/>
    <w:rsid w:val="00EF5B03"/>
    <w:rsid w:val="00EF5D43"/>
    <w:rsid w:val="00EF5D74"/>
    <w:rsid w:val="00EF5E4A"/>
    <w:rsid w:val="00EF5EB0"/>
    <w:rsid w:val="00EF5F00"/>
    <w:rsid w:val="00EF5F4A"/>
    <w:rsid w:val="00EF5F60"/>
    <w:rsid w:val="00EF5F88"/>
    <w:rsid w:val="00EF60B0"/>
    <w:rsid w:val="00EF6110"/>
    <w:rsid w:val="00EF61CD"/>
    <w:rsid w:val="00EF61F0"/>
    <w:rsid w:val="00EF6217"/>
    <w:rsid w:val="00EF628F"/>
    <w:rsid w:val="00EF6479"/>
    <w:rsid w:val="00EF6499"/>
    <w:rsid w:val="00EF64B6"/>
    <w:rsid w:val="00EF6521"/>
    <w:rsid w:val="00EF659F"/>
    <w:rsid w:val="00EF6614"/>
    <w:rsid w:val="00EF663C"/>
    <w:rsid w:val="00EF66A1"/>
    <w:rsid w:val="00EF678A"/>
    <w:rsid w:val="00EF6890"/>
    <w:rsid w:val="00EF69C1"/>
    <w:rsid w:val="00EF6A6B"/>
    <w:rsid w:val="00EF6A77"/>
    <w:rsid w:val="00EF6AC0"/>
    <w:rsid w:val="00EF6AE2"/>
    <w:rsid w:val="00EF6B5F"/>
    <w:rsid w:val="00EF6B6E"/>
    <w:rsid w:val="00EF6BAE"/>
    <w:rsid w:val="00EF6BFB"/>
    <w:rsid w:val="00EF6C12"/>
    <w:rsid w:val="00EF6C33"/>
    <w:rsid w:val="00EF6CD3"/>
    <w:rsid w:val="00EF6D01"/>
    <w:rsid w:val="00EF6D57"/>
    <w:rsid w:val="00EF6D5F"/>
    <w:rsid w:val="00EF6E60"/>
    <w:rsid w:val="00EF6F6F"/>
    <w:rsid w:val="00EF6FD4"/>
    <w:rsid w:val="00EF6FEC"/>
    <w:rsid w:val="00EF7044"/>
    <w:rsid w:val="00EF70DE"/>
    <w:rsid w:val="00EF7100"/>
    <w:rsid w:val="00EF71DC"/>
    <w:rsid w:val="00EF71F1"/>
    <w:rsid w:val="00EF71F4"/>
    <w:rsid w:val="00EF7255"/>
    <w:rsid w:val="00EF728C"/>
    <w:rsid w:val="00EF7339"/>
    <w:rsid w:val="00EF7384"/>
    <w:rsid w:val="00EF75A5"/>
    <w:rsid w:val="00EF75B0"/>
    <w:rsid w:val="00EF75BE"/>
    <w:rsid w:val="00EF7642"/>
    <w:rsid w:val="00EF76C7"/>
    <w:rsid w:val="00EF7787"/>
    <w:rsid w:val="00EF779B"/>
    <w:rsid w:val="00EF77FB"/>
    <w:rsid w:val="00EF7804"/>
    <w:rsid w:val="00EF780B"/>
    <w:rsid w:val="00EF7863"/>
    <w:rsid w:val="00EF78FC"/>
    <w:rsid w:val="00EF798A"/>
    <w:rsid w:val="00EF79C8"/>
    <w:rsid w:val="00EF7A32"/>
    <w:rsid w:val="00EF7B93"/>
    <w:rsid w:val="00EF7BD5"/>
    <w:rsid w:val="00EF7CC4"/>
    <w:rsid w:val="00EF7CF2"/>
    <w:rsid w:val="00EF7D9D"/>
    <w:rsid w:val="00EF7E4F"/>
    <w:rsid w:val="00EF7E89"/>
    <w:rsid w:val="00EF7EA4"/>
    <w:rsid w:val="00EF7FD4"/>
    <w:rsid w:val="00EF7FD7"/>
    <w:rsid w:val="00F0000C"/>
    <w:rsid w:val="00F00013"/>
    <w:rsid w:val="00F00034"/>
    <w:rsid w:val="00F00060"/>
    <w:rsid w:val="00F000F2"/>
    <w:rsid w:val="00F000F3"/>
    <w:rsid w:val="00F00123"/>
    <w:rsid w:val="00F00156"/>
    <w:rsid w:val="00F0026C"/>
    <w:rsid w:val="00F0032D"/>
    <w:rsid w:val="00F00382"/>
    <w:rsid w:val="00F00456"/>
    <w:rsid w:val="00F00485"/>
    <w:rsid w:val="00F004C0"/>
    <w:rsid w:val="00F004D7"/>
    <w:rsid w:val="00F005FC"/>
    <w:rsid w:val="00F00627"/>
    <w:rsid w:val="00F0078B"/>
    <w:rsid w:val="00F007C6"/>
    <w:rsid w:val="00F007F8"/>
    <w:rsid w:val="00F00814"/>
    <w:rsid w:val="00F0082E"/>
    <w:rsid w:val="00F00884"/>
    <w:rsid w:val="00F00896"/>
    <w:rsid w:val="00F008A5"/>
    <w:rsid w:val="00F00909"/>
    <w:rsid w:val="00F00950"/>
    <w:rsid w:val="00F00970"/>
    <w:rsid w:val="00F00A80"/>
    <w:rsid w:val="00F00ABC"/>
    <w:rsid w:val="00F00AC1"/>
    <w:rsid w:val="00F00B1C"/>
    <w:rsid w:val="00F00B29"/>
    <w:rsid w:val="00F00B6F"/>
    <w:rsid w:val="00F00BD1"/>
    <w:rsid w:val="00F00BD9"/>
    <w:rsid w:val="00F00BDE"/>
    <w:rsid w:val="00F00C8F"/>
    <w:rsid w:val="00F00D50"/>
    <w:rsid w:val="00F00D53"/>
    <w:rsid w:val="00F00D56"/>
    <w:rsid w:val="00F00DC5"/>
    <w:rsid w:val="00F00DE2"/>
    <w:rsid w:val="00F00E4D"/>
    <w:rsid w:val="00F00FCC"/>
    <w:rsid w:val="00F00FF9"/>
    <w:rsid w:val="00F01023"/>
    <w:rsid w:val="00F010A3"/>
    <w:rsid w:val="00F01100"/>
    <w:rsid w:val="00F0111A"/>
    <w:rsid w:val="00F01149"/>
    <w:rsid w:val="00F011C8"/>
    <w:rsid w:val="00F0122B"/>
    <w:rsid w:val="00F01239"/>
    <w:rsid w:val="00F0123B"/>
    <w:rsid w:val="00F0124B"/>
    <w:rsid w:val="00F0125E"/>
    <w:rsid w:val="00F01396"/>
    <w:rsid w:val="00F0150D"/>
    <w:rsid w:val="00F015CA"/>
    <w:rsid w:val="00F0164A"/>
    <w:rsid w:val="00F01686"/>
    <w:rsid w:val="00F016D9"/>
    <w:rsid w:val="00F01753"/>
    <w:rsid w:val="00F0176E"/>
    <w:rsid w:val="00F01791"/>
    <w:rsid w:val="00F0183A"/>
    <w:rsid w:val="00F01848"/>
    <w:rsid w:val="00F018EF"/>
    <w:rsid w:val="00F01989"/>
    <w:rsid w:val="00F019EB"/>
    <w:rsid w:val="00F01A37"/>
    <w:rsid w:val="00F01B24"/>
    <w:rsid w:val="00F01B89"/>
    <w:rsid w:val="00F01BCE"/>
    <w:rsid w:val="00F01BDE"/>
    <w:rsid w:val="00F01BFD"/>
    <w:rsid w:val="00F01C0F"/>
    <w:rsid w:val="00F01C40"/>
    <w:rsid w:val="00F01CA9"/>
    <w:rsid w:val="00F01D0A"/>
    <w:rsid w:val="00F01E61"/>
    <w:rsid w:val="00F01E9F"/>
    <w:rsid w:val="00F01EA1"/>
    <w:rsid w:val="00F01F2C"/>
    <w:rsid w:val="00F01F6E"/>
    <w:rsid w:val="00F02018"/>
    <w:rsid w:val="00F020C5"/>
    <w:rsid w:val="00F020F0"/>
    <w:rsid w:val="00F02202"/>
    <w:rsid w:val="00F022F4"/>
    <w:rsid w:val="00F02303"/>
    <w:rsid w:val="00F0232A"/>
    <w:rsid w:val="00F0232B"/>
    <w:rsid w:val="00F0237A"/>
    <w:rsid w:val="00F023AB"/>
    <w:rsid w:val="00F02424"/>
    <w:rsid w:val="00F02491"/>
    <w:rsid w:val="00F0249E"/>
    <w:rsid w:val="00F0257C"/>
    <w:rsid w:val="00F025BA"/>
    <w:rsid w:val="00F025CC"/>
    <w:rsid w:val="00F025F0"/>
    <w:rsid w:val="00F02732"/>
    <w:rsid w:val="00F02752"/>
    <w:rsid w:val="00F0275B"/>
    <w:rsid w:val="00F027CF"/>
    <w:rsid w:val="00F027DF"/>
    <w:rsid w:val="00F02890"/>
    <w:rsid w:val="00F028A7"/>
    <w:rsid w:val="00F028D4"/>
    <w:rsid w:val="00F0295F"/>
    <w:rsid w:val="00F02A0D"/>
    <w:rsid w:val="00F02A88"/>
    <w:rsid w:val="00F02AAD"/>
    <w:rsid w:val="00F02AD3"/>
    <w:rsid w:val="00F02AF0"/>
    <w:rsid w:val="00F02B3F"/>
    <w:rsid w:val="00F02B4B"/>
    <w:rsid w:val="00F02B98"/>
    <w:rsid w:val="00F02BE7"/>
    <w:rsid w:val="00F02C7A"/>
    <w:rsid w:val="00F02C97"/>
    <w:rsid w:val="00F02DAD"/>
    <w:rsid w:val="00F02EB9"/>
    <w:rsid w:val="00F02EEA"/>
    <w:rsid w:val="00F02F0A"/>
    <w:rsid w:val="00F02F60"/>
    <w:rsid w:val="00F03080"/>
    <w:rsid w:val="00F030A8"/>
    <w:rsid w:val="00F031AF"/>
    <w:rsid w:val="00F031BF"/>
    <w:rsid w:val="00F03278"/>
    <w:rsid w:val="00F032D3"/>
    <w:rsid w:val="00F032F2"/>
    <w:rsid w:val="00F03458"/>
    <w:rsid w:val="00F034BB"/>
    <w:rsid w:val="00F03519"/>
    <w:rsid w:val="00F035AA"/>
    <w:rsid w:val="00F035D4"/>
    <w:rsid w:val="00F036F2"/>
    <w:rsid w:val="00F03717"/>
    <w:rsid w:val="00F03745"/>
    <w:rsid w:val="00F03752"/>
    <w:rsid w:val="00F0379B"/>
    <w:rsid w:val="00F037AB"/>
    <w:rsid w:val="00F0385C"/>
    <w:rsid w:val="00F03866"/>
    <w:rsid w:val="00F0387D"/>
    <w:rsid w:val="00F0399A"/>
    <w:rsid w:val="00F03A34"/>
    <w:rsid w:val="00F03A53"/>
    <w:rsid w:val="00F03AF4"/>
    <w:rsid w:val="00F03B04"/>
    <w:rsid w:val="00F03B2C"/>
    <w:rsid w:val="00F03B7D"/>
    <w:rsid w:val="00F03BB7"/>
    <w:rsid w:val="00F03BB9"/>
    <w:rsid w:val="00F03BD9"/>
    <w:rsid w:val="00F03BED"/>
    <w:rsid w:val="00F03C15"/>
    <w:rsid w:val="00F03C47"/>
    <w:rsid w:val="00F03C88"/>
    <w:rsid w:val="00F03CB0"/>
    <w:rsid w:val="00F03CE8"/>
    <w:rsid w:val="00F03CEA"/>
    <w:rsid w:val="00F03D78"/>
    <w:rsid w:val="00F03D7F"/>
    <w:rsid w:val="00F03DB8"/>
    <w:rsid w:val="00F03E96"/>
    <w:rsid w:val="00F03EC1"/>
    <w:rsid w:val="00F03ED5"/>
    <w:rsid w:val="00F03F9A"/>
    <w:rsid w:val="00F04037"/>
    <w:rsid w:val="00F04040"/>
    <w:rsid w:val="00F04059"/>
    <w:rsid w:val="00F04070"/>
    <w:rsid w:val="00F0411F"/>
    <w:rsid w:val="00F04124"/>
    <w:rsid w:val="00F04254"/>
    <w:rsid w:val="00F0431C"/>
    <w:rsid w:val="00F04345"/>
    <w:rsid w:val="00F04386"/>
    <w:rsid w:val="00F043C0"/>
    <w:rsid w:val="00F043D1"/>
    <w:rsid w:val="00F04431"/>
    <w:rsid w:val="00F0448C"/>
    <w:rsid w:val="00F044D7"/>
    <w:rsid w:val="00F0457C"/>
    <w:rsid w:val="00F04696"/>
    <w:rsid w:val="00F046E4"/>
    <w:rsid w:val="00F0472E"/>
    <w:rsid w:val="00F04796"/>
    <w:rsid w:val="00F047C8"/>
    <w:rsid w:val="00F047CD"/>
    <w:rsid w:val="00F047EE"/>
    <w:rsid w:val="00F04800"/>
    <w:rsid w:val="00F04813"/>
    <w:rsid w:val="00F048C8"/>
    <w:rsid w:val="00F048FB"/>
    <w:rsid w:val="00F0499A"/>
    <w:rsid w:val="00F049F4"/>
    <w:rsid w:val="00F04A8B"/>
    <w:rsid w:val="00F04BE5"/>
    <w:rsid w:val="00F04C6F"/>
    <w:rsid w:val="00F04C7A"/>
    <w:rsid w:val="00F04CBE"/>
    <w:rsid w:val="00F04CC5"/>
    <w:rsid w:val="00F04D1C"/>
    <w:rsid w:val="00F04D24"/>
    <w:rsid w:val="00F04D6A"/>
    <w:rsid w:val="00F04D7E"/>
    <w:rsid w:val="00F04E62"/>
    <w:rsid w:val="00F04E80"/>
    <w:rsid w:val="00F04E83"/>
    <w:rsid w:val="00F04EB7"/>
    <w:rsid w:val="00F04F5D"/>
    <w:rsid w:val="00F05019"/>
    <w:rsid w:val="00F05035"/>
    <w:rsid w:val="00F050CE"/>
    <w:rsid w:val="00F0510B"/>
    <w:rsid w:val="00F05147"/>
    <w:rsid w:val="00F05273"/>
    <w:rsid w:val="00F052B4"/>
    <w:rsid w:val="00F05324"/>
    <w:rsid w:val="00F05379"/>
    <w:rsid w:val="00F053E2"/>
    <w:rsid w:val="00F05431"/>
    <w:rsid w:val="00F05466"/>
    <w:rsid w:val="00F054E5"/>
    <w:rsid w:val="00F055E1"/>
    <w:rsid w:val="00F05614"/>
    <w:rsid w:val="00F0565C"/>
    <w:rsid w:val="00F05690"/>
    <w:rsid w:val="00F0575D"/>
    <w:rsid w:val="00F0578F"/>
    <w:rsid w:val="00F057B9"/>
    <w:rsid w:val="00F057DE"/>
    <w:rsid w:val="00F05886"/>
    <w:rsid w:val="00F05888"/>
    <w:rsid w:val="00F05960"/>
    <w:rsid w:val="00F05985"/>
    <w:rsid w:val="00F05A11"/>
    <w:rsid w:val="00F05A12"/>
    <w:rsid w:val="00F05A84"/>
    <w:rsid w:val="00F05A8F"/>
    <w:rsid w:val="00F05AFA"/>
    <w:rsid w:val="00F05B85"/>
    <w:rsid w:val="00F05C95"/>
    <w:rsid w:val="00F05CA9"/>
    <w:rsid w:val="00F05DD3"/>
    <w:rsid w:val="00F05DDD"/>
    <w:rsid w:val="00F05E16"/>
    <w:rsid w:val="00F05E5C"/>
    <w:rsid w:val="00F05E80"/>
    <w:rsid w:val="00F05EEC"/>
    <w:rsid w:val="00F05EF6"/>
    <w:rsid w:val="00F05F41"/>
    <w:rsid w:val="00F05F8A"/>
    <w:rsid w:val="00F05FE3"/>
    <w:rsid w:val="00F060CF"/>
    <w:rsid w:val="00F060D6"/>
    <w:rsid w:val="00F060EA"/>
    <w:rsid w:val="00F06326"/>
    <w:rsid w:val="00F0632F"/>
    <w:rsid w:val="00F0633C"/>
    <w:rsid w:val="00F06372"/>
    <w:rsid w:val="00F063FA"/>
    <w:rsid w:val="00F0644A"/>
    <w:rsid w:val="00F0654E"/>
    <w:rsid w:val="00F065D7"/>
    <w:rsid w:val="00F0664E"/>
    <w:rsid w:val="00F0672D"/>
    <w:rsid w:val="00F06779"/>
    <w:rsid w:val="00F067A8"/>
    <w:rsid w:val="00F067C1"/>
    <w:rsid w:val="00F067E0"/>
    <w:rsid w:val="00F0681E"/>
    <w:rsid w:val="00F0689B"/>
    <w:rsid w:val="00F068E6"/>
    <w:rsid w:val="00F0698B"/>
    <w:rsid w:val="00F0699C"/>
    <w:rsid w:val="00F06A18"/>
    <w:rsid w:val="00F06AEF"/>
    <w:rsid w:val="00F06B36"/>
    <w:rsid w:val="00F06B9F"/>
    <w:rsid w:val="00F06BD8"/>
    <w:rsid w:val="00F06BFB"/>
    <w:rsid w:val="00F06D54"/>
    <w:rsid w:val="00F06DC5"/>
    <w:rsid w:val="00F06DEF"/>
    <w:rsid w:val="00F06EDD"/>
    <w:rsid w:val="00F06F1B"/>
    <w:rsid w:val="00F07049"/>
    <w:rsid w:val="00F07084"/>
    <w:rsid w:val="00F0708C"/>
    <w:rsid w:val="00F070AF"/>
    <w:rsid w:val="00F07191"/>
    <w:rsid w:val="00F07233"/>
    <w:rsid w:val="00F07299"/>
    <w:rsid w:val="00F072B1"/>
    <w:rsid w:val="00F072E9"/>
    <w:rsid w:val="00F0735E"/>
    <w:rsid w:val="00F07408"/>
    <w:rsid w:val="00F07411"/>
    <w:rsid w:val="00F07422"/>
    <w:rsid w:val="00F074E4"/>
    <w:rsid w:val="00F07510"/>
    <w:rsid w:val="00F07532"/>
    <w:rsid w:val="00F07554"/>
    <w:rsid w:val="00F075BE"/>
    <w:rsid w:val="00F0763B"/>
    <w:rsid w:val="00F076EE"/>
    <w:rsid w:val="00F07754"/>
    <w:rsid w:val="00F077AF"/>
    <w:rsid w:val="00F07912"/>
    <w:rsid w:val="00F07A22"/>
    <w:rsid w:val="00F07A25"/>
    <w:rsid w:val="00F07A40"/>
    <w:rsid w:val="00F07A9D"/>
    <w:rsid w:val="00F07B75"/>
    <w:rsid w:val="00F07B8E"/>
    <w:rsid w:val="00F07BD9"/>
    <w:rsid w:val="00F07C02"/>
    <w:rsid w:val="00F07CB3"/>
    <w:rsid w:val="00F07CB5"/>
    <w:rsid w:val="00F07D11"/>
    <w:rsid w:val="00F07D13"/>
    <w:rsid w:val="00F07D28"/>
    <w:rsid w:val="00F07D4C"/>
    <w:rsid w:val="00F07DC5"/>
    <w:rsid w:val="00F07ECF"/>
    <w:rsid w:val="00F07F00"/>
    <w:rsid w:val="00F07F2B"/>
    <w:rsid w:val="00F07FBC"/>
    <w:rsid w:val="00F10007"/>
    <w:rsid w:val="00F10015"/>
    <w:rsid w:val="00F100C5"/>
    <w:rsid w:val="00F10179"/>
    <w:rsid w:val="00F101E0"/>
    <w:rsid w:val="00F101EA"/>
    <w:rsid w:val="00F101F9"/>
    <w:rsid w:val="00F10226"/>
    <w:rsid w:val="00F1029C"/>
    <w:rsid w:val="00F102CD"/>
    <w:rsid w:val="00F102ED"/>
    <w:rsid w:val="00F1030C"/>
    <w:rsid w:val="00F1036C"/>
    <w:rsid w:val="00F103A5"/>
    <w:rsid w:val="00F104A7"/>
    <w:rsid w:val="00F1052A"/>
    <w:rsid w:val="00F10545"/>
    <w:rsid w:val="00F1055E"/>
    <w:rsid w:val="00F105A2"/>
    <w:rsid w:val="00F10696"/>
    <w:rsid w:val="00F106A1"/>
    <w:rsid w:val="00F106B1"/>
    <w:rsid w:val="00F106DF"/>
    <w:rsid w:val="00F10718"/>
    <w:rsid w:val="00F107BB"/>
    <w:rsid w:val="00F10961"/>
    <w:rsid w:val="00F1098F"/>
    <w:rsid w:val="00F10A73"/>
    <w:rsid w:val="00F10AB4"/>
    <w:rsid w:val="00F10B15"/>
    <w:rsid w:val="00F10B78"/>
    <w:rsid w:val="00F10B9A"/>
    <w:rsid w:val="00F10BEE"/>
    <w:rsid w:val="00F10C9D"/>
    <w:rsid w:val="00F10CD9"/>
    <w:rsid w:val="00F10D6C"/>
    <w:rsid w:val="00F10EB8"/>
    <w:rsid w:val="00F10EC0"/>
    <w:rsid w:val="00F10EDF"/>
    <w:rsid w:val="00F10F32"/>
    <w:rsid w:val="00F10FD0"/>
    <w:rsid w:val="00F11107"/>
    <w:rsid w:val="00F111C3"/>
    <w:rsid w:val="00F11204"/>
    <w:rsid w:val="00F1125B"/>
    <w:rsid w:val="00F1129D"/>
    <w:rsid w:val="00F112C3"/>
    <w:rsid w:val="00F112C4"/>
    <w:rsid w:val="00F113A1"/>
    <w:rsid w:val="00F113BD"/>
    <w:rsid w:val="00F1140E"/>
    <w:rsid w:val="00F11461"/>
    <w:rsid w:val="00F114E2"/>
    <w:rsid w:val="00F11513"/>
    <w:rsid w:val="00F115C2"/>
    <w:rsid w:val="00F11655"/>
    <w:rsid w:val="00F1165C"/>
    <w:rsid w:val="00F1167D"/>
    <w:rsid w:val="00F11696"/>
    <w:rsid w:val="00F1172B"/>
    <w:rsid w:val="00F11747"/>
    <w:rsid w:val="00F11764"/>
    <w:rsid w:val="00F117B3"/>
    <w:rsid w:val="00F11828"/>
    <w:rsid w:val="00F11897"/>
    <w:rsid w:val="00F11906"/>
    <w:rsid w:val="00F1192D"/>
    <w:rsid w:val="00F11A5E"/>
    <w:rsid w:val="00F11AA2"/>
    <w:rsid w:val="00F11AB6"/>
    <w:rsid w:val="00F11ABF"/>
    <w:rsid w:val="00F11B6D"/>
    <w:rsid w:val="00F11C35"/>
    <w:rsid w:val="00F11C89"/>
    <w:rsid w:val="00F11CA7"/>
    <w:rsid w:val="00F11CAF"/>
    <w:rsid w:val="00F11CEC"/>
    <w:rsid w:val="00F11D6D"/>
    <w:rsid w:val="00F11E0D"/>
    <w:rsid w:val="00F11E71"/>
    <w:rsid w:val="00F11F85"/>
    <w:rsid w:val="00F1211B"/>
    <w:rsid w:val="00F1217E"/>
    <w:rsid w:val="00F12187"/>
    <w:rsid w:val="00F122B8"/>
    <w:rsid w:val="00F1235F"/>
    <w:rsid w:val="00F12384"/>
    <w:rsid w:val="00F12394"/>
    <w:rsid w:val="00F123AC"/>
    <w:rsid w:val="00F12416"/>
    <w:rsid w:val="00F12433"/>
    <w:rsid w:val="00F12454"/>
    <w:rsid w:val="00F12546"/>
    <w:rsid w:val="00F125E2"/>
    <w:rsid w:val="00F1266F"/>
    <w:rsid w:val="00F126BC"/>
    <w:rsid w:val="00F12731"/>
    <w:rsid w:val="00F12739"/>
    <w:rsid w:val="00F12760"/>
    <w:rsid w:val="00F12821"/>
    <w:rsid w:val="00F12870"/>
    <w:rsid w:val="00F12956"/>
    <w:rsid w:val="00F1296C"/>
    <w:rsid w:val="00F12973"/>
    <w:rsid w:val="00F12A86"/>
    <w:rsid w:val="00F12AE0"/>
    <w:rsid w:val="00F12B06"/>
    <w:rsid w:val="00F12B88"/>
    <w:rsid w:val="00F12CE1"/>
    <w:rsid w:val="00F12CF4"/>
    <w:rsid w:val="00F12D21"/>
    <w:rsid w:val="00F12DD4"/>
    <w:rsid w:val="00F12DD8"/>
    <w:rsid w:val="00F12E2A"/>
    <w:rsid w:val="00F12EF9"/>
    <w:rsid w:val="00F12F0D"/>
    <w:rsid w:val="00F12F1E"/>
    <w:rsid w:val="00F12F41"/>
    <w:rsid w:val="00F12F68"/>
    <w:rsid w:val="00F12FB9"/>
    <w:rsid w:val="00F13040"/>
    <w:rsid w:val="00F13045"/>
    <w:rsid w:val="00F1305A"/>
    <w:rsid w:val="00F13131"/>
    <w:rsid w:val="00F1325B"/>
    <w:rsid w:val="00F13279"/>
    <w:rsid w:val="00F13284"/>
    <w:rsid w:val="00F1328E"/>
    <w:rsid w:val="00F132DC"/>
    <w:rsid w:val="00F1339A"/>
    <w:rsid w:val="00F133B0"/>
    <w:rsid w:val="00F13475"/>
    <w:rsid w:val="00F134F1"/>
    <w:rsid w:val="00F13503"/>
    <w:rsid w:val="00F135C1"/>
    <w:rsid w:val="00F135E0"/>
    <w:rsid w:val="00F13607"/>
    <w:rsid w:val="00F13614"/>
    <w:rsid w:val="00F13628"/>
    <w:rsid w:val="00F13680"/>
    <w:rsid w:val="00F13684"/>
    <w:rsid w:val="00F13808"/>
    <w:rsid w:val="00F13815"/>
    <w:rsid w:val="00F13873"/>
    <w:rsid w:val="00F138C4"/>
    <w:rsid w:val="00F138E0"/>
    <w:rsid w:val="00F13935"/>
    <w:rsid w:val="00F13953"/>
    <w:rsid w:val="00F13A51"/>
    <w:rsid w:val="00F13A80"/>
    <w:rsid w:val="00F13A87"/>
    <w:rsid w:val="00F13ACF"/>
    <w:rsid w:val="00F13AE6"/>
    <w:rsid w:val="00F13AE7"/>
    <w:rsid w:val="00F13B09"/>
    <w:rsid w:val="00F13B6A"/>
    <w:rsid w:val="00F13B76"/>
    <w:rsid w:val="00F13C36"/>
    <w:rsid w:val="00F13C37"/>
    <w:rsid w:val="00F13CDF"/>
    <w:rsid w:val="00F13D5E"/>
    <w:rsid w:val="00F13DE5"/>
    <w:rsid w:val="00F13DFA"/>
    <w:rsid w:val="00F13E4B"/>
    <w:rsid w:val="00F13E96"/>
    <w:rsid w:val="00F13F60"/>
    <w:rsid w:val="00F13FAE"/>
    <w:rsid w:val="00F13FE0"/>
    <w:rsid w:val="00F13FFB"/>
    <w:rsid w:val="00F13FFE"/>
    <w:rsid w:val="00F14001"/>
    <w:rsid w:val="00F14145"/>
    <w:rsid w:val="00F14147"/>
    <w:rsid w:val="00F141F1"/>
    <w:rsid w:val="00F14275"/>
    <w:rsid w:val="00F1428B"/>
    <w:rsid w:val="00F14322"/>
    <w:rsid w:val="00F14358"/>
    <w:rsid w:val="00F14385"/>
    <w:rsid w:val="00F143C0"/>
    <w:rsid w:val="00F14550"/>
    <w:rsid w:val="00F146FF"/>
    <w:rsid w:val="00F14718"/>
    <w:rsid w:val="00F147D4"/>
    <w:rsid w:val="00F1482B"/>
    <w:rsid w:val="00F1484E"/>
    <w:rsid w:val="00F1489A"/>
    <w:rsid w:val="00F14967"/>
    <w:rsid w:val="00F149B8"/>
    <w:rsid w:val="00F14B18"/>
    <w:rsid w:val="00F14CC0"/>
    <w:rsid w:val="00F14DCF"/>
    <w:rsid w:val="00F14E0A"/>
    <w:rsid w:val="00F14E8D"/>
    <w:rsid w:val="00F14F57"/>
    <w:rsid w:val="00F14F98"/>
    <w:rsid w:val="00F14FD3"/>
    <w:rsid w:val="00F15075"/>
    <w:rsid w:val="00F15121"/>
    <w:rsid w:val="00F151A8"/>
    <w:rsid w:val="00F151C2"/>
    <w:rsid w:val="00F15255"/>
    <w:rsid w:val="00F152C5"/>
    <w:rsid w:val="00F152F4"/>
    <w:rsid w:val="00F1531F"/>
    <w:rsid w:val="00F1543E"/>
    <w:rsid w:val="00F155A2"/>
    <w:rsid w:val="00F156F4"/>
    <w:rsid w:val="00F156FC"/>
    <w:rsid w:val="00F15747"/>
    <w:rsid w:val="00F157BE"/>
    <w:rsid w:val="00F1583A"/>
    <w:rsid w:val="00F1584B"/>
    <w:rsid w:val="00F15920"/>
    <w:rsid w:val="00F15941"/>
    <w:rsid w:val="00F15974"/>
    <w:rsid w:val="00F15AA7"/>
    <w:rsid w:val="00F15B01"/>
    <w:rsid w:val="00F15B10"/>
    <w:rsid w:val="00F15B20"/>
    <w:rsid w:val="00F15B2B"/>
    <w:rsid w:val="00F15C35"/>
    <w:rsid w:val="00F15C3D"/>
    <w:rsid w:val="00F15D66"/>
    <w:rsid w:val="00F15D94"/>
    <w:rsid w:val="00F15DA6"/>
    <w:rsid w:val="00F15E30"/>
    <w:rsid w:val="00F15E45"/>
    <w:rsid w:val="00F15E60"/>
    <w:rsid w:val="00F15EF2"/>
    <w:rsid w:val="00F15F2E"/>
    <w:rsid w:val="00F15F74"/>
    <w:rsid w:val="00F15F89"/>
    <w:rsid w:val="00F16004"/>
    <w:rsid w:val="00F1606D"/>
    <w:rsid w:val="00F161ED"/>
    <w:rsid w:val="00F16205"/>
    <w:rsid w:val="00F162FA"/>
    <w:rsid w:val="00F163BE"/>
    <w:rsid w:val="00F164F3"/>
    <w:rsid w:val="00F1664A"/>
    <w:rsid w:val="00F166C9"/>
    <w:rsid w:val="00F166CF"/>
    <w:rsid w:val="00F16724"/>
    <w:rsid w:val="00F1676C"/>
    <w:rsid w:val="00F16824"/>
    <w:rsid w:val="00F169A8"/>
    <w:rsid w:val="00F169B1"/>
    <w:rsid w:val="00F16AAB"/>
    <w:rsid w:val="00F16AF3"/>
    <w:rsid w:val="00F16B89"/>
    <w:rsid w:val="00F16BCA"/>
    <w:rsid w:val="00F16C4D"/>
    <w:rsid w:val="00F16C5F"/>
    <w:rsid w:val="00F16DFD"/>
    <w:rsid w:val="00F16E0C"/>
    <w:rsid w:val="00F16EA2"/>
    <w:rsid w:val="00F16F3C"/>
    <w:rsid w:val="00F16F3F"/>
    <w:rsid w:val="00F17005"/>
    <w:rsid w:val="00F17027"/>
    <w:rsid w:val="00F1710D"/>
    <w:rsid w:val="00F1718F"/>
    <w:rsid w:val="00F171CE"/>
    <w:rsid w:val="00F17202"/>
    <w:rsid w:val="00F173B5"/>
    <w:rsid w:val="00F17448"/>
    <w:rsid w:val="00F17461"/>
    <w:rsid w:val="00F174CE"/>
    <w:rsid w:val="00F174F7"/>
    <w:rsid w:val="00F17514"/>
    <w:rsid w:val="00F1755D"/>
    <w:rsid w:val="00F17571"/>
    <w:rsid w:val="00F175B1"/>
    <w:rsid w:val="00F175C0"/>
    <w:rsid w:val="00F17637"/>
    <w:rsid w:val="00F1768A"/>
    <w:rsid w:val="00F176C8"/>
    <w:rsid w:val="00F17719"/>
    <w:rsid w:val="00F1771F"/>
    <w:rsid w:val="00F1778B"/>
    <w:rsid w:val="00F177A2"/>
    <w:rsid w:val="00F1794B"/>
    <w:rsid w:val="00F179A4"/>
    <w:rsid w:val="00F179C6"/>
    <w:rsid w:val="00F17A02"/>
    <w:rsid w:val="00F17A32"/>
    <w:rsid w:val="00F17A86"/>
    <w:rsid w:val="00F17BC6"/>
    <w:rsid w:val="00F17BD2"/>
    <w:rsid w:val="00F17BE4"/>
    <w:rsid w:val="00F17E13"/>
    <w:rsid w:val="00F17E27"/>
    <w:rsid w:val="00F17E37"/>
    <w:rsid w:val="00F17E50"/>
    <w:rsid w:val="00F17EAE"/>
    <w:rsid w:val="00F17F43"/>
    <w:rsid w:val="00F17FFB"/>
    <w:rsid w:val="00F20085"/>
    <w:rsid w:val="00F20091"/>
    <w:rsid w:val="00F200C5"/>
    <w:rsid w:val="00F20118"/>
    <w:rsid w:val="00F2016F"/>
    <w:rsid w:val="00F20192"/>
    <w:rsid w:val="00F2032D"/>
    <w:rsid w:val="00F20364"/>
    <w:rsid w:val="00F2039D"/>
    <w:rsid w:val="00F203A5"/>
    <w:rsid w:val="00F203C1"/>
    <w:rsid w:val="00F2061A"/>
    <w:rsid w:val="00F2066E"/>
    <w:rsid w:val="00F206E6"/>
    <w:rsid w:val="00F20701"/>
    <w:rsid w:val="00F20702"/>
    <w:rsid w:val="00F20712"/>
    <w:rsid w:val="00F20719"/>
    <w:rsid w:val="00F2074D"/>
    <w:rsid w:val="00F207FF"/>
    <w:rsid w:val="00F2091A"/>
    <w:rsid w:val="00F20997"/>
    <w:rsid w:val="00F20A34"/>
    <w:rsid w:val="00F20A99"/>
    <w:rsid w:val="00F20B14"/>
    <w:rsid w:val="00F20B1E"/>
    <w:rsid w:val="00F20B7A"/>
    <w:rsid w:val="00F20BD0"/>
    <w:rsid w:val="00F20CBB"/>
    <w:rsid w:val="00F20CD9"/>
    <w:rsid w:val="00F20CED"/>
    <w:rsid w:val="00F20D3E"/>
    <w:rsid w:val="00F20DD2"/>
    <w:rsid w:val="00F20E95"/>
    <w:rsid w:val="00F20EFD"/>
    <w:rsid w:val="00F20FF5"/>
    <w:rsid w:val="00F21091"/>
    <w:rsid w:val="00F210FC"/>
    <w:rsid w:val="00F2111C"/>
    <w:rsid w:val="00F211E3"/>
    <w:rsid w:val="00F212C5"/>
    <w:rsid w:val="00F212CF"/>
    <w:rsid w:val="00F212D0"/>
    <w:rsid w:val="00F212D9"/>
    <w:rsid w:val="00F212F5"/>
    <w:rsid w:val="00F212FA"/>
    <w:rsid w:val="00F213B0"/>
    <w:rsid w:val="00F213E4"/>
    <w:rsid w:val="00F21438"/>
    <w:rsid w:val="00F21465"/>
    <w:rsid w:val="00F2153B"/>
    <w:rsid w:val="00F21769"/>
    <w:rsid w:val="00F2185C"/>
    <w:rsid w:val="00F2191F"/>
    <w:rsid w:val="00F2193C"/>
    <w:rsid w:val="00F21A2E"/>
    <w:rsid w:val="00F21B65"/>
    <w:rsid w:val="00F21C39"/>
    <w:rsid w:val="00F21C3B"/>
    <w:rsid w:val="00F21CCF"/>
    <w:rsid w:val="00F21D1C"/>
    <w:rsid w:val="00F21D59"/>
    <w:rsid w:val="00F21D5C"/>
    <w:rsid w:val="00F21D6C"/>
    <w:rsid w:val="00F21E9B"/>
    <w:rsid w:val="00F21F25"/>
    <w:rsid w:val="00F2207C"/>
    <w:rsid w:val="00F220AB"/>
    <w:rsid w:val="00F220D5"/>
    <w:rsid w:val="00F22112"/>
    <w:rsid w:val="00F22261"/>
    <w:rsid w:val="00F222DF"/>
    <w:rsid w:val="00F22325"/>
    <w:rsid w:val="00F2236F"/>
    <w:rsid w:val="00F223EB"/>
    <w:rsid w:val="00F223FB"/>
    <w:rsid w:val="00F223FF"/>
    <w:rsid w:val="00F224B0"/>
    <w:rsid w:val="00F22530"/>
    <w:rsid w:val="00F22566"/>
    <w:rsid w:val="00F22687"/>
    <w:rsid w:val="00F2269D"/>
    <w:rsid w:val="00F226D5"/>
    <w:rsid w:val="00F22713"/>
    <w:rsid w:val="00F2274D"/>
    <w:rsid w:val="00F22762"/>
    <w:rsid w:val="00F2281E"/>
    <w:rsid w:val="00F2289F"/>
    <w:rsid w:val="00F22931"/>
    <w:rsid w:val="00F2296A"/>
    <w:rsid w:val="00F2297A"/>
    <w:rsid w:val="00F22B41"/>
    <w:rsid w:val="00F22B6C"/>
    <w:rsid w:val="00F22BA8"/>
    <w:rsid w:val="00F22BCE"/>
    <w:rsid w:val="00F22BE9"/>
    <w:rsid w:val="00F22CFF"/>
    <w:rsid w:val="00F22D70"/>
    <w:rsid w:val="00F22D9D"/>
    <w:rsid w:val="00F22E3D"/>
    <w:rsid w:val="00F22EDC"/>
    <w:rsid w:val="00F230D3"/>
    <w:rsid w:val="00F23140"/>
    <w:rsid w:val="00F23151"/>
    <w:rsid w:val="00F231EF"/>
    <w:rsid w:val="00F23231"/>
    <w:rsid w:val="00F23265"/>
    <w:rsid w:val="00F23295"/>
    <w:rsid w:val="00F23414"/>
    <w:rsid w:val="00F23552"/>
    <w:rsid w:val="00F235AC"/>
    <w:rsid w:val="00F235CE"/>
    <w:rsid w:val="00F2361E"/>
    <w:rsid w:val="00F23723"/>
    <w:rsid w:val="00F237A2"/>
    <w:rsid w:val="00F237E7"/>
    <w:rsid w:val="00F238F2"/>
    <w:rsid w:val="00F23959"/>
    <w:rsid w:val="00F23991"/>
    <w:rsid w:val="00F239FC"/>
    <w:rsid w:val="00F23A25"/>
    <w:rsid w:val="00F23AE1"/>
    <w:rsid w:val="00F23B5E"/>
    <w:rsid w:val="00F23B7E"/>
    <w:rsid w:val="00F23C84"/>
    <w:rsid w:val="00F23CDD"/>
    <w:rsid w:val="00F23EB1"/>
    <w:rsid w:val="00F23ED8"/>
    <w:rsid w:val="00F23F1F"/>
    <w:rsid w:val="00F23F80"/>
    <w:rsid w:val="00F23F90"/>
    <w:rsid w:val="00F23F96"/>
    <w:rsid w:val="00F23FDA"/>
    <w:rsid w:val="00F24011"/>
    <w:rsid w:val="00F2402A"/>
    <w:rsid w:val="00F24031"/>
    <w:rsid w:val="00F24044"/>
    <w:rsid w:val="00F240B2"/>
    <w:rsid w:val="00F2429C"/>
    <w:rsid w:val="00F242B4"/>
    <w:rsid w:val="00F242DB"/>
    <w:rsid w:val="00F242ED"/>
    <w:rsid w:val="00F24349"/>
    <w:rsid w:val="00F2437E"/>
    <w:rsid w:val="00F243B7"/>
    <w:rsid w:val="00F2442A"/>
    <w:rsid w:val="00F24457"/>
    <w:rsid w:val="00F24518"/>
    <w:rsid w:val="00F2455C"/>
    <w:rsid w:val="00F24587"/>
    <w:rsid w:val="00F2459A"/>
    <w:rsid w:val="00F245B7"/>
    <w:rsid w:val="00F247A9"/>
    <w:rsid w:val="00F247D9"/>
    <w:rsid w:val="00F2482C"/>
    <w:rsid w:val="00F24836"/>
    <w:rsid w:val="00F24843"/>
    <w:rsid w:val="00F24852"/>
    <w:rsid w:val="00F24972"/>
    <w:rsid w:val="00F24A24"/>
    <w:rsid w:val="00F24AC7"/>
    <w:rsid w:val="00F24B1F"/>
    <w:rsid w:val="00F24B40"/>
    <w:rsid w:val="00F24BC6"/>
    <w:rsid w:val="00F24C7E"/>
    <w:rsid w:val="00F24D2C"/>
    <w:rsid w:val="00F24D8B"/>
    <w:rsid w:val="00F24FAA"/>
    <w:rsid w:val="00F2506E"/>
    <w:rsid w:val="00F25097"/>
    <w:rsid w:val="00F251AB"/>
    <w:rsid w:val="00F2527A"/>
    <w:rsid w:val="00F25475"/>
    <w:rsid w:val="00F25495"/>
    <w:rsid w:val="00F25521"/>
    <w:rsid w:val="00F25537"/>
    <w:rsid w:val="00F25550"/>
    <w:rsid w:val="00F2568C"/>
    <w:rsid w:val="00F256A0"/>
    <w:rsid w:val="00F256EB"/>
    <w:rsid w:val="00F25726"/>
    <w:rsid w:val="00F257C8"/>
    <w:rsid w:val="00F2594A"/>
    <w:rsid w:val="00F2594F"/>
    <w:rsid w:val="00F2599C"/>
    <w:rsid w:val="00F25A74"/>
    <w:rsid w:val="00F25AA5"/>
    <w:rsid w:val="00F25B2B"/>
    <w:rsid w:val="00F25BE2"/>
    <w:rsid w:val="00F25C00"/>
    <w:rsid w:val="00F25C6B"/>
    <w:rsid w:val="00F25D36"/>
    <w:rsid w:val="00F25D49"/>
    <w:rsid w:val="00F25D79"/>
    <w:rsid w:val="00F25DC4"/>
    <w:rsid w:val="00F25E5E"/>
    <w:rsid w:val="00F25EBB"/>
    <w:rsid w:val="00F25EE8"/>
    <w:rsid w:val="00F25F3A"/>
    <w:rsid w:val="00F25F8B"/>
    <w:rsid w:val="00F25FAA"/>
    <w:rsid w:val="00F25FD2"/>
    <w:rsid w:val="00F2603A"/>
    <w:rsid w:val="00F2609A"/>
    <w:rsid w:val="00F260B8"/>
    <w:rsid w:val="00F2614C"/>
    <w:rsid w:val="00F2619E"/>
    <w:rsid w:val="00F261C8"/>
    <w:rsid w:val="00F261E3"/>
    <w:rsid w:val="00F26256"/>
    <w:rsid w:val="00F26296"/>
    <w:rsid w:val="00F2634A"/>
    <w:rsid w:val="00F26394"/>
    <w:rsid w:val="00F263E7"/>
    <w:rsid w:val="00F2653E"/>
    <w:rsid w:val="00F265BD"/>
    <w:rsid w:val="00F265EF"/>
    <w:rsid w:val="00F26673"/>
    <w:rsid w:val="00F2669C"/>
    <w:rsid w:val="00F2669F"/>
    <w:rsid w:val="00F266D7"/>
    <w:rsid w:val="00F267D7"/>
    <w:rsid w:val="00F26835"/>
    <w:rsid w:val="00F26838"/>
    <w:rsid w:val="00F26841"/>
    <w:rsid w:val="00F26844"/>
    <w:rsid w:val="00F2686F"/>
    <w:rsid w:val="00F26892"/>
    <w:rsid w:val="00F268AD"/>
    <w:rsid w:val="00F26916"/>
    <w:rsid w:val="00F2695A"/>
    <w:rsid w:val="00F2699E"/>
    <w:rsid w:val="00F26A04"/>
    <w:rsid w:val="00F26B79"/>
    <w:rsid w:val="00F26BDD"/>
    <w:rsid w:val="00F26C86"/>
    <w:rsid w:val="00F26CB9"/>
    <w:rsid w:val="00F26CE7"/>
    <w:rsid w:val="00F26D07"/>
    <w:rsid w:val="00F26E02"/>
    <w:rsid w:val="00F26E34"/>
    <w:rsid w:val="00F26E42"/>
    <w:rsid w:val="00F26E44"/>
    <w:rsid w:val="00F26EF2"/>
    <w:rsid w:val="00F26F78"/>
    <w:rsid w:val="00F27005"/>
    <w:rsid w:val="00F2706A"/>
    <w:rsid w:val="00F27076"/>
    <w:rsid w:val="00F27080"/>
    <w:rsid w:val="00F27097"/>
    <w:rsid w:val="00F27101"/>
    <w:rsid w:val="00F27114"/>
    <w:rsid w:val="00F27155"/>
    <w:rsid w:val="00F2719F"/>
    <w:rsid w:val="00F27283"/>
    <w:rsid w:val="00F272B8"/>
    <w:rsid w:val="00F27334"/>
    <w:rsid w:val="00F2734E"/>
    <w:rsid w:val="00F27466"/>
    <w:rsid w:val="00F27488"/>
    <w:rsid w:val="00F27545"/>
    <w:rsid w:val="00F27549"/>
    <w:rsid w:val="00F2758F"/>
    <w:rsid w:val="00F275FD"/>
    <w:rsid w:val="00F27699"/>
    <w:rsid w:val="00F276E3"/>
    <w:rsid w:val="00F2772E"/>
    <w:rsid w:val="00F277FD"/>
    <w:rsid w:val="00F278DA"/>
    <w:rsid w:val="00F27A1B"/>
    <w:rsid w:val="00F27A1E"/>
    <w:rsid w:val="00F27A4B"/>
    <w:rsid w:val="00F27AEE"/>
    <w:rsid w:val="00F27AF4"/>
    <w:rsid w:val="00F27B4F"/>
    <w:rsid w:val="00F27BD7"/>
    <w:rsid w:val="00F27C5B"/>
    <w:rsid w:val="00F27D2F"/>
    <w:rsid w:val="00F27EBB"/>
    <w:rsid w:val="00F27F12"/>
    <w:rsid w:val="00F30079"/>
    <w:rsid w:val="00F300F9"/>
    <w:rsid w:val="00F3010A"/>
    <w:rsid w:val="00F301C9"/>
    <w:rsid w:val="00F302E1"/>
    <w:rsid w:val="00F302EE"/>
    <w:rsid w:val="00F30309"/>
    <w:rsid w:val="00F30366"/>
    <w:rsid w:val="00F30387"/>
    <w:rsid w:val="00F303C9"/>
    <w:rsid w:val="00F303D2"/>
    <w:rsid w:val="00F303EF"/>
    <w:rsid w:val="00F3047F"/>
    <w:rsid w:val="00F304DD"/>
    <w:rsid w:val="00F3053E"/>
    <w:rsid w:val="00F30593"/>
    <w:rsid w:val="00F305CD"/>
    <w:rsid w:val="00F30616"/>
    <w:rsid w:val="00F30691"/>
    <w:rsid w:val="00F306B2"/>
    <w:rsid w:val="00F307BC"/>
    <w:rsid w:val="00F307D4"/>
    <w:rsid w:val="00F30898"/>
    <w:rsid w:val="00F30942"/>
    <w:rsid w:val="00F309CA"/>
    <w:rsid w:val="00F30B75"/>
    <w:rsid w:val="00F30BBC"/>
    <w:rsid w:val="00F30CAA"/>
    <w:rsid w:val="00F30DB4"/>
    <w:rsid w:val="00F30E4E"/>
    <w:rsid w:val="00F30F6E"/>
    <w:rsid w:val="00F30F9A"/>
    <w:rsid w:val="00F311AE"/>
    <w:rsid w:val="00F3137A"/>
    <w:rsid w:val="00F313AC"/>
    <w:rsid w:val="00F313BC"/>
    <w:rsid w:val="00F31421"/>
    <w:rsid w:val="00F3145F"/>
    <w:rsid w:val="00F31469"/>
    <w:rsid w:val="00F3148B"/>
    <w:rsid w:val="00F3149A"/>
    <w:rsid w:val="00F314CF"/>
    <w:rsid w:val="00F31589"/>
    <w:rsid w:val="00F31642"/>
    <w:rsid w:val="00F316E9"/>
    <w:rsid w:val="00F31719"/>
    <w:rsid w:val="00F317AA"/>
    <w:rsid w:val="00F3184F"/>
    <w:rsid w:val="00F31895"/>
    <w:rsid w:val="00F318EC"/>
    <w:rsid w:val="00F3193A"/>
    <w:rsid w:val="00F31988"/>
    <w:rsid w:val="00F3198A"/>
    <w:rsid w:val="00F31A19"/>
    <w:rsid w:val="00F31A42"/>
    <w:rsid w:val="00F31A87"/>
    <w:rsid w:val="00F31A8F"/>
    <w:rsid w:val="00F31AA3"/>
    <w:rsid w:val="00F31AD2"/>
    <w:rsid w:val="00F31AD3"/>
    <w:rsid w:val="00F31B75"/>
    <w:rsid w:val="00F31B76"/>
    <w:rsid w:val="00F31C2F"/>
    <w:rsid w:val="00F31CBA"/>
    <w:rsid w:val="00F31CD2"/>
    <w:rsid w:val="00F31CD7"/>
    <w:rsid w:val="00F31D26"/>
    <w:rsid w:val="00F31E50"/>
    <w:rsid w:val="00F31E52"/>
    <w:rsid w:val="00F31ECC"/>
    <w:rsid w:val="00F31EE6"/>
    <w:rsid w:val="00F31F27"/>
    <w:rsid w:val="00F31F32"/>
    <w:rsid w:val="00F31F82"/>
    <w:rsid w:val="00F31F8E"/>
    <w:rsid w:val="00F31FBA"/>
    <w:rsid w:val="00F3208C"/>
    <w:rsid w:val="00F321EB"/>
    <w:rsid w:val="00F32213"/>
    <w:rsid w:val="00F323AB"/>
    <w:rsid w:val="00F323D4"/>
    <w:rsid w:val="00F32616"/>
    <w:rsid w:val="00F3265E"/>
    <w:rsid w:val="00F326C6"/>
    <w:rsid w:val="00F32716"/>
    <w:rsid w:val="00F3275A"/>
    <w:rsid w:val="00F327DF"/>
    <w:rsid w:val="00F327FE"/>
    <w:rsid w:val="00F328DF"/>
    <w:rsid w:val="00F32923"/>
    <w:rsid w:val="00F32997"/>
    <w:rsid w:val="00F32999"/>
    <w:rsid w:val="00F329F2"/>
    <w:rsid w:val="00F32A17"/>
    <w:rsid w:val="00F32A8A"/>
    <w:rsid w:val="00F32ADD"/>
    <w:rsid w:val="00F32AEB"/>
    <w:rsid w:val="00F32B82"/>
    <w:rsid w:val="00F32BB8"/>
    <w:rsid w:val="00F32D38"/>
    <w:rsid w:val="00F32D6E"/>
    <w:rsid w:val="00F32DC3"/>
    <w:rsid w:val="00F32E67"/>
    <w:rsid w:val="00F32E68"/>
    <w:rsid w:val="00F32EFC"/>
    <w:rsid w:val="00F32F40"/>
    <w:rsid w:val="00F32F49"/>
    <w:rsid w:val="00F330B9"/>
    <w:rsid w:val="00F33121"/>
    <w:rsid w:val="00F33137"/>
    <w:rsid w:val="00F3316D"/>
    <w:rsid w:val="00F33172"/>
    <w:rsid w:val="00F331C4"/>
    <w:rsid w:val="00F332B3"/>
    <w:rsid w:val="00F33308"/>
    <w:rsid w:val="00F333A3"/>
    <w:rsid w:val="00F33458"/>
    <w:rsid w:val="00F334AC"/>
    <w:rsid w:val="00F334B0"/>
    <w:rsid w:val="00F334F8"/>
    <w:rsid w:val="00F335CA"/>
    <w:rsid w:val="00F3361B"/>
    <w:rsid w:val="00F337CF"/>
    <w:rsid w:val="00F33885"/>
    <w:rsid w:val="00F33939"/>
    <w:rsid w:val="00F3396A"/>
    <w:rsid w:val="00F33984"/>
    <w:rsid w:val="00F33A36"/>
    <w:rsid w:val="00F33A93"/>
    <w:rsid w:val="00F33B62"/>
    <w:rsid w:val="00F33B6A"/>
    <w:rsid w:val="00F33C32"/>
    <w:rsid w:val="00F33C71"/>
    <w:rsid w:val="00F33CE9"/>
    <w:rsid w:val="00F33E5D"/>
    <w:rsid w:val="00F33EAC"/>
    <w:rsid w:val="00F33EDE"/>
    <w:rsid w:val="00F33F4C"/>
    <w:rsid w:val="00F3401E"/>
    <w:rsid w:val="00F34043"/>
    <w:rsid w:val="00F3412C"/>
    <w:rsid w:val="00F34213"/>
    <w:rsid w:val="00F3421D"/>
    <w:rsid w:val="00F34302"/>
    <w:rsid w:val="00F34344"/>
    <w:rsid w:val="00F344C1"/>
    <w:rsid w:val="00F345B1"/>
    <w:rsid w:val="00F34732"/>
    <w:rsid w:val="00F3474A"/>
    <w:rsid w:val="00F347A3"/>
    <w:rsid w:val="00F34856"/>
    <w:rsid w:val="00F34857"/>
    <w:rsid w:val="00F348DE"/>
    <w:rsid w:val="00F3493D"/>
    <w:rsid w:val="00F34990"/>
    <w:rsid w:val="00F349AB"/>
    <w:rsid w:val="00F349AC"/>
    <w:rsid w:val="00F349BD"/>
    <w:rsid w:val="00F34A32"/>
    <w:rsid w:val="00F34AAB"/>
    <w:rsid w:val="00F34C05"/>
    <w:rsid w:val="00F34C9C"/>
    <w:rsid w:val="00F34CA2"/>
    <w:rsid w:val="00F34CEC"/>
    <w:rsid w:val="00F34D9D"/>
    <w:rsid w:val="00F34DC4"/>
    <w:rsid w:val="00F34DC9"/>
    <w:rsid w:val="00F34E42"/>
    <w:rsid w:val="00F34E89"/>
    <w:rsid w:val="00F34EB2"/>
    <w:rsid w:val="00F34F34"/>
    <w:rsid w:val="00F34F75"/>
    <w:rsid w:val="00F34FF7"/>
    <w:rsid w:val="00F35033"/>
    <w:rsid w:val="00F35041"/>
    <w:rsid w:val="00F3505B"/>
    <w:rsid w:val="00F350B3"/>
    <w:rsid w:val="00F35127"/>
    <w:rsid w:val="00F3517B"/>
    <w:rsid w:val="00F35277"/>
    <w:rsid w:val="00F35281"/>
    <w:rsid w:val="00F35345"/>
    <w:rsid w:val="00F35444"/>
    <w:rsid w:val="00F35613"/>
    <w:rsid w:val="00F35690"/>
    <w:rsid w:val="00F35695"/>
    <w:rsid w:val="00F356B0"/>
    <w:rsid w:val="00F3595F"/>
    <w:rsid w:val="00F35A99"/>
    <w:rsid w:val="00F35A9F"/>
    <w:rsid w:val="00F35B00"/>
    <w:rsid w:val="00F35B98"/>
    <w:rsid w:val="00F35BAA"/>
    <w:rsid w:val="00F35BCC"/>
    <w:rsid w:val="00F35C55"/>
    <w:rsid w:val="00F35CF5"/>
    <w:rsid w:val="00F35D38"/>
    <w:rsid w:val="00F35DD7"/>
    <w:rsid w:val="00F35E83"/>
    <w:rsid w:val="00F3600E"/>
    <w:rsid w:val="00F36034"/>
    <w:rsid w:val="00F36045"/>
    <w:rsid w:val="00F36053"/>
    <w:rsid w:val="00F36291"/>
    <w:rsid w:val="00F3629C"/>
    <w:rsid w:val="00F362B8"/>
    <w:rsid w:val="00F3635C"/>
    <w:rsid w:val="00F363B3"/>
    <w:rsid w:val="00F363BD"/>
    <w:rsid w:val="00F363E2"/>
    <w:rsid w:val="00F3648E"/>
    <w:rsid w:val="00F364B1"/>
    <w:rsid w:val="00F3655B"/>
    <w:rsid w:val="00F36581"/>
    <w:rsid w:val="00F366E0"/>
    <w:rsid w:val="00F36730"/>
    <w:rsid w:val="00F3677F"/>
    <w:rsid w:val="00F3680B"/>
    <w:rsid w:val="00F36812"/>
    <w:rsid w:val="00F36826"/>
    <w:rsid w:val="00F368BA"/>
    <w:rsid w:val="00F36931"/>
    <w:rsid w:val="00F369D8"/>
    <w:rsid w:val="00F36A01"/>
    <w:rsid w:val="00F36A9E"/>
    <w:rsid w:val="00F36AF2"/>
    <w:rsid w:val="00F36B05"/>
    <w:rsid w:val="00F36C25"/>
    <w:rsid w:val="00F36C7E"/>
    <w:rsid w:val="00F36D1E"/>
    <w:rsid w:val="00F36D1F"/>
    <w:rsid w:val="00F36D7E"/>
    <w:rsid w:val="00F36DD0"/>
    <w:rsid w:val="00F36DEE"/>
    <w:rsid w:val="00F37045"/>
    <w:rsid w:val="00F370B8"/>
    <w:rsid w:val="00F3713F"/>
    <w:rsid w:val="00F37253"/>
    <w:rsid w:val="00F372AB"/>
    <w:rsid w:val="00F372BE"/>
    <w:rsid w:val="00F372EB"/>
    <w:rsid w:val="00F37382"/>
    <w:rsid w:val="00F373E0"/>
    <w:rsid w:val="00F3741A"/>
    <w:rsid w:val="00F37425"/>
    <w:rsid w:val="00F3746F"/>
    <w:rsid w:val="00F37481"/>
    <w:rsid w:val="00F374B3"/>
    <w:rsid w:val="00F37539"/>
    <w:rsid w:val="00F37581"/>
    <w:rsid w:val="00F37617"/>
    <w:rsid w:val="00F37700"/>
    <w:rsid w:val="00F377A3"/>
    <w:rsid w:val="00F37810"/>
    <w:rsid w:val="00F37817"/>
    <w:rsid w:val="00F3782D"/>
    <w:rsid w:val="00F378BC"/>
    <w:rsid w:val="00F378F3"/>
    <w:rsid w:val="00F3799F"/>
    <w:rsid w:val="00F379E9"/>
    <w:rsid w:val="00F37A6E"/>
    <w:rsid w:val="00F37AB2"/>
    <w:rsid w:val="00F37AD6"/>
    <w:rsid w:val="00F37ADA"/>
    <w:rsid w:val="00F37B35"/>
    <w:rsid w:val="00F37B95"/>
    <w:rsid w:val="00F37C48"/>
    <w:rsid w:val="00F37CF6"/>
    <w:rsid w:val="00F37DC8"/>
    <w:rsid w:val="00F37EBB"/>
    <w:rsid w:val="00F37F28"/>
    <w:rsid w:val="00F37F8A"/>
    <w:rsid w:val="00F37FE3"/>
    <w:rsid w:val="00F37FF6"/>
    <w:rsid w:val="00F40103"/>
    <w:rsid w:val="00F40105"/>
    <w:rsid w:val="00F40136"/>
    <w:rsid w:val="00F40144"/>
    <w:rsid w:val="00F401E4"/>
    <w:rsid w:val="00F40225"/>
    <w:rsid w:val="00F40249"/>
    <w:rsid w:val="00F40359"/>
    <w:rsid w:val="00F4038C"/>
    <w:rsid w:val="00F4038E"/>
    <w:rsid w:val="00F403F2"/>
    <w:rsid w:val="00F40503"/>
    <w:rsid w:val="00F40527"/>
    <w:rsid w:val="00F405F2"/>
    <w:rsid w:val="00F4069A"/>
    <w:rsid w:val="00F406CF"/>
    <w:rsid w:val="00F406FB"/>
    <w:rsid w:val="00F40723"/>
    <w:rsid w:val="00F407E7"/>
    <w:rsid w:val="00F40862"/>
    <w:rsid w:val="00F40893"/>
    <w:rsid w:val="00F408A5"/>
    <w:rsid w:val="00F4090A"/>
    <w:rsid w:val="00F4091C"/>
    <w:rsid w:val="00F40955"/>
    <w:rsid w:val="00F40965"/>
    <w:rsid w:val="00F409CE"/>
    <w:rsid w:val="00F40A24"/>
    <w:rsid w:val="00F40A9A"/>
    <w:rsid w:val="00F40AF6"/>
    <w:rsid w:val="00F40B90"/>
    <w:rsid w:val="00F40BB8"/>
    <w:rsid w:val="00F40BDA"/>
    <w:rsid w:val="00F40C44"/>
    <w:rsid w:val="00F40D15"/>
    <w:rsid w:val="00F40DCC"/>
    <w:rsid w:val="00F40E5E"/>
    <w:rsid w:val="00F40EBA"/>
    <w:rsid w:val="00F40FD7"/>
    <w:rsid w:val="00F4106F"/>
    <w:rsid w:val="00F410B7"/>
    <w:rsid w:val="00F4118C"/>
    <w:rsid w:val="00F411CE"/>
    <w:rsid w:val="00F41230"/>
    <w:rsid w:val="00F4123A"/>
    <w:rsid w:val="00F4124C"/>
    <w:rsid w:val="00F41256"/>
    <w:rsid w:val="00F4127E"/>
    <w:rsid w:val="00F41386"/>
    <w:rsid w:val="00F4138A"/>
    <w:rsid w:val="00F4140E"/>
    <w:rsid w:val="00F4141E"/>
    <w:rsid w:val="00F41502"/>
    <w:rsid w:val="00F41508"/>
    <w:rsid w:val="00F415A3"/>
    <w:rsid w:val="00F4162E"/>
    <w:rsid w:val="00F4163C"/>
    <w:rsid w:val="00F41667"/>
    <w:rsid w:val="00F417D5"/>
    <w:rsid w:val="00F41875"/>
    <w:rsid w:val="00F418B2"/>
    <w:rsid w:val="00F418C3"/>
    <w:rsid w:val="00F41907"/>
    <w:rsid w:val="00F4191A"/>
    <w:rsid w:val="00F41B01"/>
    <w:rsid w:val="00F41B26"/>
    <w:rsid w:val="00F41B77"/>
    <w:rsid w:val="00F41B81"/>
    <w:rsid w:val="00F41B98"/>
    <w:rsid w:val="00F41BA8"/>
    <w:rsid w:val="00F41C39"/>
    <w:rsid w:val="00F41C7D"/>
    <w:rsid w:val="00F41CB5"/>
    <w:rsid w:val="00F41CF5"/>
    <w:rsid w:val="00F41DBA"/>
    <w:rsid w:val="00F41DBD"/>
    <w:rsid w:val="00F41E23"/>
    <w:rsid w:val="00F41FAC"/>
    <w:rsid w:val="00F4204F"/>
    <w:rsid w:val="00F420A0"/>
    <w:rsid w:val="00F4211B"/>
    <w:rsid w:val="00F42396"/>
    <w:rsid w:val="00F42403"/>
    <w:rsid w:val="00F42504"/>
    <w:rsid w:val="00F4254E"/>
    <w:rsid w:val="00F4263F"/>
    <w:rsid w:val="00F42690"/>
    <w:rsid w:val="00F4272A"/>
    <w:rsid w:val="00F42784"/>
    <w:rsid w:val="00F427C7"/>
    <w:rsid w:val="00F428DF"/>
    <w:rsid w:val="00F42937"/>
    <w:rsid w:val="00F42976"/>
    <w:rsid w:val="00F429DB"/>
    <w:rsid w:val="00F42A9C"/>
    <w:rsid w:val="00F42AE6"/>
    <w:rsid w:val="00F42B2E"/>
    <w:rsid w:val="00F42B3B"/>
    <w:rsid w:val="00F42D3E"/>
    <w:rsid w:val="00F42D54"/>
    <w:rsid w:val="00F42E1D"/>
    <w:rsid w:val="00F42E21"/>
    <w:rsid w:val="00F42E22"/>
    <w:rsid w:val="00F42EA2"/>
    <w:rsid w:val="00F42FA6"/>
    <w:rsid w:val="00F42FD6"/>
    <w:rsid w:val="00F4301C"/>
    <w:rsid w:val="00F43069"/>
    <w:rsid w:val="00F43081"/>
    <w:rsid w:val="00F4314B"/>
    <w:rsid w:val="00F431D6"/>
    <w:rsid w:val="00F43256"/>
    <w:rsid w:val="00F4325C"/>
    <w:rsid w:val="00F43395"/>
    <w:rsid w:val="00F434B6"/>
    <w:rsid w:val="00F435CF"/>
    <w:rsid w:val="00F43612"/>
    <w:rsid w:val="00F43658"/>
    <w:rsid w:val="00F436BB"/>
    <w:rsid w:val="00F436FC"/>
    <w:rsid w:val="00F437B7"/>
    <w:rsid w:val="00F437C2"/>
    <w:rsid w:val="00F437CB"/>
    <w:rsid w:val="00F4381B"/>
    <w:rsid w:val="00F4387F"/>
    <w:rsid w:val="00F43A14"/>
    <w:rsid w:val="00F43A8E"/>
    <w:rsid w:val="00F43BC3"/>
    <w:rsid w:val="00F43BF3"/>
    <w:rsid w:val="00F43C79"/>
    <w:rsid w:val="00F43E8D"/>
    <w:rsid w:val="00F43F35"/>
    <w:rsid w:val="00F44045"/>
    <w:rsid w:val="00F4405A"/>
    <w:rsid w:val="00F44099"/>
    <w:rsid w:val="00F4435F"/>
    <w:rsid w:val="00F443C7"/>
    <w:rsid w:val="00F443FA"/>
    <w:rsid w:val="00F44463"/>
    <w:rsid w:val="00F44571"/>
    <w:rsid w:val="00F44598"/>
    <w:rsid w:val="00F445A7"/>
    <w:rsid w:val="00F445CA"/>
    <w:rsid w:val="00F445EB"/>
    <w:rsid w:val="00F447E1"/>
    <w:rsid w:val="00F448FB"/>
    <w:rsid w:val="00F44907"/>
    <w:rsid w:val="00F4493B"/>
    <w:rsid w:val="00F44AC8"/>
    <w:rsid w:val="00F44AD5"/>
    <w:rsid w:val="00F44BA5"/>
    <w:rsid w:val="00F44C89"/>
    <w:rsid w:val="00F44C9D"/>
    <w:rsid w:val="00F44CA9"/>
    <w:rsid w:val="00F44CDB"/>
    <w:rsid w:val="00F44E4A"/>
    <w:rsid w:val="00F44EA5"/>
    <w:rsid w:val="00F44F86"/>
    <w:rsid w:val="00F44FA7"/>
    <w:rsid w:val="00F4509A"/>
    <w:rsid w:val="00F451EF"/>
    <w:rsid w:val="00F4525D"/>
    <w:rsid w:val="00F452D7"/>
    <w:rsid w:val="00F45342"/>
    <w:rsid w:val="00F454FE"/>
    <w:rsid w:val="00F4554B"/>
    <w:rsid w:val="00F45589"/>
    <w:rsid w:val="00F455B9"/>
    <w:rsid w:val="00F455DF"/>
    <w:rsid w:val="00F45623"/>
    <w:rsid w:val="00F4564A"/>
    <w:rsid w:val="00F4568E"/>
    <w:rsid w:val="00F45697"/>
    <w:rsid w:val="00F456E6"/>
    <w:rsid w:val="00F456E9"/>
    <w:rsid w:val="00F457CB"/>
    <w:rsid w:val="00F45817"/>
    <w:rsid w:val="00F4584E"/>
    <w:rsid w:val="00F45945"/>
    <w:rsid w:val="00F4598E"/>
    <w:rsid w:val="00F45A5D"/>
    <w:rsid w:val="00F45B11"/>
    <w:rsid w:val="00F45D13"/>
    <w:rsid w:val="00F45EEC"/>
    <w:rsid w:val="00F46038"/>
    <w:rsid w:val="00F46076"/>
    <w:rsid w:val="00F460D1"/>
    <w:rsid w:val="00F4619F"/>
    <w:rsid w:val="00F4620E"/>
    <w:rsid w:val="00F46244"/>
    <w:rsid w:val="00F4627C"/>
    <w:rsid w:val="00F462BA"/>
    <w:rsid w:val="00F463A7"/>
    <w:rsid w:val="00F463CD"/>
    <w:rsid w:val="00F463F6"/>
    <w:rsid w:val="00F4642A"/>
    <w:rsid w:val="00F46448"/>
    <w:rsid w:val="00F4644E"/>
    <w:rsid w:val="00F464A2"/>
    <w:rsid w:val="00F464F1"/>
    <w:rsid w:val="00F46509"/>
    <w:rsid w:val="00F466A1"/>
    <w:rsid w:val="00F466BD"/>
    <w:rsid w:val="00F4672F"/>
    <w:rsid w:val="00F4675C"/>
    <w:rsid w:val="00F468B4"/>
    <w:rsid w:val="00F46905"/>
    <w:rsid w:val="00F4690F"/>
    <w:rsid w:val="00F46A69"/>
    <w:rsid w:val="00F46A85"/>
    <w:rsid w:val="00F46AE8"/>
    <w:rsid w:val="00F46B03"/>
    <w:rsid w:val="00F46B36"/>
    <w:rsid w:val="00F46C17"/>
    <w:rsid w:val="00F46C78"/>
    <w:rsid w:val="00F46E60"/>
    <w:rsid w:val="00F46EA5"/>
    <w:rsid w:val="00F46EEE"/>
    <w:rsid w:val="00F46F86"/>
    <w:rsid w:val="00F46F99"/>
    <w:rsid w:val="00F4700D"/>
    <w:rsid w:val="00F47046"/>
    <w:rsid w:val="00F47094"/>
    <w:rsid w:val="00F471BD"/>
    <w:rsid w:val="00F47212"/>
    <w:rsid w:val="00F4722E"/>
    <w:rsid w:val="00F47280"/>
    <w:rsid w:val="00F4728F"/>
    <w:rsid w:val="00F474BB"/>
    <w:rsid w:val="00F4752D"/>
    <w:rsid w:val="00F4756A"/>
    <w:rsid w:val="00F47592"/>
    <w:rsid w:val="00F475AA"/>
    <w:rsid w:val="00F47632"/>
    <w:rsid w:val="00F476B4"/>
    <w:rsid w:val="00F476D6"/>
    <w:rsid w:val="00F47709"/>
    <w:rsid w:val="00F4775C"/>
    <w:rsid w:val="00F4778B"/>
    <w:rsid w:val="00F477C2"/>
    <w:rsid w:val="00F47827"/>
    <w:rsid w:val="00F47850"/>
    <w:rsid w:val="00F478B1"/>
    <w:rsid w:val="00F478E1"/>
    <w:rsid w:val="00F4792C"/>
    <w:rsid w:val="00F47981"/>
    <w:rsid w:val="00F47991"/>
    <w:rsid w:val="00F47A28"/>
    <w:rsid w:val="00F47A3A"/>
    <w:rsid w:val="00F47A81"/>
    <w:rsid w:val="00F47ABF"/>
    <w:rsid w:val="00F47ADE"/>
    <w:rsid w:val="00F47BCD"/>
    <w:rsid w:val="00F47BFF"/>
    <w:rsid w:val="00F47D4A"/>
    <w:rsid w:val="00F47D9D"/>
    <w:rsid w:val="00F47E05"/>
    <w:rsid w:val="00F47E07"/>
    <w:rsid w:val="00F47E38"/>
    <w:rsid w:val="00F47E94"/>
    <w:rsid w:val="00F47EAD"/>
    <w:rsid w:val="00F47EE7"/>
    <w:rsid w:val="00F47EF5"/>
    <w:rsid w:val="00F5001D"/>
    <w:rsid w:val="00F500F3"/>
    <w:rsid w:val="00F50141"/>
    <w:rsid w:val="00F5014A"/>
    <w:rsid w:val="00F50189"/>
    <w:rsid w:val="00F501D6"/>
    <w:rsid w:val="00F501E9"/>
    <w:rsid w:val="00F502E9"/>
    <w:rsid w:val="00F503C9"/>
    <w:rsid w:val="00F50400"/>
    <w:rsid w:val="00F50443"/>
    <w:rsid w:val="00F5047F"/>
    <w:rsid w:val="00F504D6"/>
    <w:rsid w:val="00F505B1"/>
    <w:rsid w:val="00F506D4"/>
    <w:rsid w:val="00F506DC"/>
    <w:rsid w:val="00F5074A"/>
    <w:rsid w:val="00F507A3"/>
    <w:rsid w:val="00F507AF"/>
    <w:rsid w:val="00F507E9"/>
    <w:rsid w:val="00F50807"/>
    <w:rsid w:val="00F50816"/>
    <w:rsid w:val="00F5081D"/>
    <w:rsid w:val="00F50848"/>
    <w:rsid w:val="00F509B1"/>
    <w:rsid w:val="00F509F0"/>
    <w:rsid w:val="00F50A38"/>
    <w:rsid w:val="00F50A87"/>
    <w:rsid w:val="00F50ACE"/>
    <w:rsid w:val="00F50AFD"/>
    <w:rsid w:val="00F50BE5"/>
    <w:rsid w:val="00F50C4F"/>
    <w:rsid w:val="00F50C9C"/>
    <w:rsid w:val="00F50CCB"/>
    <w:rsid w:val="00F50D15"/>
    <w:rsid w:val="00F50E29"/>
    <w:rsid w:val="00F50EC3"/>
    <w:rsid w:val="00F50F0B"/>
    <w:rsid w:val="00F50F3A"/>
    <w:rsid w:val="00F510B5"/>
    <w:rsid w:val="00F51107"/>
    <w:rsid w:val="00F51118"/>
    <w:rsid w:val="00F5117A"/>
    <w:rsid w:val="00F5119C"/>
    <w:rsid w:val="00F51261"/>
    <w:rsid w:val="00F512C3"/>
    <w:rsid w:val="00F51328"/>
    <w:rsid w:val="00F51346"/>
    <w:rsid w:val="00F51390"/>
    <w:rsid w:val="00F5140D"/>
    <w:rsid w:val="00F515B2"/>
    <w:rsid w:val="00F515CE"/>
    <w:rsid w:val="00F51661"/>
    <w:rsid w:val="00F5166B"/>
    <w:rsid w:val="00F516BF"/>
    <w:rsid w:val="00F5173C"/>
    <w:rsid w:val="00F517A4"/>
    <w:rsid w:val="00F517D0"/>
    <w:rsid w:val="00F517D5"/>
    <w:rsid w:val="00F517DF"/>
    <w:rsid w:val="00F51806"/>
    <w:rsid w:val="00F5183D"/>
    <w:rsid w:val="00F5185F"/>
    <w:rsid w:val="00F5192A"/>
    <w:rsid w:val="00F51933"/>
    <w:rsid w:val="00F519F6"/>
    <w:rsid w:val="00F51A3A"/>
    <w:rsid w:val="00F51BFD"/>
    <w:rsid w:val="00F51C39"/>
    <w:rsid w:val="00F51CDA"/>
    <w:rsid w:val="00F51D5D"/>
    <w:rsid w:val="00F51D7D"/>
    <w:rsid w:val="00F51D90"/>
    <w:rsid w:val="00F51DF4"/>
    <w:rsid w:val="00F51E3A"/>
    <w:rsid w:val="00F51E7E"/>
    <w:rsid w:val="00F51ED3"/>
    <w:rsid w:val="00F51F51"/>
    <w:rsid w:val="00F51F69"/>
    <w:rsid w:val="00F51FDD"/>
    <w:rsid w:val="00F51FF9"/>
    <w:rsid w:val="00F520E9"/>
    <w:rsid w:val="00F520F2"/>
    <w:rsid w:val="00F52154"/>
    <w:rsid w:val="00F52205"/>
    <w:rsid w:val="00F523D2"/>
    <w:rsid w:val="00F523D4"/>
    <w:rsid w:val="00F52424"/>
    <w:rsid w:val="00F525A0"/>
    <w:rsid w:val="00F525B1"/>
    <w:rsid w:val="00F525CE"/>
    <w:rsid w:val="00F525DC"/>
    <w:rsid w:val="00F5276D"/>
    <w:rsid w:val="00F527C7"/>
    <w:rsid w:val="00F5282A"/>
    <w:rsid w:val="00F52948"/>
    <w:rsid w:val="00F52A43"/>
    <w:rsid w:val="00F52A73"/>
    <w:rsid w:val="00F52AEE"/>
    <w:rsid w:val="00F52B40"/>
    <w:rsid w:val="00F52BAC"/>
    <w:rsid w:val="00F52BEF"/>
    <w:rsid w:val="00F52C1A"/>
    <w:rsid w:val="00F52CB5"/>
    <w:rsid w:val="00F52D43"/>
    <w:rsid w:val="00F52DBF"/>
    <w:rsid w:val="00F52DC3"/>
    <w:rsid w:val="00F52DC8"/>
    <w:rsid w:val="00F52DD3"/>
    <w:rsid w:val="00F52E51"/>
    <w:rsid w:val="00F52F30"/>
    <w:rsid w:val="00F52F40"/>
    <w:rsid w:val="00F52FF1"/>
    <w:rsid w:val="00F530D8"/>
    <w:rsid w:val="00F5313B"/>
    <w:rsid w:val="00F531AE"/>
    <w:rsid w:val="00F531E9"/>
    <w:rsid w:val="00F5322D"/>
    <w:rsid w:val="00F5325E"/>
    <w:rsid w:val="00F5327D"/>
    <w:rsid w:val="00F53394"/>
    <w:rsid w:val="00F533F4"/>
    <w:rsid w:val="00F534BC"/>
    <w:rsid w:val="00F536C3"/>
    <w:rsid w:val="00F53752"/>
    <w:rsid w:val="00F537EC"/>
    <w:rsid w:val="00F5382D"/>
    <w:rsid w:val="00F538C8"/>
    <w:rsid w:val="00F53999"/>
    <w:rsid w:val="00F539E2"/>
    <w:rsid w:val="00F539E6"/>
    <w:rsid w:val="00F539F2"/>
    <w:rsid w:val="00F53A20"/>
    <w:rsid w:val="00F53A2F"/>
    <w:rsid w:val="00F53A33"/>
    <w:rsid w:val="00F53A7E"/>
    <w:rsid w:val="00F53C19"/>
    <w:rsid w:val="00F53C54"/>
    <w:rsid w:val="00F53C7D"/>
    <w:rsid w:val="00F53CC3"/>
    <w:rsid w:val="00F53D13"/>
    <w:rsid w:val="00F53D73"/>
    <w:rsid w:val="00F53D9C"/>
    <w:rsid w:val="00F53E0D"/>
    <w:rsid w:val="00F53F68"/>
    <w:rsid w:val="00F53FD1"/>
    <w:rsid w:val="00F5403E"/>
    <w:rsid w:val="00F5403F"/>
    <w:rsid w:val="00F541CC"/>
    <w:rsid w:val="00F5421A"/>
    <w:rsid w:val="00F5424F"/>
    <w:rsid w:val="00F54338"/>
    <w:rsid w:val="00F5435E"/>
    <w:rsid w:val="00F5436F"/>
    <w:rsid w:val="00F544A6"/>
    <w:rsid w:val="00F544FF"/>
    <w:rsid w:val="00F545A3"/>
    <w:rsid w:val="00F5461A"/>
    <w:rsid w:val="00F5464D"/>
    <w:rsid w:val="00F546AD"/>
    <w:rsid w:val="00F546BC"/>
    <w:rsid w:val="00F546EC"/>
    <w:rsid w:val="00F54725"/>
    <w:rsid w:val="00F54747"/>
    <w:rsid w:val="00F5475F"/>
    <w:rsid w:val="00F547EC"/>
    <w:rsid w:val="00F54840"/>
    <w:rsid w:val="00F548D1"/>
    <w:rsid w:val="00F54901"/>
    <w:rsid w:val="00F5490E"/>
    <w:rsid w:val="00F54924"/>
    <w:rsid w:val="00F54936"/>
    <w:rsid w:val="00F549B6"/>
    <w:rsid w:val="00F549E6"/>
    <w:rsid w:val="00F54A62"/>
    <w:rsid w:val="00F54ABE"/>
    <w:rsid w:val="00F54AE7"/>
    <w:rsid w:val="00F54BDB"/>
    <w:rsid w:val="00F54C3F"/>
    <w:rsid w:val="00F54C4C"/>
    <w:rsid w:val="00F54C4E"/>
    <w:rsid w:val="00F54C84"/>
    <w:rsid w:val="00F54D33"/>
    <w:rsid w:val="00F54E4F"/>
    <w:rsid w:val="00F54E5F"/>
    <w:rsid w:val="00F54E94"/>
    <w:rsid w:val="00F54F80"/>
    <w:rsid w:val="00F54FC3"/>
    <w:rsid w:val="00F550F8"/>
    <w:rsid w:val="00F5529C"/>
    <w:rsid w:val="00F552AE"/>
    <w:rsid w:val="00F552C8"/>
    <w:rsid w:val="00F5533D"/>
    <w:rsid w:val="00F55399"/>
    <w:rsid w:val="00F553B6"/>
    <w:rsid w:val="00F554A4"/>
    <w:rsid w:val="00F55588"/>
    <w:rsid w:val="00F55671"/>
    <w:rsid w:val="00F556C1"/>
    <w:rsid w:val="00F556EC"/>
    <w:rsid w:val="00F5572D"/>
    <w:rsid w:val="00F55751"/>
    <w:rsid w:val="00F5575F"/>
    <w:rsid w:val="00F55764"/>
    <w:rsid w:val="00F55785"/>
    <w:rsid w:val="00F5580D"/>
    <w:rsid w:val="00F55975"/>
    <w:rsid w:val="00F559CF"/>
    <w:rsid w:val="00F55A45"/>
    <w:rsid w:val="00F55A67"/>
    <w:rsid w:val="00F55B24"/>
    <w:rsid w:val="00F55BE4"/>
    <w:rsid w:val="00F55C52"/>
    <w:rsid w:val="00F55CAE"/>
    <w:rsid w:val="00F55E39"/>
    <w:rsid w:val="00F55F8E"/>
    <w:rsid w:val="00F55FA5"/>
    <w:rsid w:val="00F560BF"/>
    <w:rsid w:val="00F560E2"/>
    <w:rsid w:val="00F5615D"/>
    <w:rsid w:val="00F561A2"/>
    <w:rsid w:val="00F56284"/>
    <w:rsid w:val="00F56418"/>
    <w:rsid w:val="00F5642B"/>
    <w:rsid w:val="00F56478"/>
    <w:rsid w:val="00F56488"/>
    <w:rsid w:val="00F564E9"/>
    <w:rsid w:val="00F56641"/>
    <w:rsid w:val="00F5664B"/>
    <w:rsid w:val="00F56657"/>
    <w:rsid w:val="00F566A0"/>
    <w:rsid w:val="00F566CF"/>
    <w:rsid w:val="00F566E8"/>
    <w:rsid w:val="00F56718"/>
    <w:rsid w:val="00F567B1"/>
    <w:rsid w:val="00F569B0"/>
    <w:rsid w:val="00F56A3E"/>
    <w:rsid w:val="00F56B2B"/>
    <w:rsid w:val="00F56B5D"/>
    <w:rsid w:val="00F56BCD"/>
    <w:rsid w:val="00F56C2F"/>
    <w:rsid w:val="00F56C45"/>
    <w:rsid w:val="00F56C65"/>
    <w:rsid w:val="00F56C66"/>
    <w:rsid w:val="00F56D19"/>
    <w:rsid w:val="00F56D2D"/>
    <w:rsid w:val="00F56D34"/>
    <w:rsid w:val="00F56D74"/>
    <w:rsid w:val="00F56D9E"/>
    <w:rsid w:val="00F56DCF"/>
    <w:rsid w:val="00F56DDF"/>
    <w:rsid w:val="00F56E13"/>
    <w:rsid w:val="00F56E1A"/>
    <w:rsid w:val="00F56ECF"/>
    <w:rsid w:val="00F56EF0"/>
    <w:rsid w:val="00F56EF2"/>
    <w:rsid w:val="00F56FA9"/>
    <w:rsid w:val="00F57082"/>
    <w:rsid w:val="00F5716B"/>
    <w:rsid w:val="00F57199"/>
    <w:rsid w:val="00F571F9"/>
    <w:rsid w:val="00F5726D"/>
    <w:rsid w:val="00F572CA"/>
    <w:rsid w:val="00F57430"/>
    <w:rsid w:val="00F574BA"/>
    <w:rsid w:val="00F57525"/>
    <w:rsid w:val="00F576CD"/>
    <w:rsid w:val="00F576F1"/>
    <w:rsid w:val="00F57742"/>
    <w:rsid w:val="00F57750"/>
    <w:rsid w:val="00F57752"/>
    <w:rsid w:val="00F5777C"/>
    <w:rsid w:val="00F57886"/>
    <w:rsid w:val="00F5789A"/>
    <w:rsid w:val="00F5791A"/>
    <w:rsid w:val="00F5795E"/>
    <w:rsid w:val="00F579CC"/>
    <w:rsid w:val="00F579E2"/>
    <w:rsid w:val="00F579FB"/>
    <w:rsid w:val="00F57A1E"/>
    <w:rsid w:val="00F57A2E"/>
    <w:rsid w:val="00F57A53"/>
    <w:rsid w:val="00F57A56"/>
    <w:rsid w:val="00F57A6B"/>
    <w:rsid w:val="00F57B5C"/>
    <w:rsid w:val="00F57C9C"/>
    <w:rsid w:val="00F57CEC"/>
    <w:rsid w:val="00F57DE4"/>
    <w:rsid w:val="00F57E69"/>
    <w:rsid w:val="00F57E77"/>
    <w:rsid w:val="00F57E83"/>
    <w:rsid w:val="00F60046"/>
    <w:rsid w:val="00F6012D"/>
    <w:rsid w:val="00F60135"/>
    <w:rsid w:val="00F601CA"/>
    <w:rsid w:val="00F601D2"/>
    <w:rsid w:val="00F60202"/>
    <w:rsid w:val="00F60237"/>
    <w:rsid w:val="00F60255"/>
    <w:rsid w:val="00F602A2"/>
    <w:rsid w:val="00F603A6"/>
    <w:rsid w:val="00F603CB"/>
    <w:rsid w:val="00F60449"/>
    <w:rsid w:val="00F60586"/>
    <w:rsid w:val="00F6068B"/>
    <w:rsid w:val="00F606B0"/>
    <w:rsid w:val="00F6074B"/>
    <w:rsid w:val="00F607B4"/>
    <w:rsid w:val="00F607E0"/>
    <w:rsid w:val="00F60801"/>
    <w:rsid w:val="00F60847"/>
    <w:rsid w:val="00F6099B"/>
    <w:rsid w:val="00F609DF"/>
    <w:rsid w:val="00F60A15"/>
    <w:rsid w:val="00F60A69"/>
    <w:rsid w:val="00F60A82"/>
    <w:rsid w:val="00F60B13"/>
    <w:rsid w:val="00F60B3C"/>
    <w:rsid w:val="00F60B6C"/>
    <w:rsid w:val="00F60BA1"/>
    <w:rsid w:val="00F60BD9"/>
    <w:rsid w:val="00F60C0E"/>
    <w:rsid w:val="00F60CEE"/>
    <w:rsid w:val="00F60D90"/>
    <w:rsid w:val="00F60DA1"/>
    <w:rsid w:val="00F60E6B"/>
    <w:rsid w:val="00F60E7C"/>
    <w:rsid w:val="00F60EA5"/>
    <w:rsid w:val="00F60F44"/>
    <w:rsid w:val="00F60F6E"/>
    <w:rsid w:val="00F60FD2"/>
    <w:rsid w:val="00F6100E"/>
    <w:rsid w:val="00F61051"/>
    <w:rsid w:val="00F612EA"/>
    <w:rsid w:val="00F61364"/>
    <w:rsid w:val="00F613A9"/>
    <w:rsid w:val="00F614EC"/>
    <w:rsid w:val="00F61613"/>
    <w:rsid w:val="00F616ED"/>
    <w:rsid w:val="00F61736"/>
    <w:rsid w:val="00F617B3"/>
    <w:rsid w:val="00F617D2"/>
    <w:rsid w:val="00F61808"/>
    <w:rsid w:val="00F61824"/>
    <w:rsid w:val="00F61837"/>
    <w:rsid w:val="00F61874"/>
    <w:rsid w:val="00F618A5"/>
    <w:rsid w:val="00F618EA"/>
    <w:rsid w:val="00F61932"/>
    <w:rsid w:val="00F61A5D"/>
    <w:rsid w:val="00F61B42"/>
    <w:rsid w:val="00F61B97"/>
    <w:rsid w:val="00F61BC5"/>
    <w:rsid w:val="00F61C04"/>
    <w:rsid w:val="00F61C52"/>
    <w:rsid w:val="00F61CE9"/>
    <w:rsid w:val="00F61D0B"/>
    <w:rsid w:val="00F61D33"/>
    <w:rsid w:val="00F61E7E"/>
    <w:rsid w:val="00F61EC4"/>
    <w:rsid w:val="00F61F3D"/>
    <w:rsid w:val="00F62055"/>
    <w:rsid w:val="00F6205B"/>
    <w:rsid w:val="00F620B1"/>
    <w:rsid w:val="00F620D8"/>
    <w:rsid w:val="00F6210E"/>
    <w:rsid w:val="00F621F1"/>
    <w:rsid w:val="00F6221D"/>
    <w:rsid w:val="00F62228"/>
    <w:rsid w:val="00F62268"/>
    <w:rsid w:val="00F623AF"/>
    <w:rsid w:val="00F624EB"/>
    <w:rsid w:val="00F62550"/>
    <w:rsid w:val="00F62631"/>
    <w:rsid w:val="00F62658"/>
    <w:rsid w:val="00F6277D"/>
    <w:rsid w:val="00F62812"/>
    <w:rsid w:val="00F6284E"/>
    <w:rsid w:val="00F6295B"/>
    <w:rsid w:val="00F62993"/>
    <w:rsid w:val="00F629A9"/>
    <w:rsid w:val="00F629D6"/>
    <w:rsid w:val="00F62B92"/>
    <w:rsid w:val="00F62C13"/>
    <w:rsid w:val="00F62D91"/>
    <w:rsid w:val="00F62DD0"/>
    <w:rsid w:val="00F62DEC"/>
    <w:rsid w:val="00F62E06"/>
    <w:rsid w:val="00F62E44"/>
    <w:rsid w:val="00F62E88"/>
    <w:rsid w:val="00F62EE0"/>
    <w:rsid w:val="00F62F14"/>
    <w:rsid w:val="00F62F3D"/>
    <w:rsid w:val="00F62F97"/>
    <w:rsid w:val="00F62FBB"/>
    <w:rsid w:val="00F62FE1"/>
    <w:rsid w:val="00F63032"/>
    <w:rsid w:val="00F63088"/>
    <w:rsid w:val="00F630D5"/>
    <w:rsid w:val="00F630FB"/>
    <w:rsid w:val="00F63190"/>
    <w:rsid w:val="00F631B6"/>
    <w:rsid w:val="00F631C0"/>
    <w:rsid w:val="00F6320C"/>
    <w:rsid w:val="00F6322D"/>
    <w:rsid w:val="00F632AC"/>
    <w:rsid w:val="00F63376"/>
    <w:rsid w:val="00F633A0"/>
    <w:rsid w:val="00F6350C"/>
    <w:rsid w:val="00F6352E"/>
    <w:rsid w:val="00F63531"/>
    <w:rsid w:val="00F635F3"/>
    <w:rsid w:val="00F63944"/>
    <w:rsid w:val="00F63A3D"/>
    <w:rsid w:val="00F63AAC"/>
    <w:rsid w:val="00F63AD4"/>
    <w:rsid w:val="00F63ADA"/>
    <w:rsid w:val="00F63AFC"/>
    <w:rsid w:val="00F63B29"/>
    <w:rsid w:val="00F63B6F"/>
    <w:rsid w:val="00F63C03"/>
    <w:rsid w:val="00F63C79"/>
    <w:rsid w:val="00F63C7B"/>
    <w:rsid w:val="00F63CFD"/>
    <w:rsid w:val="00F63D44"/>
    <w:rsid w:val="00F63D48"/>
    <w:rsid w:val="00F63E68"/>
    <w:rsid w:val="00F63EBE"/>
    <w:rsid w:val="00F63EFE"/>
    <w:rsid w:val="00F63F3E"/>
    <w:rsid w:val="00F63F65"/>
    <w:rsid w:val="00F64057"/>
    <w:rsid w:val="00F64069"/>
    <w:rsid w:val="00F640A7"/>
    <w:rsid w:val="00F640F8"/>
    <w:rsid w:val="00F64142"/>
    <w:rsid w:val="00F64222"/>
    <w:rsid w:val="00F64263"/>
    <w:rsid w:val="00F6428D"/>
    <w:rsid w:val="00F642E7"/>
    <w:rsid w:val="00F64356"/>
    <w:rsid w:val="00F6439D"/>
    <w:rsid w:val="00F6441C"/>
    <w:rsid w:val="00F64480"/>
    <w:rsid w:val="00F64496"/>
    <w:rsid w:val="00F64497"/>
    <w:rsid w:val="00F644E1"/>
    <w:rsid w:val="00F64594"/>
    <w:rsid w:val="00F64614"/>
    <w:rsid w:val="00F64625"/>
    <w:rsid w:val="00F646AA"/>
    <w:rsid w:val="00F647C0"/>
    <w:rsid w:val="00F647D6"/>
    <w:rsid w:val="00F64852"/>
    <w:rsid w:val="00F6486B"/>
    <w:rsid w:val="00F64917"/>
    <w:rsid w:val="00F64933"/>
    <w:rsid w:val="00F6495F"/>
    <w:rsid w:val="00F6498C"/>
    <w:rsid w:val="00F649D0"/>
    <w:rsid w:val="00F64AB8"/>
    <w:rsid w:val="00F64B81"/>
    <w:rsid w:val="00F64BD3"/>
    <w:rsid w:val="00F64CFC"/>
    <w:rsid w:val="00F64D17"/>
    <w:rsid w:val="00F64D4F"/>
    <w:rsid w:val="00F64E98"/>
    <w:rsid w:val="00F64EF8"/>
    <w:rsid w:val="00F6501E"/>
    <w:rsid w:val="00F65041"/>
    <w:rsid w:val="00F65076"/>
    <w:rsid w:val="00F65089"/>
    <w:rsid w:val="00F6514E"/>
    <w:rsid w:val="00F651A9"/>
    <w:rsid w:val="00F651DF"/>
    <w:rsid w:val="00F6522D"/>
    <w:rsid w:val="00F65285"/>
    <w:rsid w:val="00F65299"/>
    <w:rsid w:val="00F652CD"/>
    <w:rsid w:val="00F6542C"/>
    <w:rsid w:val="00F6554E"/>
    <w:rsid w:val="00F6555A"/>
    <w:rsid w:val="00F65563"/>
    <w:rsid w:val="00F65620"/>
    <w:rsid w:val="00F657FB"/>
    <w:rsid w:val="00F6585C"/>
    <w:rsid w:val="00F65880"/>
    <w:rsid w:val="00F658A6"/>
    <w:rsid w:val="00F658EC"/>
    <w:rsid w:val="00F65947"/>
    <w:rsid w:val="00F65A99"/>
    <w:rsid w:val="00F65B3B"/>
    <w:rsid w:val="00F65B3E"/>
    <w:rsid w:val="00F65B6F"/>
    <w:rsid w:val="00F65C11"/>
    <w:rsid w:val="00F65C1E"/>
    <w:rsid w:val="00F65C42"/>
    <w:rsid w:val="00F65C7F"/>
    <w:rsid w:val="00F65C86"/>
    <w:rsid w:val="00F65C8F"/>
    <w:rsid w:val="00F65CF0"/>
    <w:rsid w:val="00F65D52"/>
    <w:rsid w:val="00F65D73"/>
    <w:rsid w:val="00F65D89"/>
    <w:rsid w:val="00F65DE3"/>
    <w:rsid w:val="00F65EC5"/>
    <w:rsid w:val="00F65F0F"/>
    <w:rsid w:val="00F65F43"/>
    <w:rsid w:val="00F65F5F"/>
    <w:rsid w:val="00F65F8F"/>
    <w:rsid w:val="00F65FAF"/>
    <w:rsid w:val="00F65FFD"/>
    <w:rsid w:val="00F66093"/>
    <w:rsid w:val="00F660A1"/>
    <w:rsid w:val="00F660B6"/>
    <w:rsid w:val="00F66227"/>
    <w:rsid w:val="00F66254"/>
    <w:rsid w:val="00F662BF"/>
    <w:rsid w:val="00F663F1"/>
    <w:rsid w:val="00F663F7"/>
    <w:rsid w:val="00F664CA"/>
    <w:rsid w:val="00F66509"/>
    <w:rsid w:val="00F66556"/>
    <w:rsid w:val="00F6659E"/>
    <w:rsid w:val="00F665EC"/>
    <w:rsid w:val="00F6661E"/>
    <w:rsid w:val="00F6664A"/>
    <w:rsid w:val="00F666B6"/>
    <w:rsid w:val="00F6679D"/>
    <w:rsid w:val="00F668B0"/>
    <w:rsid w:val="00F668F7"/>
    <w:rsid w:val="00F66910"/>
    <w:rsid w:val="00F66917"/>
    <w:rsid w:val="00F6691F"/>
    <w:rsid w:val="00F669EB"/>
    <w:rsid w:val="00F66A2D"/>
    <w:rsid w:val="00F66A46"/>
    <w:rsid w:val="00F66A72"/>
    <w:rsid w:val="00F66AF8"/>
    <w:rsid w:val="00F66B7C"/>
    <w:rsid w:val="00F66B87"/>
    <w:rsid w:val="00F66BAC"/>
    <w:rsid w:val="00F66C47"/>
    <w:rsid w:val="00F66C5E"/>
    <w:rsid w:val="00F66CAA"/>
    <w:rsid w:val="00F66E22"/>
    <w:rsid w:val="00F67108"/>
    <w:rsid w:val="00F67128"/>
    <w:rsid w:val="00F67153"/>
    <w:rsid w:val="00F671B7"/>
    <w:rsid w:val="00F671D1"/>
    <w:rsid w:val="00F671E4"/>
    <w:rsid w:val="00F6726F"/>
    <w:rsid w:val="00F672FB"/>
    <w:rsid w:val="00F67386"/>
    <w:rsid w:val="00F67460"/>
    <w:rsid w:val="00F67512"/>
    <w:rsid w:val="00F675EF"/>
    <w:rsid w:val="00F67709"/>
    <w:rsid w:val="00F67713"/>
    <w:rsid w:val="00F6782A"/>
    <w:rsid w:val="00F6783E"/>
    <w:rsid w:val="00F67866"/>
    <w:rsid w:val="00F678E2"/>
    <w:rsid w:val="00F67919"/>
    <w:rsid w:val="00F67935"/>
    <w:rsid w:val="00F67990"/>
    <w:rsid w:val="00F679E1"/>
    <w:rsid w:val="00F679E9"/>
    <w:rsid w:val="00F679FC"/>
    <w:rsid w:val="00F67B85"/>
    <w:rsid w:val="00F67B8C"/>
    <w:rsid w:val="00F67BA8"/>
    <w:rsid w:val="00F67C3B"/>
    <w:rsid w:val="00F67CAE"/>
    <w:rsid w:val="00F67CB6"/>
    <w:rsid w:val="00F67CD9"/>
    <w:rsid w:val="00F67E19"/>
    <w:rsid w:val="00F67E38"/>
    <w:rsid w:val="00F67E7F"/>
    <w:rsid w:val="00F67ED0"/>
    <w:rsid w:val="00F67F3F"/>
    <w:rsid w:val="00F67F54"/>
    <w:rsid w:val="00F67FCD"/>
    <w:rsid w:val="00F70034"/>
    <w:rsid w:val="00F7008B"/>
    <w:rsid w:val="00F70133"/>
    <w:rsid w:val="00F701A8"/>
    <w:rsid w:val="00F701F4"/>
    <w:rsid w:val="00F70207"/>
    <w:rsid w:val="00F7028B"/>
    <w:rsid w:val="00F7030A"/>
    <w:rsid w:val="00F7057D"/>
    <w:rsid w:val="00F70587"/>
    <w:rsid w:val="00F705EE"/>
    <w:rsid w:val="00F70600"/>
    <w:rsid w:val="00F70637"/>
    <w:rsid w:val="00F706BC"/>
    <w:rsid w:val="00F706DA"/>
    <w:rsid w:val="00F70708"/>
    <w:rsid w:val="00F70711"/>
    <w:rsid w:val="00F7075D"/>
    <w:rsid w:val="00F70821"/>
    <w:rsid w:val="00F708A5"/>
    <w:rsid w:val="00F7096D"/>
    <w:rsid w:val="00F70A72"/>
    <w:rsid w:val="00F70AAE"/>
    <w:rsid w:val="00F70C39"/>
    <w:rsid w:val="00F70D24"/>
    <w:rsid w:val="00F70DBC"/>
    <w:rsid w:val="00F70DF8"/>
    <w:rsid w:val="00F70E3B"/>
    <w:rsid w:val="00F70E6E"/>
    <w:rsid w:val="00F70E98"/>
    <w:rsid w:val="00F70F2E"/>
    <w:rsid w:val="00F70F6B"/>
    <w:rsid w:val="00F70F87"/>
    <w:rsid w:val="00F71013"/>
    <w:rsid w:val="00F7101E"/>
    <w:rsid w:val="00F711A5"/>
    <w:rsid w:val="00F71204"/>
    <w:rsid w:val="00F7120A"/>
    <w:rsid w:val="00F71268"/>
    <w:rsid w:val="00F7127D"/>
    <w:rsid w:val="00F712E8"/>
    <w:rsid w:val="00F713C6"/>
    <w:rsid w:val="00F713CB"/>
    <w:rsid w:val="00F7140A"/>
    <w:rsid w:val="00F71468"/>
    <w:rsid w:val="00F7152C"/>
    <w:rsid w:val="00F7164B"/>
    <w:rsid w:val="00F71724"/>
    <w:rsid w:val="00F71798"/>
    <w:rsid w:val="00F717E8"/>
    <w:rsid w:val="00F71829"/>
    <w:rsid w:val="00F71854"/>
    <w:rsid w:val="00F7186F"/>
    <w:rsid w:val="00F718F6"/>
    <w:rsid w:val="00F71900"/>
    <w:rsid w:val="00F7190C"/>
    <w:rsid w:val="00F7198C"/>
    <w:rsid w:val="00F719A4"/>
    <w:rsid w:val="00F71A1B"/>
    <w:rsid w:val="00F71A39"/>
    <w:rsid w:val="00F71A43"/>
    <w:rsid w:val="00F71A85"/>
    <w:rsid w:val="00F71AE9"/>
    <w:rsid w:val="00F71B2D"/>
    <w:rsid w:val="00F71B6D"/>
    <w:rsid w:val="00F71B99"/>
    <w:rsid w:val="00F71C63"/>
    <w:rsid w:val="00F71C96"/>
    <w:rsid w:val="00F71C9A"/>
    <w:rsid w:val="00F71CA8"/>
    <w:rsid w:val="00F71E6E"/>
    <w:rsid w:val="00F71E7E"/>
    <w:rsid w:val="00F71E8F"/>
    <w:rsid w:val="00F71E9F"/>
    <w:rsid w:val="00F71EA7"/>
    <w:rsid w:val="00F71F07"/>
    <w:rsid w:val="00F71F0B"/>
    <w:rsid w:val="00F71F0E"/>
    <w:rsid w:val="00F71F2B"/>
    <w:rsid w:val="00F71F9B"/>
    <w:rsid w:val="00F71FCA"/>
    <w:rsid w:val="00F72013"/>
    <w:rsid w:val="00F7208E"/>
    <w:rsid w:val="00F720E3"/>
    <w:rsid w:val="00F720FF"/>
    <w:rsid w:val="00F721B5"/>
    <w:rsid w:val="00F721EE"/>
    <w:rsid w:val="00F7224F"/>
    <w:rsid w:val="00F723BC"/>
    <w:rsid w:val="00F72438"/>
    <w:rsid w:val="00F724FC"/>
    <w:rsid w:val="00F7252E"/>
    <w:rsid w:val="00F72643"/>
    <w:rsid w:val="00F72692"/>
    <w:rsid w:val="00F727A6"/>
    <w:rsid w:val="00F727F1"/>
    <w:rsid w:val="00F72852"/>
    <w:rsid w:val="00F728BB"/>
    <w:rsid w:val="00F729D8"/>
    <w:rsid w:val="00F72B6B"/>
    <w:rsid w:val="00F72BC5"/>
    <w:rsid w:val="00F72BF7"/>
    <w:rsid w:val="00F72BFB"/>
    <w:rsid w:val="00F72C84"/>
    <w:rsid w:val="00F72D02"/>
    <w:rsid w:val="00F72DA8"/>
    <w:rsid w:val="00F72E07"/>
    <w:rsid w:val="00F7307D"/>
    <w:rsid w:val="00F730B1"/>
    <w:rsid w:val="00F730B6"/>
    <w:rsid w:val="00F731A9"/>
    <w:rsid w:val="00F732CD"/>
    <w:rsid w:val="00F7330A"/>
    <w:rsid w:val="00F733C7"/>
    <w:rsid w:val="00F733D4"/>
    <w:rsid w:val="00F73468"/>
    <w:rsid w:val="00F73471"/>
    <w:rsid w:val="00F734D3"/>
    <w:rsid w:val="00F736A0"/>
    <w:rsid w:val="00F73726"/>
    <w:rsid w:val="00F73767"/>
    <w:rsid w:val="00F7377A"/>
    <w:rsid w:val="00F7378A"/>
    <w:rsid w:val="00F7379C"/>
    <w:rsid w:val="00F73809"/>
    <w:rsid w:val="00F738AF"/>
    <w:rsid w:val="00F73923"/>
    <w:rsid w:val="00F73995"/>
    <w:rsid w:val="00F739C4"/>
    <w:rsid w:val="00F739F1"/>
    <w:rsid w:val="00F73A0E"/>
    <w:rsid w:val="00F73A8B"/>
    <w:rsid w:val="00F73AAF"/>
    <w:rsid w:val="00F73B13"/>
    <w:rsid w:val="00F73B14"/>
    <w:rsid w:val="00F73C2C"/>
    <w:rsid w:val="00F73C40"/>
    <w:rsid w:val="00F73CB1"/>
    <w:rsid w:val="00F73D2C"/>
    <w:rsid w:val="00F73D40"/>
    <w:rsid w:val="00F73D9D"/>
    <w:rsid w:val="00F73DAE"/>
    <w:rsid w:val="00F73DFC"/>
    <w:rsid w:val="00F73F0B"/>
    <w:rsid w:val="00F73F3D"/>
    <w:rsid w:val="00F740AB"/>
    <w:rsid w:val="00F74165"/>
    <w:rsid w:val="00F7416E"/>
    <w:rsid w:val="00F74279"/>
    <w:rsid w:val="00F74287"/>
    <w:rsid w:val="00F742E1"/>
    <w:rsid w:val="00F74301"/>
    <w:rsid w:val="00F7437C"/>
    <w:rsid w:val="00F744AE"/>
    <w:rsid w:val="00F74515"/>
    <w:rsid w:val="00F74582"/>
    <w:rsid w:val="00F745A8"/>
    <w:rsid w:val="00F74696"/>
    <w:rsid w:val="00F746A1"/>
    <w:rsid w:val="00F746FE"/>
    <w:rsid w:val="00F74707"/>
    <w:rsid w:val="00F7476B"/>
    <w:rsid w:val="00F74789"/>
    <w:rsid w:val="00F74804"/>
    <w:rsid w:val="00F74846"/>
    <w:rsid w:val="00F7499B"/>
    <w:rsid w:val="00F74A23"/>
    <w:rsid w:val="00F74B4E"/>
    <w:rsid w:val="00F74B8B"/>
    <w:rsid w:val="00F74BB2"/>
    <w:rsid w:val="00F74BD2"/>
    <w:rsid w:val="00F74C27"/>
    <w:rsid w:val="00F74C88"/>
    <w:rsid w:val="00F74CC5"/>
    <w:rsid w:val="00F74CCC"/>
    <w:rsid w:val="00F74D0D"/>
    <w:rsid w:val="00F74D50"/>
    <w:rsid w:val="00F74E15"/>
    <w:rsid w:val="00F74EAB"/>
    <w:rsid w:val="00F74F32"/>
    <w:rsid w:val="00F74FA7"/>
    <w:rsid w:val="00F74FC5"/>
    <w:rsid w:val="00F750C3"/>
    <w:rsid w:val="00F75135"/>
    <w:rsid w:val="00F752AC"/>
    <w:rsid w:val="00F75329"/>
    <w:rsid w:val="00F7538E"/>
    <w:rsid w:val="00F7539F"/>
    <w:rsid w:val="00F753C6"/>
    <w:rsid w:val="00F7559B"/>
    <w:rsid w:val="00F7572B"/>
    <w:rsid w:val="00F75775"/>
    <w:rsid w:val="00F75800"/>
    <w:rsid w:val="00F75807"/>
    <w:rsid w:val="00F75836"/>
    <w:rsid w:val="00F7587A"/>
    <w:rsid w:val="00F758A3"/>
    <w:rsid w:val="00F758EE"/>
    <w:rsid w:val="00F75922"/>
    <w:rsid w:val="00F759F2"/>
    <w:rsid w:val="00F75A1F"/>
    <w:rsid w:val="00F75B39"/>
    <w:rsid w:val="00F75B93"/>
    <w:rsid w:val="00F75C0F"/>
    <w:rsid w:val="00F75C18"/>
    <w:rsid w:val="00F75C82"/>
    <w:rsid w:val="00F75CA1"/>
    <w:rsid w:val="00F75CB9"/>
    <w:rsid w:val="00F75D04"/>
    <w:rsid w:val="00F75D09"/>
    <w:rsid w:val="00F75D3B"/>
    <w:rsid w:val="00F75D3F"/>
    <w:rsid w:val="00F75D79"/>
    <w:rsid w:val="00F75DAC"/>
    <w:rsid w:val="00F75DD1"/>
    <w:rsid w:val="00F75DF2"/>
    <w:rsid w:val="00F75E27"/>
    <w:rsid w:val="00F75E90"/>
    <w:rsid w:val="00F75F05"/>
    <w:rsid w:val="00F75F15"/>
    <w:rsid w:val="00F7604D"/>
    <w:rsid w:val="00F7605D"/>
    <w:rsid w:val="00F76095"/>
    <w:rsid w:val="00F760CE"/>
    <w:rsid w:val="00F7625B"/>
    <w:rsid w:val="00F76268"/>
    <w:rsid w:val="00F7626F"/>
    <w:rsid w:val="00F762D8"/>
    <w:rsid w:val="00F76354"/>
    <w:rsid w:val="00F76393"/>
    <w:rsid w:val="00F763FD"/>
    <w:rsid w:val="00F76430"/>
    <w:rsid w:val="00F76463"/>
    <w:rsid w:val="00F76499"/>
    <w:rsid w:val="00F765A3"/>
    <w:rsid w:val="00F7661E"/>
    <w:rsid w:val="00F76637"/>
    <w:rsid w:val="00F76641"/>
    <w:rsid w:val="00F766E4"/>
    <w:rsid w:val="00F767AC"/>
    <w:rsid w:val="00F76802"/>
    <w:rsid w:val="00F76859"/>
    <w:rsid w:val="00F7688B"/>
    <w:rsid w:val="00F768CA"/>
    <w:rsid w:val="00F76921"/>
    <w:rsid w:val="00F76923"/>
    <w:rsid w:val="00F76961"/>
    <w:rsid w:val="00F76A7A"/>
    <w:rsid w:val="00F76BA5"/>
    <w:rsid w:val="00F76CEB"/>
    <w:rsid w:val="00F76CFF"/>
    <w:rsid w:val="00F76DE9"/>
    <w:rsid w:val="00F76FC2"/>
    <w:rsid w:val="00F76FD7"/>
    <w:rsid w:val="00F76FE1"/>
    <w:rsid w:val="00F77035"/>
    <w:rsid w:val="00F7703C"/>
    <w:rsid w:val="00F77061"/>
    <w:rsid w:val="00F770F8"/>
    <w:rsid w:val="00F77140"/>
    <w:rsid w:val="00F7718E"/>
    <w:rsid w:val="00F77235"/>
    <w:rsid w:val="00F77291"/>
    <w:rsid w:val="00F772E2"/>
    <w:rsid w:val="00F772EF"/>
    <w:rsid w:val="00F77315"/>
    <w:rsid w:val="00F77425"/>
    <w:rsid w:val="00F77544"/>
    <w:rsid w:val="00F77569"/>
    <w:rsid w:val="00F77655"/>
    <w:rsid w:val="00F7767D"/>
    <w:rsid w:val="00F776B8"/>
    <w:rsid w:val="00F776C5"/>
    <w:rsid w:val="00F777F2"/>
    <w:rsid w:val="00F77809"/>
    <w:rsid w:val="00F77815"/>
    <w:rsid w:val="00F77871"/>
    <w:rsid w:val="00F7788A"/>
    <w:rsid w:val="00F778AE"/>
    <w:rsid w:val="00F778EE"/>
    <w:rsid w:val="00F7791A"/>
    <w:rsid w:val="00F77956"/>
    <w:rsid w:val="00F779A9"/>
    <w:rsid w:val="00F77A4F"/>
    <w:rsid w:val="00F77A9C"/>
    <w:rsid w:val="00F77AA8"/>
    <w:rsid w:val="00F77B37"/>
    <w:rsid w:val="00F77BB5"/>
    <w:rsid w:val="00F77C47"/>
    <w:rsid w:val="00F77C54"/>
    <w:rsid w:val="00F77CA5"/>
    <w:rsid w:val="00F77CAE"/>
    <w:rsid w:val="00F77CC1"/>
    <w:rsid w:val="00F77D3B"/>
    <w:rsid w:val="00F77D52"/>
    <w:rsid w:val="00F77DE7"/>
    <w:rsid w:val="00F77EEC"/>
    <w:rsid w:val="00F77F59"/>
    <w:rsid w:val="00F77F65"/>
    <w:rsid w:val="00F77FE8"/>
    <w:rsid w:val="00F7AC64"/>
    <w:rsid w:val="00F8000B"/>
    <w:rsid w:val="00F8003A"/>
    <w:rsid w:val="00F80042"/>
    <w:rsid w:val="00F8013B"/>
    <w:rsid w:val="00F80206"/>
    <w:rsid w:val="00F80283"/>
    <w:rsid w:val="00F80284"/>
    <w:rsid w:val="00F802AA"/>
    <w:rsid w:val="00F802BD"/>
    <w:rsid w:val="00F80300"/>
    <w:rsid w:val="00F804E0"/>
    <w:rsid w:val="00F8050A"/>
    <w:rsid w:val="00F805B1"/>
    <w:rsid w:val="00F80642"/>
    <w:rsid w:val="00F8064B"/>
    <w:rsid w:val="00F80690"/>
    <w:rsid w:val="00F8077F"/>
    <w:rsid w:val="00F8085E"/>
    <w:rsid w:val="00F808BD"/>
    <w:rsid w:val="00F809C2"/>
    <w:rsid w:val="00F80A36"/>
    <w:rsid w:val="00F80AAB"/>
    <w:rsid w:val="00F80B06"/>
    <w:rsid w:val="00F80B18"/>
    <w:rsid w:val="00F80B35"/>
    <w:rsid w:val="00F80B3C"/>
    <w:rsid w:val="00F80BAC"/>
    <w:rsid w:val="00F80BBB"/>
    <w:rsid w:val="00F80C4A"/>
    <w:rsid w:val="00F80CC6"/>
    <w:rsid w:val="00F80CF3"/>
    <w:rsid w:val="00F80D69"/>
    <w:rsid w:val="00F80D6C"/>
    <w:rsid w:val="00F80EDC"/>
    <w:rsid w:val="00F80EE1"/>
    <w:rsid w:val="00F80F19"/>
    <w:rsid w:val="00F80F4D"/>
    <w:rsid w:val="00F810C3"/>
    <w:rsid w:val="00F8118A"/>
    <w:rsid w:val="00F81204"/>
    <w:rsid w:val="00F8130C"/>
    <w:rsid w:val="00F81333"/>
    <w:rsid w:val="00F81335"/>
    <w:rsid w:val="00F8134F"/>
    <w:rsid w:val="00F813CF"/>
    <w:rsid w:val="00F813D3"/>
    <w:rsid w:val="00F81697"/>
    <w:rsid w:val="00F816BD"/>
    <w:rsid w:val="00F816CF"/>
    <w:rsid w:val="00F8176B"/>
    <w:rsid w:val="00F817B6"/>
    <w:rsid w:val="00F81829"/>
    <w:rsid w:val="00F8185D"/>
    <w:rsid w:val="00F81901"/>
    <w:rsid w:val="00F81931"/>
    <w:rsid w:val="00F819CC"/>
    <w:rsid w:val="00F819F3"/>
    <w:rsid w:val="00F81A9F"/>
    <w:rsid w:val="00F81BAE"/>
    <w:rsid w:val="00F81C02"/>
    <w:rsid w:val="00F81D38"/>
    <w:rsid w:val="00F81D85"/>
    <w:rsid w:val="00F81DB2"/>
    <w:rsid w:val="00F81EF8"/>
    <w:rsid w:val="00F81EFD"/>
    <w:rsid w:val="00F82056"/>
    <w:rsid w:val="00F8215A"/>
    <w:rsid w:val="00F821D2"/>
    <w:rsid w:val="00F821E2"/>
    <w:rsid w:val="00F82235"/>
    <w:rsid w:val="00F82247"/>
    <w:rsid w:val="00F822F9"/>
    <w:rsid w:val="00F822FD"/>
    <w:rsid w:val="00F8243F"/>
    <w:rsid w:val="00F82461"/>
    <w:rsid w:val="00F8249F"/>
    <w:rsid w:val="00F824D0"/>
    <w:rsid w:val="00F82541"/>
    <w:rsid w:val="00F82672"/>
    <w:rsid w:val="00F8282B"/>
    <w:rsid w:val="00F8284F"/>
    <w:rsid w:val="00F82862"/>
    <w:rsid w:val="00F8286A"/>
    <w:rsid w:val="00F828E3"/>
    <w:rsid w:val="00F82950"/>
    <w:rsid w:val="00F82976"/>
    <w:rsid w:val="00F8298C"/>
    <w:rsid w:val="00F829FE"/>
    <w:rsid w:val="00F82AF2"/>
    <w:rsid w:val="00F82BBA"/>
    <w:rsid w:val="00F82C84"/>
    <w:rsid w:val="00F82CBD"/>
    <w:rsid w:val="00F82CE4"/>
    <w:rsid w:val="00F82DEF"/>
    <w:rsid w:val="00F82E11"/>
    <w:rsid w:val="00F82E1F"/>
    <w:rsid w:val="00F82E2A"/>
    <w:rsid w:val="00F82E3C"/>
    <w:rsid w:val="00F82E74"/>
    <w:rsid w:val="00F82F4B"/>
    <w:rsid w:val="00F82F75"/>
    <w:rsid w:val="00F82F8E"/>
    <w:rsid w:val="00F830D5"/>
    <w:rsid w:val="00F83114"/>
    <w:rsid w:val="00F83115"/>
    <w:rsid w:val="00F8314D"/>
    <w:rsid w:val="00F83170"/>
    <w:rsid w:val="00F831BA"/>
    <w:rsid w:val="00F832E2"/>
    <w:rsid w:val="00F83307"/>
    <w:rsid w:val="00F8337A"/>
    <w:rsid w:val="00F83402"/>
    <w:rsid w:val="00F8341B"/>
    <w:rsid w:val="00F8349C"/>
    <w:rsid w:val="00F834D0"/>
    <w:rsid w:val="00F834D6"/>
    <w:rsid w:val="00F834E0"/>
    <w:rsid w:val="00F83510"/>
    <w:rsid w:val="00F835B4"/>
    <w:rsid w:val="00F8366B"/>
    <w:rsid w:val="00F83675"/>
    <w:rsid w:val="00F8368A"/>
    <w:rsid w:val="00F83832"/>
    <w:rsid w:val="00F83838"/>
    <w:rsid w:val="00F83933"/>
    <w:rsid w:val="00F83991"/>
    <w:rsid w:val="00F839E3"/>
    <w:rsid w:val="00F83A11"/>
    <w:rsid w:val="00F83AEF"/>
    <w:rsid w:val="00F83B49"/>
    <w:rsid w:val="00F83BAE"/>
    <w:rsid w:val="00F83C24"/>
    <w:rsid w:val="00F83C3D"/>
    <w:rsid w:val="00F83CC4"/>
    <w:rsid w:val="00F83CE3"/>
    <w:rsid w:val="00F83CEF"/>
    <w:rsid w:val="00F83D74"/>
    <w:rsid w:val="00F83D79"/>
    <w:rsid w:val="00F83DDA"/>
    <w:rsid w:val="00F840E9"/>
    <w:rsid w:val="00F841AC"/>
    <w:rsid w:val="00F84283"/>
    <w:rsid w:val="00F8441C"/>
    <w:rsid w:val="00F8448B"/>
    <w:rsid w:val="00F84514"/>
    <w:rsid w:val="00F84516"/>
    <w:rsid w:val="00F84555"/>
    <w:rsid w:val="00F845A1"/>
    <w:rsid w:val="00F84675"/>
    <w:rsid w:val="00F846D3"/>
    <w:rsid w:val="00F846DE"/>
    <w:rsid w:val="00F8474C"/>
    <w:rsid w:val="00F84873"/>
    <w:rsid w:val="00F8496A"/>
    <w:rsid w:val="00F849D6"/>
    <w:rsid w:val="00F849ED"/>
    <w:rsid w:val="00F84A5E"/>
    <w:rsid w:val="00F84AE6"/>
    <w:rsid w:val="00F84B93"/>
    <w:rsid w:val="00F84BCD"/>
    <w:rsid w:val="00F84C5B"/>
    <w:rsid w:val="00F84CAF"/>
    <w:rsid w:val="00F84CC4"/>
    <w:rsid w:val="00F84DF3"/>
    <w:rsid w:val="00F84EB1"/>
    <w:rsid w:val="00F84F95"/>
    <w:rsid w:val="00F84FA4"/>
    <w:rsid w:val="00F84FAF"/>
    <w:rsid w:val="00F84FCE"/>
    <w:rsid w:val="00F84FE4"/>
    <w:rsid w:val="00F850C2"/>
    <w:rsid w:val="00F850EE"/>
    <w:rsid w:val="00F851A6"/>
    <w:rsid w:val="00F85205"/>
    <w:rsid w:val="00F85363"/>
    <w:rsid w:val="00F8546E"/>
    <w:rsid w:val="00F8546F"/>
    <w:rsid w:val="00F85485"/>
    <w:rsid w:val="00F856B8"/>
    <w:rsid w:val="00F85748"/>
    <w:rsid w:val="00F85769"/>
    <w:rsid w:val="00F858B2"/>
    <w:rsid w:val="00F8595A"/>
    <w:rsid w:val="00F859EE"/>
    <w:rsid w:val="00F85A2D"/>
    <w:rsid w:val="00F85A3C"/>
    <w:rsid w:val="00F85A8C"/>
    <w:rsid w:val="00F85ABD"/>
    <w:rsid w:val="00F85ACD"/>
    <w:rsid w:val="00F85B67"/>
    <w:rsid w:val="00F85CE3"/>
    <w:rsid w:val="00F85CFD"/>
    <w:rsid w:val="00F85D34"/>
    <w:rsid w:val="00F85D60"/>
    <w:rsid w:val="00F85D82"/>
    <w:rsid w:val="00F85E0C"/>
    <w:rsid w:val="00F85E86"/>
    <w:rsid w:val="00F85F18"/>
    <w:rsid w:val="00F85F1A"/>
    <w:rsid w:val="00F85F20"/>
    <w:rsid w:val="00F85FED"/>
    <w:rsid w:val="00F85FF3"/>
    <w:rsid w:val="00F86070"/>
    <w:rsid w:val="00F8611F"/>
    <w:rsid w:val="00F861C0"/>
    <w:rsid w:val="00F86279"/>
    <w:rsid w:val="00F862B7"/>
    <w:rsid w:val="00F862D9"/>
    <w:rsid w:val="00F86306"/>
    <w:rsid w:val="00F86393"/>
    <w:rsid w:val="00F863DC"/>
    <w:rsid w:val="00F863F5"/>
    <w:rsid w:val="00F86449"/>
    <w:rsid w:val="00F8659E"/>
    <w:rsid w:val="00F86600"/>
    <w:rsid w:val="00F86628"/>
    <w:rsid w:val="00F8669E"/>
    <w:rsid w:val="00F866CB"/>
    <w:rsid w:val="00F8684B"/>
    <w:rsid w:val="00F868DD"/>
    <w:rsid w:val="00F868E8"/>
    <w:rsid w:val="00F869DA"/>
    <w:rsid w:val="00F86ACE"/>
    <w:rsid w:val="00F86B5F"/>
    <w:rsid w:val="00F86C22"/>
    <w:rsid w:val="00F86C9B"/>
    <w:rsid w:val="00F86CD6"/>
    <w:rsid w:val="00F86CEE"/>
    <w:rsid w:val="00F86D38"/>
    <w:rsid w:val="00F86DCB"/>
    <w:rsid w:val="00F86DEA"/>
    <w:rsid w:val="00F86E43"/>
    <w:rsid w:val="00F86ED3"/>
    <w:rsid w:val="00F86F33"/>
    <w:rsid w:val="00F86F99"/>
    <w:rsid w:val="00F86FB8"/>
    <w:rsid w:val="00F8704D"/>
    <w:rsid w:val="00F870B5"/>
    <w:rsid w:val="00F87109"/>
    <w:rsid w:val="00F8712E"/>
    <w:rsid w:val="00F8715B"/>
    <w:rsid w:val="00F87166"/>
    <w:rsid w:val="00F87191"/>
    <w:rsid w:val="00F872DF"/>
    <w:rsid w:val="00F87577"/>
    <w:rsid w:val="00F87580"/>
    <w:rsid w:val="00F87613"/>
    <w:rsid w:val="00F876EB"/>
    <w:rsid w:val="00F8772A"/>
    <w:rsid w:val="00F87780"/>
    <w:rsid w:val="00F8778E"/>
    <w:rsid w:val="00F877E8"/>
    <w:rsid w:val="00F878C8"/>
    <w:rsid w:val="00F87AFC"/>
    <w:rsid w:val="00F87B11"/>
    <w:rsid w:val="00F87BE0"/>
    <w:rsid w:val="00F87C0B"/>
    <w:rsid w:val="00F87CE3"/>
    <w:rsid w:val="00F87CFD"/>
    <w:rsid w:val="00F87DEE"/>
    <w:rsid w:val="00F87E02"/>
    <w:rsid w:val="00F87E49"/>
    <w:rsid w:val="00F87F00"/>
    <w:rsid w:val="00F87F57"/>
    <w:rsid w:val="00F87F66"/>
    <w:rsid w:val="00F87F67"/>
    <w:rsid w:val="00F9001A"/>
    <w:rsid w:val="00F90030"/>
    <w:rsid w:val="00F9012C"/>
    <w:rsid w:val="00F90137"/>
    <w:rsid w:val="00F901AA"/>
    <w:rsid w:val="00F902B6"/>
    <w:rsid w:val="00F90372"/>
    <w:rsid w:val="00F90470"/>
    <w:rsid w:val="00F904D1"/>
    <w:rsid w:val="00F904FA"/>
    <w:rsid w:val="00F90517"/>
    <w:rsid w:val="00F90602"/>
    <w:rsid w:val="00F90625"/>
    <w:rsid w:val="00F906C1"/>
    <w:rsid w:val="00F907CF"/>
    <w:rsid w:val="00F9088A"/>
    <w:rsid w:val="00F9095C"/>
    <w:rsid w:val="00F90983"/>
    <w:rsid w:val="00F909B0"/>
    <w:rsid w:val="00F90A88"/>
    <w:rsid w:val="00F90B4F"/>
    <w:rsid w:val="00F90B94"/>
    <w:rsid w:val="00F90BC8"/>
    <w:rsid w:val="00F90BCF"/>
    <w:rsid w:val="00F90C0E"/>
    <w:rsid w:val="00F90D4E"/>
    <w:rsid w:val="00F90D5B"/>
    <w:rsid w:val="00F90DB8"/>
    <w:rsid w:val="00F90E0C"/>
    <w:rsid w:val="00F90F91"/>
    <w:rsid w:val="00F90FFB"/>
    <w:rsid w:val="00F9113F"/>
    <w:rsid w:val="00F911A1"/>
    <w:rsid w:val="00F912A5"/>
    <w:rsid w:val="00F91318"/>
    <w:rsid w:val="00F91358"/>
    <w:rsid w:val="00F913A2"/>
    <w:rsid w:val="00F913E5"/>
    <w:rsid w:val="00F913F6"/>
    <w:rsid w:val="00F914BC"/>
    <w:rsid w:val="00F9157F"/>
    <w:rsid w:val="00F91587"/>
    <w:rsid w:val="00F9160E"/>
    <w:rsid w:val="00F9164E"/>
    <w:rsid w:val="00F9169E"/>
    <w:rsid w:val="00F916D3"/>
    <w:rsid w:val="00F9182D"/>
    <w:rsid w:val="00F91834"/>
    <w:rsid w:val="00F919EB"/>
    <w:rsid w:val="00F91BC7"/>
    <w:rsid w:val="00F91BCA"/>
    <w:rsid w:val="00F91C53"/>
    <w:rsid w:val="00F91C61"/>
    <w:rsid w:val="00F91C6B"/>
    <w:rsid w:val="00F91CB9"/>
    <w:rsid w:val="00F91D10"/>
    <w:rsid w:val="00F91D28"/>
    <w:rsid w:val="00F91D47"/>
    <w:rsid w:val="00F91D9A"/>
    <w:rsid w:val="00F91DCB"/>
    <w:rsid w:val="00F91E54"/>
    <w:rsid w:val="00F91ED5"/>
    <w:rsid w:val="00F91F08"/>
    <w:rsid w:val="00F91F1F"/>
    <w:rsid w:val="00F91F7C"/>
    <w:rsid w:val="00F91FB3"/>
    <w:rsid w:val="00F920A4"/>
    <w:rsid w:val="00F920F4"/>
    <w:rsid w:val="00F921B5"/>
    <w:rsid w:val="00F921E1"/>
    <w:rsid w:val="00F922D7"/>
    <w:rsid w:val="00F922E6"/>
    <w:rsid w:val="00F9234A"/>
    <w:rsid w:val="00F92497"/>
    <w:rsid w:val="00F9259A"/>
    <w:rsid w:val="00F92754"/>
    <w:rsid w:val="00F927C4"/>
    <w:rsid w:val="00F92896"/>
    <w:rsid w:val="00F92914"/>
    <w:rsid w:val="00F92924"/>
    <w:rsid w:val="00F92982"/>
    <w:rsid w:val="00F92AB4"/>
    <w:rsid w:val="00F92B41"/>
    <w:rsid w:val="00F92BA4"/>
    <w:rsid w:val="00F92BB6"/>
    <w:rsid w:val="00F92C1F"/>
    <w:rsid w:val="00F92C4A"/>
    <w:rsid w:val="00F92C79"/>
    <w:rsid w:val="00F92CDF"/>
    <w:rsid w:val="00F92D1D"/>
    <w:rsid w:val="00F92D4B"/>
    <w:rsid w:val="00F92D4D"/>
    <w:rsid w:val="00F92D62"/>
    <w:rsid w:val="00F92DF8"/>
    <w:rsid w:val="00F92E36"/>
    <w:rsid w:val="00F92F23"/>
    <w:rsid w:val="00F92F36"/>
    <w:rsid w:val="00F92F76"/>
    <w:rsid w:val="00F930C1"/>
    <w:rsid w:val="00F9327F"/>
    <w:rsid w:val="00F9328A"/>
    <w:rsid w:val="00F9329E"/>
    <w:rsid w:val="00F93372"/>
    <w:rsid w:val="00F934A0"/>
    <w:rsid w:val="00F934CE"/>
    <w:rsid w:val="00F936B2"/>
    <w:rsid w:val="00F93803"/>
    <w:rsid w:val="00F93830"/>
    <w:rsid w:val="00F9385E"/>
    <w:rsid w:val="00F938BF"/>
    <w:rsid w:val="00F9391A"/>
    <w:rsid w:val="00F93A74"/>
    <w:rsid w:val="00F93B57"/>
    <w:rsid w:val="00F93B5B"/>
    <w:rsid w:val="00F93CCB"/>
    <w:rsid w:val="00F93CD3"/>
    <w:rsid w:val="00F93D1C"/>
    <w:rsid w:val="00F93D2A"/>
    <w:rsid w:val="00F93D9F"/>
    <w:rsid w:val="00F93DEA"/>
    <w:rsid w:val="00F93DEF"/>
    <w:rsid w:val="00F93E40"/>
    <w:rsid w:val="00F93E79"/>
    <w:rsid w:val="00F93E97"/>
    <w:rsid w:val="00F93EFE"/>
    <w:rsid w:val="00F93F0B"/>
    <w:rsid w:val="00F94000"/>
    <w:rsid w:val="00F9406E"/>
    <w:rsid w:val="00F9407D"/>
    <w:rsid w:val="00F940E4"/>
    <w:rsid w:val="00F94124"/>
    <w:rsid w:val="00F941B1"/>
    <w:rsid w:val="00F94213"/>
    <w:rsid w:val="00F9425C"/>
    <w:rsid w:val="00F942B0"/>
    <w:rsid w:val="00F942BF"/>
    <w:rsid w:val="00F942CF"/>
    <w:rsid w:val="00F94370"/>
    <w:rsid w:val="00F9439D"/>
    <w:rsid w:val="00F944C8"/>
    <w:rsid w:val="00F94631"/>
    <w:rsid w:val="00F94707"/>
    <w:rsid w:val="00F947BE"/>
    <w:rsid w:val="00F9487C"/>
    <w:rsid w:val="00F949B6"/>
    <w:rsid w:val="00F94A32"/>
    <w:rsid w:val="00F94B00"/>
    <w:rsid w:val="00F94B76"/>
    <w:rsid w:val="00F94B8E"/>
    <w:rsid w:val="00F94B9C"/>
    <w:rsid w:val="00F94BE8"/>
    <w:rsid w:val="00F94C1E"/>
    <w:rsid w:val="00F94C62"/>
    <w:rsid w:val="00F94D66"/>
    <w:rsid w:val="00F94EF3"/>
    <w:rsid w:val="00F94F2B"/>
    <w:rsid w:val="00F94F35"/>
    <w:rsid w:val="00F94F50"/>
    <w:rsid w:val="00F94F66"/>
    <w:rsid w:val="00F94F93"/>
    <w:rsid w:val="00F94FB9"/>
    <w:rsid w:val="00F9501B"/>
    <w:rsid w:val="00F9505B"/>
    <w:rsid w:val="00F95110"/>
    <w:rsid w:val="00F9515C"/>
    <w:rsid w:val="00F9518D"/>
    <w:rsid w:val="00F951AA"/>
    <w:rsid w:val="00F951F1"/>
    <w:rsid w:val="00F95274"/>
    <w:rsid w:val="00F952EA"/>
    <w:rsid w:val="00F95448"/>
    <w:rsid w:val="00F95477"/>
    <w:rsid w:val="00F95492"/>
    <w:rsid w:val="00F95528"/>
    <w:rsid w:val="00F955B1"/>
    <w:rsid w:val="00F95604"/>
    <w:rsid w:val="00F95618"/>
    <w:rsid w:val="00F957AE"/>
    <w:rsid w:val="00F958A6"/>
    <w:rsid w:val="00F9594E"/>
    <w:rsid w:val="00F9595F"/>
    <w:rsid w:val="00F95972"/>
    <w:rsid w:val="00F95A23"/>
    <w:rsid w:val="00F95A80"/>
    <w:rsid w:val="00F95A8A"/>
    <w:rsid w:val="00F95C3A"/>
    <w:rsid w:val="00F95C5F"/>
    <w:rsid w:val="00F95CEC"/>
    <w:rsid w:val="00F95D3A"/>
    <w:rsid w:val="00F95DF8"/>
    <w:rsid w:val="00F95E34"/>
    <w:rsid w:val="00F95E7B"/>
    <w:rsid w:val="00F95FE8"/>
    <w:rsid w:val="00F96031"/>
    <w:rsid w:val="00F9604A"/>
    <w:rsid w:val="00F96067"/>
    <w:rsid w:val="00F9606C"/>
    <w:rsid w:val="00F9619D"/>
    <w:rsid w:val="00F96239"/>
    <w:rsid w:val="00F96273"/>
    <w:rsid w:val="00F96286"/>
    <w:rsid w:val="00F96316"/>
    <w:rsid w:val="00F96364"/>
    <w:rsid w:val="00F9636C"/>
    <w:rsid w:val="00F963A8"/>
    <w:rsid w:val="00F9642D"/>
    <w:rsid w:val="00F96438"/>
    <w:rsid w:val="00F9646C"/>
    <w:rsid w:val="00F964D4"/>
    <w:rsid w:val="00F96542"/>
    <w:rsid w:val="00F965DD"/>
    <w:rsid w:val="00F96604"/>
    <w:rsid w:val="00F96665"/>
    <w:rsid w:val="00F9669C"/>
    <w:rsid w:val="00F966FB"/>
    <w:rsid w:val="00F967E4"/>
    <w:rsid w:val="00F96835"/>
    <w:rsid w:val="00F9684A"/>
    <w:rsid w:val="00F968B4"/>
    <w:rsid w:val="00F96916"/>
    <w:rsid w:val="00F96957"/>
    <w:rsid w:val="00F969B4"/>
    <w:rsid w:val="00F969EE"/>
    <w:rsid w:val="00F96A20"/>
    <w:rsid w:val="00F96AC3"/>
    <w:rsid w:val="00F96AD9"/>
    <w:rsid w:val="00F96ADE"/>
    <w:rsid w:val="00F96B00"/>
    <w:rsid w:val="00F96B28"/>
    <w:rsid w:val="00F96B2E"/>
    <w:rsid w:val="00F96B74"/>
    <w:rsid w:val="00F96BB4"/>
    <w:rsid w:val="00F96BDD"/>
    <w:rsid w:val="00F96BF5"/>
    <w:rsid w:val="00F96C3E"/>
    <w:rsid w:val="00F96CA6"/>
    <w:rsid w:val="00F96D38"/>
    <w:rsid w:val="00F96D46"/>
    <w:rsid w:val="00F96DFF"/>
    <w:rsid w:val="00F96E06"/>
    <w:rsid w:val="00F96EEF"/>
    <w:rsid w:val="00F96FF6"/>
    <w:rsid w:val="00F9707B"/>
    <w:rsid w:val="00F97147"/>
    <w:rsid w:val="00F971D3"/>
    <w:rsid w:val="00F971FA"/>
    <w:rsid w:val="00F9722A"/>
    <w:rsid w:val="00F972A6"/>
    <w:rsid w:val="00F972CB"/>
    <w:rsid w:val="00F973D9"/>
    <w:rsid w:val="00F9740B"/>
    <w:rsid w:val="00F9741B"/>
    <w:rsid w:val="00F974F4"/>
    <w:rsid w:val="00F97509"/>
    <w:rsid w:val="00F97545"/>
    <w:rsid w:val="00F975A9"/>
    <w:rsid w:val="00F97617"/>
    <w:rsid w:val="00F976C8"/>
    <w:rsid w:val="00F976F4"/>
    <w:rsid w:val="00F9772F"/>
    <w:rsid w:val="00F97790"/>
    <w:rsid w:val="00F977C6"/>
    <w:rsid w:val="00F977EE"/>
    <w:rsid w:val="00F9781D"/>
    <w:rsid w:val="00F9785D"/>
    <w:rsid w:val="00F97888"/>
    <w:rsid w:val="00F978C4"/>
    <w:rsid w:val="00F97985"/>
    <w:rsid w:val="00F97A2D"/>
    <w:rsid w:val="00F97AB7"/>
    <w:rsid w:val="00F97AE9"/>
    <w:rsid w:val="00F97AF9"/>
    <w:rsid w:val="00F97B53"/>
    <w:rsid w:val="00F97BDC"/>
    <w:rsid w:val="00F97C0E"/>
    <w:rsid w:val="00F97C66"/>
    <w:rsid w:val="00F97D67"/>
    <w:rsid w:val="00F97D76"/>
    <w:rsid w:val="00F97E5F"/>
    <w:rsid w:val="00F97EA2"/>
    <w:rsid w:val="00FA00D3"/>
    <w:rsid w:val="00FA0157"/>
    <w:rsid w:val="00FA01A9"/>
    <w:rsid w:val="00FA025A"/>
    <w:rsid w:val="00FA02B5"/>
    <w:rsid w:val="00FA02C0"/>
    <w:rsid w:val="00FA0353"/>
    <w:rsid w:val="00FA03D3"/>
    <w:rsid w:val="00FA048D"/>
    <w:rsid w:val="00FA049E"/>
    <w:rsid w:val="00FA04D4"/>
    <w:rsid w:val="00FA053C"/>
    <w:rsid w:val="00FA0549"/>
    <w:rsid w:val="00FA062F"/>
    <w:rsid w:val="00FA064D"/>
    <w:rsid w:val="00FA067B"/>
    <w:rsid w:val="00FA06AA"/>
    <w:rsid w:val="00FA07EC"/>
    <w:rsid w:val="00FA07F9"/>
    <w:rsid w:val="00FA0812"/>
    <w:rsid w:val="00FA0849"/>
    <w:rsid w:val="00FA0852"/>
    <w:rsid w:val="00FA089C"/>
    <w:rsid w:val="00FA08C9"/>
    <w:rsid w:val="00FA08FC"/>
    <w:rsid w:val="00FA095F"/>
    <w:rsid w:val="00FA09B6"/>
    <w:rsid w:val="00FA0A1F"/>
    <w:rsid w:val="00FA0A2D"/>
    <w:rsid w:val="00FA0AF0"/>
    <w:rsid w:val="00FA0B74"/>
    <w:rsid w:val="00FA0C60"/>
    <w:rsid w:val="00FA0D0B"/>
    <w:rsid w:val="00FA0D9D"/>
    <w:rsid w:val="00FA0DE7"/>
    <w:rsid w:val="00FA0DF5"/>
    <w:rsid w:val="00FA0E78"/>
    <w:rsid w:val="00FA0F24"/>
    <w:rsid w:val="00FA0F67"/>
    <w:rsid w:val="00FA0F6E"/>
    <w:rsid w:val="00FA0FAA"/>
    <w:rsid w:val="00FA10BD"/>
    <w:rsid w:val="00FA1136"/>
    <w:rsid w:val="00FA1140"/>
    <w:rsid w:val="00FA1186"/>
    <w:rsid w:val="00FA11A0"/>
    <w:rsid w:val="00FA12B6"/>
    <w:rsid w:val="00FA1348"/>
    <w:rsid w:val="00FA13FC"/>
    <w:rsid w:val="00FA14C8"/>
    <w:rsid w:val="00FA15BE"/>
    <w:rsid w:val="00FA15C1"/>
    <w:rsid w:val="00FA15FE"/>
    <w:rsid w:val="00FA1611"/>
    <w:rsid w:val="00FA1673"/>
    <w:rsid w:val="00FA1680"/>
    <w:rsid w:val="00FA170C"/>
    <w:rsid w:val="00FA180A"/>
    <w:rsid w:val="00FA182C"/>
    <w:rsid w:val="00FA1831"/>
    <w:rsid w:val="00FA183B"/>
    <w:rsid w:val="00FA184C"/>
    <w:rsid w:val="00FA18BE"/>
    <w:rsid w:val="00FA1967"/>
    <w:rsid w:val="00FA1A1F"/>
    <w:rsid w:val="00FA1A6D"/>
    <w:rsid w:val="00FA1AC1"/>
    <w:rsid w:val="00FA1AFE"/>
    <w:rsid w:val="00FA1CCC"/>
    <w:rsid w:val="00FA1D15"/>
    <w:rsid w:val="00FA1D61"/>
    <w:rsid w:val="00FA1E11"/>
    <w:rsid w:val="00FA1EF9"/>
    <w:rsid w:val="00FA1F42"/>
    <w:rsid w:val="00FA1F91"/>
    <w:rsid w:val="00FA1FF7"/>
    <w:rsid w:val="00FA203D"/>
    <w:rsid w:val="00FA20E5"/>
    <w:rsid w:val="00FA2145"/>
    <w:rsid w:val="00FA21C1"/>
    <w:rsid w:val="00FA21E2"/>
    <w:rsid w:val="00FA220A"/>
    <w:rsid w:val="00FA2302"/>
    <w:rsid w:val="00FA2314"/>
    <w:rsid w:val="00FA23C0"/>
    <w:rsid w:val="00FA244E"/>
    <w:rsid w:val="00FA24AE"/>
    <w:rsid w:val="00FA2533"/>
    <w:rsid w:val="00FA2548"/>
    <w:rsid w:val="00FA2556"/>
    <w:rsid w:val="00FA2583"/>
    <w:rsid w:val="00FA258B"/>
    <w:rsid w:val="00FA26CF"/>
    <w:rsid w:val="00FA26D0"/>
    <w:rsid w:val="00FA27C4"/>
    <w:rsid w:val="00FA2823"/>
    <w:rsid w:val="00FA28B5"/>
    <w:rsid w:val="00FA28D1"/>
    <w:rsid w:val="00FA291C"/>
    <w:rsid w:val="00FA297C"/>
    <w:rsid w:val="00FA2A20"/>
    <w:rsid w:val="00FA2ACF"/>
    <w:rsid w:val="00FA2AEE"/>
    <w:rsid w:val="00FA2BA5"/>
    <w:rsid w:val="00FA2BBE"/>
    <w:rsid w:val="00FA2BD9"/>
    <w:rsid w:val="00FA2BED"/>
    <w:rsid w:val="00FA2C0E"/>
    <w:rsid w:val="00FA2C17"/>
    <w:rsid w:val="00FA2C7D"/>
    <w:rsid w:val="00FA2D29"/>
    <w:rsid w:val="00FA2D7D"/>
    <w:rsid w:val="00FA2DC8"/>
    <w:rsid w:val="00FA2E47"/>
    <w:rsid w:val="00FA2EF6"/>
    <w:rsid w:val="00FA2FA3"/>
    <w:rsid w:val="00FA30CB"/>
    <w:rsid w:val="00FA3100"/>
    <w:rsid w:val="00FA31CC"/>
    <w:rsid w:val="00FA32FF"/>
    <w:rsid w:val="00FA342E"/>
    <w:rsid w:val="00FA347C"/>
    <w:rsid w:val="00FA3537"/>
    <w:rsid w:val="00FA3567"/>
    <w:rsid w:val="00FA36EE"/>
    <w:rsid w:val="00FA36F1"/>
    <w:rsid w:val="00FA3732"/>
    <w:rsid w:val="00FA3784"/>
    <w:rsid w:val="00FA37BF"/>
    <w:rsid w:val="00FA381D"/>
    <w:rsid w:val="00FA3872"/>
    <w:rsid w:val="00FA38A9"/>
    <w:rsid w:val="00FA3913"/>
    <w:rsid w:val="00FA391E"/>
    <w:rsid w:val="00FA39A2"/>
    <w:rsid w:val="00FA3AE5"/>
    <w:rsid w:val="00FA3B30"/>
    <w:rsid w:val="00FA3BBD"/>
    <w:rsid w:val="00FA3C1B"/>
    <w:rsid w:val="00FA3C9E"/>
    <w:rsid w:val="00FA3CB5"/>
    <w:rsid w:val="00FA3D7C"/>
    <w:rsid w:val="00FA3D9C"/>
    <w:rsid w:val="00FA3DAA"/>
    <w:rsid w:val="00FA3E75"/>
    <w:rsid w:val="00FA3F00"/>
    <w:rsid w:val="00FA3F53"/>
    <w:rsid w:val="00FA3FE9"/>
    <w:rsid w:val="00FA4095"/>
    <w:rsid w:val="00FA40A0"/>
    <w:rsid w:val="00FA40F7"/>
    <w:rsid w:val="00FA4101"/>
    <w:rsid w:val="00FA4103"/>
    <w:rsid w:val="00FA4133"/>
    <w:rsid w:val="00FA41DE"/>
    <w:rsid w:val="00FA42FA"/>
    <w:rsid w:val="00FA4306"/>
    <w:rsid w:val="00FA433F"/>
    <w:rsid w:val="00FA439F"/>
    <w:rsid w:val="00FA4456"/>
    <w:rsid w:val="00FA446A"/>
    <w:rsid w:val="00FA4494"/>
    <w:rsid w:val="00FA44DD"/>
    <w:rsid w:val="00FA454D"/>
    <w:rsid w:val="00FA45AF"/>
    <w:rsid w:val="00FA4655"/>
    <w:rsid w:val="00FA4688"/>
    <w:rsid w:val="00FA47D6"/>
    <w:rsid w:val="00FA4895"/>
    <w:rsid w:val="00FA4917"/>
    <w:rsid w:val="00FA4918"/>
    <w:rsid w:val="00FA494A"/>
    <w:rsid w:val="00FA49F9"/>
    <w:rsid w:val="00FA4A55"/>
    <w:rsid w:val="00FA4A6E"/>
    <w:rsid w:val="00FA4A74"/>
    <w:rsid w:val="00FA4A77"/>
    <w:rsid w:val="00FA4A92"/>
    <w:rsid w:val="00FA4B14"/>
    <w:rsid w:val="00FA4BA7"/>
    <w:rsid w:val="00FA4BAD"/>
    <w:rsid w:val="00FA4BCF"/>
    <w:rsid w:val="00FA4C94"/>
    <w:rsid w:val="00FA4D0B"/>
    <w:rsid w:val="00FA4DBB"/>
    <w:rsid w:val="00FA4EA3"/>
    <w:rsid w:val="00FA4EE0"/>
    <w:rsid w:val="00FA4F67"/>
    <w:rsid w:val="00FA4F96"/>
    <w:rsid w:val="00FA4FC1"/>
    <w:rsid w:val="00FA5077"/>
    <w:rsid w:val="00FA5089"/>
    <w:rsid w:val="00FA5091"/>
    <w:rsid w:val="00FA50A4"/>
    <w:rsid w:val="00FA50F4"/>
    <w:rsid w:val="00FA5197"/>
    <w:rsid w:val="00FA51FB"/>
    <w:rsid w:val="00FA520B"/>
    <w:rsid w:val="00FA52B8"/>
    <w:rsid w:val="00FA531D"/>
    <w:rsid w:val="00FA5367"/>
    <w:rsid w:val="00FA53A2"/>
    <w:rsid w:val="00FA53AD"/>
    <w:rsid w:val="00FA543B"/>
    <w:rsid w:val="00FA5488"/>
    <w:rsid w:val="00FA54B7"/>
    <w:rsid w:val="00FA5597"/>
    <w:rsid w:val="00FA55D3"/>
    <w:rsid w:val="00FA563C"/>
    <w:rsid w:val="00FA5705"/>
    <w:rsid w:val="00FA5730"/>
    <w:rsid w:val="00FA575F"/>
    <w:rsid w:val="00FA5763"/>
    <w:rsid w:val="00FA582D"/>
    <w:rsid w:val="00FA58E9"/>
    <w:rsid w:val="00FA59E1"/>
    <w:rsid w:val="00FA59E7"/>
    <w:rsid w:val="00FA5A7E"/>
    <w:rsid w:val="00FA5AC0"/>
    <w:rsid w:val="00FA5B44"/>
    <w:rsid w:val="00FA5BFF"/>
    <w:rsid w:val="00FA5D54"/>
    <w:rsid w:val="00FA5D85"/>
    <w:rsid w:val="00FA5E7E"/>
    <w:rsid w:val="00FA5FA6"/>
    <w:rsid w:val="00FA5FE5"/>
    <w:rsid w:val="00FA6037"/>
    <w:rsid w:val="00FA6063"/>
    <w:rsid w:val="00FA608E"/>
    <w:rsid w:val="00FA60BE"/>
    <w:rsid w:val="00FA61A0"/>
    <w:rsid w:val="00FA6252"/>
    <w:rsid w:val="00FA6367"/>
    <w:rsid w:val="00FA649F"/>
    <w:rsid w:val="00FA652D"/>
    <w:rsid w:val="00FA6557"/>
    <w:rsid w:val="00FA657D"/>
    <w:rsid w:val="00FA659B"/>
    <w:rsid w:val="00FA65BC"/>
    <w:rsid w:val="00FA6673"/>
    <w:rsid w:val="00FA6698"/>
    <w:rsid w:val="00FA66EA"/>
    <w:rsid w:val="00FA671F"/>
    <w:rsid w:val="00FA672A"/>
    <w:rsid w:val="00FA6731"/>
    <w:rsid w:val="00FA674F"/>
    <w:rsid w:val="00FA6764"/>
    <w:rsid w:val="00FA6931"/>
    <w:rsid w:val="00FA694B"/>
    <w:rsid w:val="00FA6A59"/>
    <w:rsid w:val="00FA6A6B"/>
    <w:rsid w:val="00FA6B1F"/>
    <w:rsid w:val="00FA6BB3"/>
    <w:rsid w:val="00FA6BCB"/>
    <w:rsid w:val="00FA6BE2"/>
    <w:rsid w:val="00FA6D0C"/>
    <w:rsid w:val="00FA6D31"/>
    <w:rsid w:val="00FA6D6F"/>
    <w:rsid w:val="00FA6DEB"/>
    <w:rsid w:val="00FA6DEC"/>
    <w:rsid w:val="00FA6E63"/>
    <w:rsid w:val="00FA6E85"/>
    <w:rsid w:val="00FA6F6C"/>
    <w:rsid w:val="00FA6FBC"/>
    <w:rsid w:val="00FA7060"/>
    <w:rsid w:val="00FA71D1"/>
    <w:rsid w:val="00FA71DA"/>
    <w:rsid w:val="00FA7267"/>
    <w:rsid w:val="00FA7290"/>
    <w:rsid w:val="00FA72AD"/>
    <w:rsid w:val="00FA72D5"/>
    <w:rsid w:val="00FA72EA"/>
    <w:rsid w:val="00FA7393"/>
    <w:rsid w:val="00FA73F7"/>
    <w:rsid w:val="00FA750E"/>
    <w:rsid w:val="00FA7533"/>
    <w:rsid w:val="00FA753B"/>
    <w:rsid w:val="00FA7563"/>
    <w:rsid w:val="00FA75BD"/>
    <w:rsid w:val="00FA7608"/>
    <w:rsid w:val="00FA7728"/>
    <w:rsid w:val="00FA7751"/>
    <w:rsid w:val="00FA77FE"/>
    <w:rsid w:val="00FA785E"/>
    <w:rsid w:val="00FA787C"/>
    <w:rsid w:val="00FA78AF"/>
    <w:rsid w:val="00FA78B6"/>
    <w:rsid w:val="00FA78D2"/>
    <w:rsid w:val="00FA7957"/>
    <w:rsid w:val="00FA7976"/>
    <w:rsid w:val="00FA7A3E"/>
    <w:rsid w:val="00FA7ACD"/>
    <w:rsid w:val="00FA7BE2"/>
    <w:rsid w:val="00FA7BFA"/>
    <w:rsid w:val="00FA7C29"/>
    <w:rsid w:val="00FA7C43"/>
    <w:rsid w:val="00FA7C64"/>
    <w:rsid w:val="00FA7CF4"/>
    <w:rsid w:val="00FA7DF9"/>
    <w:rsid w:val="00FA7E13"/>
    <w:rsid w:val="00FA7F39"/>
    <w:rsid w:val="00FA7F44"/>
    <w:rsid w:val="00FA7F8A"/>
    <w:rsid w:val="00FA7FAC"/>
    <w:rsid w:val="00FA7FBE"/>
    <w:rsid w:val="00FB0031"/>
    <w:rsid w:val="00FB00DA"/>
    <w:rsid w:val="00FB01AB"/>
    <w:rsid w:val="00FB0216"/>
    <w:rsid w:val="00FB0255"/>
    <w:rsid w:val="00FB0285"/>
    <w:rsid w:val="00FB02CC"/>
    <w:rsid w:val="00FB02F0"/>
    <w:rsid w:val="00FB030C"/>
    <w:rsid w:val="00FB0331"/>
    <w:rsid w:val="00FB0343"/>
    <w:rsid w:val="00FB0392"/>
    <w:rsid w:val="00FB03D5"/>
    <w:rsid w:val="00FB0459"/>
    <w:rsid w:val="00FB04B8"/>
    <w:rsid w:val="00FB04DC"/>
    <w:rsid w:val="00FB052D"/>
    <w:rsid w:val="00FB05D3"/>
    <w:rsid w:val="00FB0631"/>
    <w:rsid w:val="00FB071D"/>
    <w:rsid w:val="00FB0754"/>
    <w:rsid w:val="00FB0781"/>
    <w:rsid w:val="00FB084D"/>
    <w:rsid w:val="00FB08A6"/>
    <w:rsid w:val="00FB0930"/>
    <w:rsid w:val="00FB095F"/>
    <w:rsid w:val="00FB09A2"/>
    <w:rsid w:val="00FB09F7"/>
    <w:rsid w:val="00FB0B74"/>
    <w:rsid w:val="00FB0B8B"/>
    <w:rsid w:val="00FB0D1D"/>
    <w:rsid w:val="00FB0D61"/>
    <w:rsid w:val="00FB0E5F"/>
    <w:rsid w:val="00FB0EDC"/>
    <w:rsid w:val="00FB0F0D"/>
    <w:rsid w:val="00FB0F29"/>
    <w:rsid w:val="00FB0FD5"/>
    <w:rsid w:val="00FB1052"/>
    <w:rsid w:val="00FB1154"/>
    <w:rsid w:val="00FB1179"/>
    <w:rsid w:val="00FB117D"/>
    <w:rsid w:val="00FB119B"/>
    <w:rsid w:val="00FB1255"/>
    <w:rsid w:val="00FB13DE"/>
    <w:rsid w:val="00FB140C"/>
    <w:rsid w:val="00FB1435"/>
    <w:rsid w:val="00FB15AD"/>
    <w:rsid w:val="00FB1617"/>
    <w:rsid w:val="00FB165C"/>
    <w:rsid w:val="00FB1678"/>
    <w:rsid w:val="00FB16FB"/>
    <w:rsid w:val="00FB16FE"/>
    <w:rsid w:val="00FB1775"/>
    <w:rsid w:val="00FB18B6"/>
    <w:rsid w:val="00FB1964"/>
    <w:rsid w:val="00FB197B"/>
    <w:rsid w:val="00FB1995"/>
    <w:rsid w:val="00FB19A4"/>
    <w:rsid w:val="00FB1A2F"/>
    <w:rsid w:val="00FB1A7D"/>
    <w:rsid w:val="00FB1A9A"/>
    <w:rsid w:val="00FB1B04"/>
    <w:rsid w:val="00FB1B23"/>
    <w:rsid w:val="00FB1B45"/>
    <w:rsid w:val="00FB1C70"/>
    <w:rsid w:val="00FB1F1F"/>
    <w:rsid w:val="00FB1F3B"/>
    <w:rsid w:val="00FB1F93"/>
    <w:rsid w:val="00FB1FB4"/>
    <w:rsid w:val="00FB1FD2"/>
    <w:rsid w:val="00FB2031"/>
    <w:rsid w:val="00FB203B"/>
    <w:rsid w:val="00FB2128"/>
    <w:rsid w:val="00FB21CF"/>
    <w:rsid w:val="00FB2246"/>
    <w:rsid w:val="00FB23BE"/>
    <w:rsid w:val="00FB2402"/>
    <w:rsid w:val="00FB2428"/>
    <w:rsid w:val="00FB2469"/>
    <w:rsid w:val="00FB2472"/>
    <w:rsid w:val="00FB252A"/>
    <w:rsid w:val="00FB2565"/>
    <w:rsid w:val="00FB256C"/>
    <w:rsid w:val="00FB25B5"/>
    <w:rsid w:val="00FB26E9"/>
    <w:rsid w:val="00FB277F"/>
    <w:rsid w:val="00FB27DC"/>
    <w:rsid w:val="00FB280D"/>
    <w:rsid w:val="00FB28B9"/>
    <w:rsid w:val="00FB2955"/>
    <w:rsid w:val="00FB2998"/>
    <w:rsid w:val="00FB2A41"/>
    <w:rsid w:val="00FB2AE4"/>
    <w:rsid w:val="00FB2B32"/>
    <w:rsid w:val="00FB2B48"/>
    <w:rsid w:val="00FB2BA1"/>
    <w:rsid w:val="00FB2C50"/>
    <w:rsid w:val="00FB2D0E"/>
    <w:rsid w:val="00FB2D1C"/>
    <w:rsid w:val="00FB2F41"/>
    <w:rsid w:val="00FB2FC1"/>
    <w:rsid w:val="00FB2FCB"/>
    <w:rsid w:val="00FB3187"/>
    <w:rsid w:val="00FB3244"/>
    <w:rsid w:val="00FB32CA"/>
    <w:rsid w:val="00FB3347"/>
    <w:rsid w:val="00FB334D"/>
    <w:rsid w:val="00FB33F5"/>
    <w:rsid w:val="00FB342F"/>
    <w:rsid w:val="00FB3483"/>
    <w:rsid w:val="00FB349E"/>
    <w:rsid w:val="00FB3540"/>
    <w:rsid w:val="00FB3575"/>
    <w:rsid w:val="00FB3578"/>
    <w:rsid w:val="00FB35DD"/>
    <w:rsid w:val="00FB36B4"/>
    <w:rsid w:val="00FB372E"/>
    <w:rsid w:val="00FB3807"/>
    <w:rsid w:val="00FB3887"/>
    <w:rsid w:val="00FB389A"/>
    <w:rsid w:val="00FB394B"/>
    <w:rsid w:val="00FB3A25"/>
    <w:rsid w:val="00FB3A37"/>
    <w:rsid w:val="00FB3A8F"/>
    <w:rsid w:val="00FB3A9E"/>
    <w:rsid w:val="00FB3B2A"/>
    <w:rsid w:val="00FB3C37"/>
    <w:rsid w:val="00FB3C49"/>
    <w:rsid w:val="00FB3C83"/>
    <w:rsid w:val="00FB3D77"/>
    <w:rsid w:val="00FB3D91"/>
    <w:rsid w:val="00FB3E55"/>
    <w:rsid w:val="00FB3EAE"/>
    <w:rsid w:val="00FB3F12"/>
    <w:rsid w:val="00FB3F6F"/>
    <w:rsid w:val="00FB3FAA"/>
    <w:rsid w:val="00FB4022"/>
    <w:rsid w:val="00FB413C"/>
    <w:rsid w:val="00FB41C8"/>
    <w:rsid w:val="00FB428D"/>
    <w:rsid w:val="00FB4311"/>
    <w:rsid w:val="00FB43D6"/>
    <w:rsid w:val="00FB43E8"/>
    <w:rsid w:val="00FB4403"/>
    <w:rsid w:val="00FB440F"/>
    <w:rsid w:val="00FB441E"/>
    <w:rsid w:val="00FB44E7"/>
    <w:rsid w:val="00FB4627"/>
    <w:rsid w:val="00FB4708"/>
    <w:rsid w:val="00FB470A"/>
    <w:rsid w:val="00FB4854"/>
    <w:rsid w:val="00FB486C"/>
    <w:rsid w:val="00FB4880"/>
    <w:rsid w:val="00FB48A4"/>
    <w:rsid w:val="00FB48A9"/>
    <w:rsid w:val="00FB48E6"/>
    <w:rsid w:val="00FB496C"/>
    <w:rsid w:val="00FB499E"/>
    <w:rsid w:val="00FB49A0"/>
    <w:rsid w:val="00FB49A7"/>
    <w:rsid w:val="00FB4A7E"/>
    <w:rsid w:val="00FB4AB4"/>
    <w:rsid w:val="00FB4AC1"/>
    <w:rsid w:val="00FB4AEA"/>
    <w:rsid w:val="00FB4AFC"/>
    <w:rsid w:val="00FB4B35"/>
    <w:rsid w:val="00FB4B36"/>
    <w:rsid w:val="00FB4BAF"/>
    <w:rsid w:val="00FB4C72"/>
    <w:rsid w:val="00FB4CF5"/>
    <w:rsid w:val="00FB4E94"/>
    <w:rsid w:val="00FB4F1C"/>
    <w:rsid w:val="00FB4F2D"/>
    <w:rsid w:val="00FB4F73"/>
    <w:rsid w:val="00FB4FF4"/>
    <w:rsid w:val="00FB5070"/>
    <w:rsid w:val="00FB508B"/>
    <w:rsid w:val="00FB50B5"/>
    <w:rsid w:val="00FB518A"/>
    <w:rsid w:val="00FB52C6"/>
    <w:rsid w:val="00FB5351"/>
    <w:rsid w:val="00FB5399"/>
    <w:rsid w:val="00FB544F"/>
    <w:rsid w:val="00FB547F"/>
    <w:rsid w:val="00FB54A6"/>
    <w:rsid w:val="00FB55AB"/>
    <w:rsid w:val="00FB5692"/>
    <w:rsid w:val="00FB574F"/>
    <w:rsid w:val="00FB57D3"/>
    <w:rsid w:val="00FB5803"/>
    <w:rsid w:val="00FB5808"/>
    <w:rsid w:val="00FB58F3"/>
    <w:rsid w:val="00FB5991"/>
    <w:rsid w:val="00FB5AF6"/>
    <w:rsid w:val="00FB5C0D"/>
    <w:rsid w:val="00FB5CB0"/>
    <w:rsid w:val="00FB5D0A"/>
    <w:rsid w:val="00FB5D38"/>
    <w:rsid w:val="00FB5D50"/>
    <w:rsid w:val="00FB5D96"/>
    <w:rsid w:val="00FB5DB1"/>
    <w:rsid w:val="00FB5EC7"/>
    <w:rsid w:val="00FB5F56"/>
    <w:rsid w:val="00FB5F5D"/>
    <w:rsid w:val="00FB603C"/>
    <w:rsid w:val="00FB60E1"/>
    <w:rsid w:val="00FB6175"/>
    <w:rsid w:val="00FB61E9"/>
    <w:rsid w:val="00FB624E"/>
    <w:rsid w:val="00FB6250"/>
    <w:rsid w:val="00FB6305"/>
    <w:rsid w:val="00FB6314"/>
    <w:rsid w:val="00FB6379"/>
    <w:rsid w:val="00FB64A2"/>
    <w:rsid w:val="00FB64CB"/>
    <w:rsid w:val="00FB65AF"/>
    <w:rsid w:val="00FB6685"/>
    <w:rsid w:val="00FB6699"/>
    <w:rsid w:val="00FB66A9"/>
    <w:rsid w:val="00FB6787"/>
    <w:rsid w:val="00FB6794"/>
    <w:rsid w:val="00FB67E0"/>
    <w:rsid w:val="00FB67E5"/>
    <w:rsid w:val="00FB6819"/>
    <w:rsid w:val="00FB6858"/>
    <w:rsid w:val="00FB6937"/>
    <w:rsid w:val="00FB69AA"/>
    <w:rsid w:val="00FB6A24"/>
    <w:rsid w:val="00FB6A9A"/>
    <w:rsid w:val="00FB6AF9"/>
    <w:rsid w:val="00FB6B15"/>
    <w:rsid w:val="00FB6C28"/>
    <w:rsid w:val="00FB6CA7"/>
    <w:rsid w:val="00FB6CAD"/>
    <w:rsid w:val="00FB6DB3"/>
    <w:rsid w:val="00FB6DE5"/>
    <w:rsid w:val="00FB6DEB"/>
    <w:rsid w:val="00FB6F1C"/>
    <w:rsid w:val="00FB6F7C"/>
    <w:rsid w:val="00FB6FA2"/>
    <w:rsid w:val="00FB6FB5"/>
    <w:rsid w:val="00FB6FDD"/>
    <w:rsid w:val="00FB6FEA"/>
    <w:rsid w:val="00FB6FFD"/>
    <w:rsid w:val="00FB7094"/>
    <w:rsid w:val="00FB70FA"/>
    <w:rsid w:val="00FB710E"/>
    <w:rsid w:val="00FB72BC"/>
    <w:rsid w:val="00FB72E8"/>
    <w:rsid w:val="00FB730D"/>
    <w:rsid w:val="00FB73B3"/>
    <w:rsid w:val="00FB73C2"/>
    <w:rsid w:val="00FB7506"/>
    <w:rsid w:val="00FB758C"/>
    <w:rsid w:val="00FB75B8"/>
    <w:rsid w:val="00FB75E9"/>
    <w:rsid w:val="00FB763E"/>
    <w:rsid w:val="00FB76FC"/>
    <w:rsid w:val="00FB76FD"/>
    <w:rsid w:val="00FB7706"/>
    <w:rsid w:val="00FB7785"/>
    <w:rsid w:val="00FB7792"/>
    <w:rsid w:val="00FB77CB"/>
    <w:rsid w:val="00FB7821"/>
    <w:rsid w:val="00FB7853"/>
    <w:rsid w:val="00FB7A63"/>
    <w:rsid w:val="00FB7CB5"/>
    <w:rsid w:val="00FB7CE8"/>
    <w:rsid w:val="00FB7D47"/>
    <w:rsid w:val="00FB7D64"/>
    <w:rsid w:val="00FB7EAE"/>
    <w:rsid w:val="00FB7EBB"/>
    <w:rsid w:val="00FB7FED"/>
    <w:rsid w:val="00FC0061"/>
    <w:rsid w:val="00FC0097"/>
    <w:rsid w:val="00FC00DE"/>
    <w:rsid w:val="00FC0101"/>
    <w:rsid w:val="00FC0126"/>
    <w:rsid w:val="00FC01C9"/>
    <w:rsid w:val="00FC01EE"/>
    <w:rsid w:val="00FC0212"/>
    <w:rsid w:val="00FC023E"/>
    <w:rsid w:val="00FC029A"/>
    <w:rsid w:val="00FC02CB"/>
    <w:rsid w:val="00FC02EF"/>
    <w:rsid w:val="00FC0381"/>
    <w:rsid w:val="00FC03B2"/>
    <w:rsid w:val="00FC03B8"/>
    <w:rsid w:val="00FC03D2"/>
    <w:rsid w:val="00FC03F0"/>
    <w:rsid w:val="00FC0467"/>
    <w:rsid w:val="00FC050A"/>
    <w:rsid w:val="00FC05D5"/>
    <w:rsid w:val="00FC0636"/>
    <w:rsid w:val="00FC0670"/>
    <w:rsid w:val="00FC0824"/>
    <w:rsid w:val="00FC087D"/>
    <w:rsid w:val="00FC089C"/>
    <w:rsid w:val="00FC08B4"/>
    <w:rsid w:val="00FC092A"/>
    <w:rsid w:val="00FC097B"/>
    <w:rsid w:val="00FC09E4"/>
    <w:rsid w:val="00FC0A0D"/>
    <w:rsid w:val="00FC0BDF"/>
    <w:rsid w:val="00FC0BE2"/>
    <w:rsid w:val="00FC0C7C"/>
    <w:rsid w:val="00FC0C91"/>
    <w:rsid w:val="00FC0CA6"/>
    <w:rsid w:val="00FC0DBA"/>
    <w:rsid w:val="00FC0DD0"/>
    <w:rsid w:val="00FC0DE3"/>
    <w:rsid w:val="00FC0E33"/>
    <w:rsid w:val="00FC0E3F"/>
    <w:rsid w:val="00FC0F70"/>
    <w:rsid w:val="00FC0FBD"/>
    <w:rsid w:val="00FC0FDD"/>
    <w:rsid w:val="00FC0FE5"/>
    <w:rsid w:val="00FC110F"/>
    <w:rsid w:val="00FC112E"/>
    <w:rsid w:val="00FC116D"/>
    <w:rsid w:val="00FC133D"/>
    <w:rsid w:val="00FC13DC"/>
    <w:rsid w:val="00FC13E1"/>
    <w:rsid w:val="00FC14B9"/>
    <w:rsid w:val="00FC157A"/>
    <w:rsid w:val="00FC15B2"/>
    <w:rsid w:val="00FC160C"/>
    <w:rsid w:val="00FC16DE"/>
    <w:rsid w:val="00FC1725"/>
    <w:rsid w:val="00FC176F"/>
    <w:rsid w:val="00FC1837"/>
    <w:rsid w:val="00FC184A"/>
    <w:rsid w:val="00FC1898"/>
    <w:rsid w:val="00FC18F7"/>
    <w:rsid w:val="00FC18FB"/>
    <w:rsid w:val="00FC19DF"/>
    <w:rsid w:val="00FC1A1C"/>
    <w:rsid w:val="00FC1A2D"/>
    <w:rsid w:val="00FC1AF3"/>
    <w:rsid w:val="00FC1BBD"/>
    <w:rsid w:val="00FC1DA0"/>
    <w:rsid w:val="00FC1E25"/>
    <w:rsid w:val="00FC1E3F"/>
    <w:rsid w:val="00FC1E70"/>
    <w:rsid w:val="00FC1E74"/>
    <w:rsid w:val="00FC210B"/>
    <w:rsid w:val="00FC2115"/>
    <w:rsid w:val="00FC2155"/>
    <w:rsid w:val="00FC21ED"/>
    <w:rsid w:val="00FC22D9"/>
    <w:rsid w:val="00FC2310"/>
    <w:rsid w:val="00FC2336"/>
    <w:rsid w:val="00FC235F"/>
    <w:rsid w:val="00FC23B3"/>
    <w:rsid w:val="00FC2428"/>
    <w:rsid w:val="00FC2488"/>
    <w:rsid w:val="00FC2503"/>
    <w:rsid w:val="00FC252E"/>
    <w:rsid w:val="00FC25BA"/>
    <w:rsid w:val="00FC261F"/>
    <w:rsid w:val="00FC26B7"/>
    <w:rsid w:val="00FC2770"/>
    <w:rsid w:val="00FC27E1"/>
    <w:rsid w:val="00FC27F0"/>
    <w:rsid w:val="00FC286E"/>
    <w:rsid w:val="00FC2897"/>
    <w:rsid w:val="00FC2A91"/>
    <w:rsid w:val="00FC2AE3"/>
    <w:rsid w:val="00FC2B48"/>
    <w:rsid w:val="00FC2C34"/>
    <w:rsid w:val="00FC2C4D"/>
    <w:rsid w:val="00FC2C83"/>
    <w:rsid w:val="00FC2CA5"/>
    <w:rsid w:val="00FC2D17"/>
    <w:rsid w:val="00FC2E05"/>
    <w:rsid w:val="00FC2E4A"/>
    <w:rsid w:val="00FC2E78"/>
    <w:rsid w:val="00FC2F07"/>
    <w:rsid w:val="00FC2F97"/>
    <w:rsid w:val="00FC30B4"/>
    <w:rsid w:val="00FC30D3"/>
    <w:rsid w:val="00FC30FA"/>
    <w:rsid w:val="00FC311A"/>
    <w:rsid w:val="00FC3189"/>
    <w:rsid w:val="00FC31C8"/>
    <w:rsid w:val="00FC3275"/>
    <w:rsid w:val="00FC327F"/>
    <w:rsid w:val="00FC3336"/>
    <w:rsid w:val="00FC3387"/>
    <w:rsid w:val="00FC350F"/>
    <w:rsid w:val="00FC3524"/>
    <w:rsid w:val="00FC3558"/>
    <w:rsid w:val="00FC3563"/>
    <w:rsid w:val="00FC35BB"/>
    <w:rsid w:val="00FC35C2"/>
    <w:rsid w:val="00FC35F1"/>
    <w:rsid w:val="00FC3607"/>
    <w:rsid w:val="00FC36E1"/>
    <w:rsid w:val="00FC3787"/>
    <w:rsid w:val="00FC37B9"/>
    <w:rsid w:val="00FC37E4"/>
    <w:rsid w:val="00FC38CE"/>
    <w:rsid w:val="00FC3934"/>
    <w:rsid w:val="00FC39D6"/>
    <w:rsid w:val="00FC3ABA"/>
    <w:rsid w:val="00FC3BA6"/>
    <w:rsid w:val="00FC3C08"/>
    <w:rsid w:val="00FC3C0E"/>
    <w:rsid w:val="00FC3C61"/>
    <w:rsid w:val="00FC3C85"/>
    <w:rsid w:val="00FC3D20"/>
    <w:rsid w:val="00FC3DB6"/>
    <w:rsid w:val="00FC3DD8"/>
    <w:rsid w:val="00FC3DE6"/>
    <w:rsid w:val="00FC3E3E"/>
    <w:rsid w:val="00FC3EAD"/>
    <w:rsid w:val="00FC3F8C"/>
    <w:rsid w:val="00FC40B1"/>
    <w:rsid w:val="00FC40B2"/>
    <w:rsid w:val="00FC40E0"/>
    <w:rsid w:val="00FC40EF"/>
    <w:rsid w:val="00FC4114"/>
    <w:rsid w:val="00FC4272"/>
    <w:rsid w:val="00FC427F"/>
    <w:rsid w:val="00FC42A9"/>
    <w:rsid w:val="00FC42BF"/>
    <w:rsid w:val="00FC42E8"/>
    <w:rsid w:val="00FC4375"/>
    <w:rsid w:val="00FC4388"/>
    <w:rsid w:val="00FC445F"/>
    <w:rsid w:val="00FC448D"/>
    <w:rsid w:val="00FC453B"/>
    <w:rsid w:val="00FC45BA"/>
    <w:rsid w:val="00FC45BF"/>
    <w:rsid w:val="00FC4656"/>
    <w:rsid w:val="00FC46A1"/>
    <w:rsid w:val="00FC46DE"/>
    <w:rsid w:val="00FC4762"/>
    <w:rsid w:val="00FC4818"/>
    <w:rsid w:val="00FC4840"/>
    <w:rsid w:val="00FC48B2"/>
    <w:rsid w:val="00FC4985"/>
    <w:rsid w:val="00FC4994"/>
    <w:rsid w:val="00FC49B4"/>
    <w:rsid w:val="00FC49C1"/>
    <w:rsid w:val="00FC49C3"/>
    <w:rsid w:val="00FC4B32"/>
    <w:rsid w:val="00FC4B34"/>
    <w:rsid w:val="00FC4C44"/>
    <w:rsid w:val="00FC4C59"/>
    <w:rsid w:val="00FC4C87"/>
    <w:rsid w:val="00FC4D0E"/>
    <w:rsid w:val="00FC4D2B"/>
    <w:rsid w:val="00FC4D34"/>
    <w:rsid w:val="00FC4D82"/>
    <w:rsid w:val="00FC4D8E"/>
    <w:rsid w:val="00FC4DBC"/>
    <w:rsid w:val="00FC4DF3"/>
    <w:rsid w:val="00FC4E28"/>
    <w:rsid w:val="00FC4F0E"/>
    <w:rsid w:val="00FC4F50"/>
    <w:rsid w:val="00FC5045"/>
    <w:rsid w:val="00FC507D"/>
    <w:rsid w:val="00FC5093"/>
    <w:rsid w:val="00FC5097"/>
    <w:rsid w:val="00FC50CA"/>
    <w:rsid w:val="00FC51AA"/>
    <w:rsid w:val="00FC5277"/>
    <w:rsid w:val="00FC5294"/>
    <w:rsid w:val="00FC52C4"/>
    <w:rsid w:val="00FC52EA"/>
    <w:rsid w:val="00FC5306"/>
    <w:rsid w:val="00FC53D7"/>
    <w:rsid w:val="00FC5409"/>
    <w:rsid w:val="00FC5451"/>
    <w:rsid w:val="00FC54DD"/>
    <w:rsid w:val="00FC5574"/>
    <w:rsid w:val="00FC5578"/>
    <w:rsid w:val="00FC558F"/>
    <w:rsid w:val="00FC55C5"/>
    <w:rsid w:val="00FC5635"/>
    <w:rsid w:val="00FC5693"/>
    <w:rsid w:val="00FC56D2"/>
    <w:rsid w:val="00FC572B"/>
    <w:rsid w:val="00FC5763"/>
    <w:rsid w:val="00FC57E8"/>
    <w:rsid w:val="00FC58DB"/>
    <w:rsid w:val="00FC59AA"/>
    <w:rsid w:val="00FC59CC"/>
    <w:rsid w:val="00FC5B96"/>
    <w:rsid w:val="00FC5BE1"/>
    <w:rsid w:val="00FC5C44"/>
    <w:rsid w:val="00FC5CEF"/>
    <w:rsid w:val="00FC5D50"/>
    <w:rsid w:val="00FC5D56"/>
    <w:rsid w:val="00FC5D79"/>
    <w:rsid w:val="00FC5DB3"/>
    <w:rsid w:val="00FC5EF0"/>
    <w:rsid w:val="00FC5F03"/>
    <w:rsid w:val="00FC5FD8"/>
    <w:rsid w:val="00FC5FDE"/>
    <w:rsid w:val="00FC5FF2"/>
    <w:rsid w:val="00FC6079"/>
    <w:rsid w:val="00FC60A3"/>
    <w:rsid w:val="00FC6148"/>
    <w:rsid w:val="00FC6174"/>
    <w:rsid w:val="00FC62BF"/>
    <w:rsid w:val="00FC6316"/>
    <w:rsid w:val="00FC636D"/>
    <w:rsid w:val="00FC639C"/>
    <w:rsid w:val="00FC639E"/>
    <w:rsid w:val="00FC63DA"/>
    <w:rsid w:val="00FC6476"/>
    <w:rsid w:val="00FC655B"/>
    <w:rsid w:val="00FC65A1"/>
    <w:rsid w:val="00FC65AC"/>
    <w:rsid w:val="00FC65BA"/>
    <w:rsid w:val="00FC65C2"/>
    <w:rsid w:val="00FC668C"/>
    <w:rsid w:val="00FC66B0"/>
    <w:rsid w:val="00FC679E"/>
    <w:rsid w:val="00FC6888"/>
    <w:rsid w:val="00FC689C"/>
    <w:rsid w:val="00FC68DB"/>
    <w:rsid w:val="00FC6946"/>
    <w:rsid w:val="00FC6972"/>
    <w:rsid w:val="00FC69B4"/>
    <w:rsid w:val="00FC6A78"/>
    <w:rsid w:val="00FC6CD4"/>
    <w:rsid w:val="00FC6CD7"/>
    <w:rsid w:val="00FC6CF5"/>
    <w:rsid w:val="00FC6D29"/>
    <w:rsid w:val="00FC6D7E"/>
    <w:rsid w:val="00FC6EC5"/>
    <w:rsid w:val="00FC6EC8"/>
    <w:rsid w:val="00FC6ED3"/>
    <w:rsid w:val="00FC6F0E"/>
    <w:rsid w:val="00FC6F6C"/>
    <w:rsid w:val="00FC6FA1"/>
    <w:rsid w:val="00FC6FE1"/>
    <w:rsid w:val="00FC6FEB"/>
    <w:rsid w:val="00FC6FF8"/>
    <w:rsid w:val="00FC707A"/>
    <w:rsid w:val="00FC7080"/>
    <w:rsid w:val="00FC70A7"/>
    <w:rsid w:val="00FC714A"/>
    <w:rsid w:val="00FC7237"/>
    <w:rsid w:val="00FC7264"/>
    <w:rsid w:val="00FC7294"/>
    <w:rsid w:val="00FC72A1"/>
    <w:rsid w:val="00FC738A"/>
    <w:rsid w:val="00FC73AA"/>
    <w:rsid w:val="00FC73EB"/>
    <w:rsid w:val="00FC73EC"/>
    <w:rsid w:val="00FC753B"/>
    <w:rsid w:val="00FC7562"/>
    <w:rsid w:val="00FC758E"/>
    <w:rsid w:val="00FC76F4"/>
    <w:rsid w:val="00FC7780"/>
    <w:rsid w:val="00FC7783"/>
    <w:rsid w:val="00FC77B0"/>
    <w:rsid w:val="00FC781C"/>
    <w:rsid w:val="00FC782C"/>
    <w:rsid w:val="00FC7848"/>
    <w:rsid w:val="00FC7874"/>
    <w:rsid w:val="00FC7933"/>
    <w:rsid w:val="00FC7973"/>
    <w:rsid w:val="00FC79F0"/>
    <w:rsid w:val="00FC7A88"/>
    <w:rsid w:val="00FC7A8E"/>
    <w:rsid w:val="00FC7C23"/>
    <w:rsid w:val="00FC7C99"/>
    <w:rsid w:val="00FC7D04"/>
    <w:rsid w:val="00FC7DA1"/>
    <w:rsid w:val="00FC7EAE"/>
    <w:rsid w:val="00FC7EC7"/>
    <w:rsid w:val="00FC7F25"/>
    <w:rsid w:val="00FC7F2D"/>
    <w:rsid w:val="00FC7F41"/>
    <w:rsid w:val="00FC7F9A"/>
    <w:rsid w:val="00FD0128"/>
    <w:rsid w:val="00FD0164"/>
    <w:rsid w:val="00FD0172"/>
    <w:rsid w:val="00FD0220"/>
    <w:rsid w:val="00FD0222"/>
    <w:rsid w:val="00FD02A9"/>
    <w:rsid w:val="00FD034E"/>
    <w:rsid w:val="00FD0356"/>
    <w:rsid w:val="00FD0469"/>
    <w:rsid w:val="00FD0613"/>
    <w:rsid w:val="00FD06B6"/>
    <w:rsid w:val="00FD06C2"/>
    <w:rsid w:val="00FD06E2"/>
    <w:rsid w:val="00FD0761"/>
    <w:rsid w:val="00FD07C7"/>
    <w:rsid w:val="00FD07E9"/>
    <w:rsid w:val="00FD0803"/>
    <w:rsid w:val="00FD080B"/>
    <w:rsid w:val="00FD081D"/>
    <w:rsid w:val="00FD083B"/>
    <w:rsid w:val="00FD08C4"/>
    <w:rsid w:val="00FD0914"/>
    <w:rsid w:val="00FD0A0D"/>
    <w:rsid w:val="00FD0A45"/>
    <w:rsid w:val="00FD0ACE"/>
    <w:rsid w:val="00FD0BCF"/>
    <w:rsid w:val="00FD0C45"/>
    <w:rsid w:val="00FD0CDF"/>
    <w:rsid w:val="00FD0D8A"/>
    <w:rsid w:val="00FD0E68"/>
    <w:rsid w:val="00FD0ED2"/>
    <w:rsid w:val="00FD0F08"/>
    <w:rsid w:val="00FD0F3C"/>
    <w:rsid w:val="00FD1025"/>
    <w:rsid w:val="00FD103B"/>
    <w:rsid w:val="00FD1093"/>
    <w:rsid w:val="00FD1113"/>
    <w:rsid w:val="00FD113D"/>
    <w:rsid w:val="00FD11CC"/>
    <w:rsid w:val="00FD1288"/>
    <w:rsid w:val="00FD12A7"/>
    <w:rsid w:val="00FD1301"/>
    <w:rsid w:val="00FD13C1"/>
    <w:rsid w:val="00FD1435"/>
    <w:rsid w:val="00FD1444"/>
    <w:rsid w:val="00FD1553"/>
    <w:rsid w:val="00FD158C"/>
    <w:rsid w:val="00FD15A1"/>
    <w:rsid w:val="00FD1604"/>
    <w:rsid w:val="00FD164C"/>
    <w:rsid w:val="00FD1841"/>
    <w:rsid w:val="00FD18FD"/>
    <w:rsid w:val="00FD1950"/>
    <w:rsid w:val="00FD1970"/>
    <w:rsid w:val="00FD198E"/>
    <w:rsid w:val="00FD19FC"/>
    <w:rsid w:val="00FD1A8D"/>
    <w:rsid w:val="00FD1AAF"/>
    <w:rsid w:val="00FD1AEC"/>
    <w:rsid w:val="00FD1B5D"/>
    <w:rsid w:val="00FD1BD8"/>
    <w:rsid w:val="00FD1BE8"/>
    <w:rsid w:val="00FD1C5D"/>
    <w:rsid w:val="00FD1C6A"/>
    <w:rsid w:val="00FD1C96"/>
    <w:rsid w:val="00FD1E0F"/>
    <w:rsid w:val="00FD1E7A"/>
    <w:rsid w:val="00FD1E83"/>
    <w:rsid w:val="00FD1E90"/>
    <w:rsid w:val="00FD1EE9"/>
    <w:rsid w:val="00FD1F30"/>
    <w:rsid w:val="00FD1FC2"/>
    <w:rsid w:val="00FD20B5"/>
    <w:rsid w:val="00FD212D"/>
    <w:rsid w:val="00FD22C4"/>
    <w:rsid w:val="00FD22F3"/>
    <w:rsid w:val="00FD232A"/>
    <w:rsid w:val="00FD2385"/>
    <w:rsid w:val="00FD2386"/>
    <w:rsid w:val="00FD23B0"/>
    <w:rsid w:val="00FD23B8"/>
    <w:rsid w:val="00FD24A7"/>
    <w:rsid w:val="00FD24E4"/>
    <w:rsid w:val="00FD252E"/>
    <w:rsid w:val="00FD2579"/>
    <w:rsid w:val="00FD261F"/>
    <w:rsid w:val="00FD2621"/>
    <w:rsid w:val="00FD266B"/>
    <w:rsid w:val="00FD26D3"/>
    <w:rsid w:val="00FD279A"/>
    <w:rsid w:val="00FD27F5"/>
    <w:rsid w:val="00FD2848"/>
    <w:rsid w:val="00FD285B"/>
    <w:rsid w:val="00FD2875"/>
    <w:rsid w:val="00FD287B"/>
    <w:rsid w:val="00FD288F"/>
    <w:rsid w:val="00FD2891"/>
    <w:rsid w:val="00FD28BA"/>
    <w:rsid w:val="00FD2952"/>
    <w:rsid w:val="00FD2973"/>
    <w:rsid w:val="00FD2A03"/>
    <w:rsid w:val="00FD2A08"/>
    <w:rsid w:val="00FD2ACE"/>
    <w:rsid w:val="00FD2BC1"/>
    <w:rsid w:val="00FD2C0A"/>
    <w:rsid w:val="00FD2C49"/>
    <w:rsid w:val="00FD2C67"/>
    <w:rsid w:val="00FD2D9C"/>
    <w:rsid w:val="00FD2DDE"/>
    <w:rsid w:val="00FD2DFA"/>
    <w:rsid w:val="00FD2F4C"/>
    <w:rsid w:val="00FD2FFE"/>
    <w:rsid w:val="00FD3012"/>
    <w:rsid w:val="00FD3052"/>
    <w:rsid w:val="00FD310A"/>
    <w:rsid w:val="00FD315D"/>
    <w:rsid w:val="00FD31A3"/>
    <w:rsid w:val="00FD31C2"/>
    <w:rsid w:val="00FD31EE"/>
    <w:rsid w:val="00FD3251"/>
    <w:rsid w:val="00FD338A"/>
    <w:rsid w:val="00FD33E3"/>
    <w:rsid w:val="00FD33EB"/>
    <w:rsid w:val="00FD346D"/>
    <w:rsid w:val="00FD3480"/>
    <w:rsid w:val="00FD3497"/>
    <w:rsid w:val="00FD3534"/>
    <w:rsid w:val="00FD35A8"/>
    <w:rsid w:val="00FD36A1"/>
    <w:rsid w:val="00FD36B1"/>
    <w:rsid w:val="00FD37B6"/>
    <w:rsid w:val="00FD37BA"/>
    <w:rsid w:val="00FD37D4"/>
    <w:rsid w:val="00FD37E4"/>
    <w:rsid w:val="00FD3861"/>
    <w:rsid w:val="00FD38F5"/>
    <w:rsid w:val="00FD3960"/>
    <w:rsid w:val="00FD3985"/>
    <w:rsid w:val="00FD3A86"/>
    <w:rsid w:val="00FD3AD3"/>
    <w:rsid w:val="00FD3ADD"/>
    <w:rsid w:val="00FD3B24"/>
    <w:rsid w:val="00FD3CE0"/>
    <w:rsid w:val="00FD3D23"/>
    <w:rsid w:val="00FD3DE8"/>
    <w:rsid w:val="00FD3F73"/>
    <w:rsid w:val="00FD400A"/>
    <w:rsid w:val="00FD4030"/>
    <w:rsid w:val="00FD4091"/>
    <w:rsid w:val="00FD4139"/>
    <w:rsid w:val="00FD4156"/>
    <w:rsid w:val="00FD41D7"/>
    <w:rsid w:val="00FD41FC"/>
    <w:rsid w:val="00FD42C3"/>
    <w:rsid w:val="00FD438A"/>
    <w:rsid w:val="00FD4420"/>
    <w:rsid w:val="00FD44E6"/>
    <w:rsid w:val="00FD468F"/>
    <w:rsid w:val="00FD46E2"/>
    <w:rsid w:val="00FD47A4"/>
    <w:rsid w:val="00FD4802"/>
    <w:rsid w:val="00FD4827"/>
    <w:rsid w:val="00FD487D"/>
    <w:rsid w:val="00FD48C2"/>
    <w:rsid w:val="00FD4908"/>
    <w:rsid w:val="00FD49F9"/>
    <w:rsid w:val="00FD4B81"/>
    <w:rsid w:val="00FD4BF5"/>
    <w:rsid w:val="00FD4CF0"/>
    <w:rsid w:val="00FD4D2E"/>
    <w:rsid w:val="00FD4D41"/>
    <w:rsid w:val="00FD4F38"/>
    <w:rsid w:val="00FD5031"/>
    <w:rsid w:val="00FD508B"/>
    <w:rsid w:val="00FD5107"/>
    <w:rsid w:val="00FD51D1"/>
    <w:rsid w:val="00FD52F5"/>
    <w:rsid w:val="00FD5349"/>
    <w:rsid w:val="00FD53E1"/>
    <w:rsid w:val="00FD541D"/>
    <w:rsid w:val="00FD541F"/>
    <w:rsid w:val="00FD54BF"/>
    <w:rsid w:val="00FD5523"/>
    <w:rsid w:val="00FD55D1"/>
    <w:rsid w:val="00FD565D"/>
    <w:rsid w:val="00FD57EE"/>
    <w:rsid w:val="00FD580A"/>
    <w:rsid w:val="00FD5844"/>
    <w:rsid w:val="00FD5856"/>
    <w:rsid w:val="00FD58C8"/>
    <w:rsid w:val="00FD596B"/>
    <w:rsid w:val="00FD5984"/>
    <w:rsid w:val="00FD59FE"/>
    <w:rsid w:val="00FD5A48"/>
    <w:rsid w:val="00FD5A67"/>
    <w:rsid w:val="00FD5B52"/>
    <w:rsid w:val="00FD5C41"/>
    <w:rsid w:val="00FD5C62"/>
    <w:rsid w:val="00FD5D15"/>
    <w:rsid w:val="00FD5D9D"/>
    <w:rsid w:val="00FD5DB7"/>
    <w:rsid w:val="00FD5DB9"/>
    <w:rsid w:val="00FD5EA8"/>
    <w:rsid w:val="00FD5ECD"/>
    <w:rsid w:val="00FD6054"/>
    <w:rsid w:val="00FD60B3"/>
    <w:rsid w:val="00FD60C7"/>
    <w:rsid w:val="00FD60EA"/>
    <w:rsid w:val="00FD60F3"/>
    <w:rsid w:val="00FD6283"/>
    <w:rsid w:val="00FD628B"/>
    <w:rsid w:val="00FD6291"/>
    <w:rsid w:val="00FD630C"/>
    <w:rsid w:val="00FD63DB"/>
    <w:rsid w:val="00FD6552"/>
    <w:rsid w:val="00FD662C"/>
    <w:rsid w:val="00FD66A5"/>
    <w:rsid w:val="00FD670F"/>
    <w:rsid w:val="00FD678C"/>
    <w:rsid w:val="00FD67E2"/>
    <w:rsid w:val="00FD67E4"/>
    <w:rsid w:val="00FD67F3"/>
    <w:rsid w:val="00FD6811"/>
    <w:rsid w:val="00FD6847"/>
    <w:rsid w:val="00FD68EC"/>
    <w:rsid w:val="00FD68F8"/>
    <w:rsid w:val="00FD69E9"/>
    <w:rsid w:val="00FD6A32"/>
    <w:rsid w:val="00FD6A67"/>
    <w:rsid w:val="00FD6A8C"/>
    <w:rsid w:val="00FD6ACD"/>
    <w:rsid w:val="00FD6AD0"/>
    <w:rsid w:val="00FD6ADF"/>
    <w:rsid w:val="00FD6B01"/>
    <w:rsid w:val="00FD6B36"/>
    <w:rsid w:val="00FD6B56"/>
    <w:rsid w:val="00FD6BC1"/>
    <w:rsid w:val="00FD6BDB"/>
    <w:rsid w:val="00FD6E34"/>
    <w:rsid w:val="00FD6E7F"/>
    <w:rsid w:val="00FD6EBF"/>
    <w:rsid w:val="00FD6ED9"/>
    <w:rsid w:val="00FD6F05"/>
    <w:rsid w:val="00FD6F3C"/>
    <w:rsid w:val="00FD70EA"/>
    <w:rsid w:val="00FD7105"/>
    <w:rsid w:val="00FD72E4"/>
    <w:rsid w:val="00FD735E"/>
    <w:rsid w:val="00FD73A0"/>
    <w:rsid w:val="00FD73E5"/>
    <w:rsid w:val="00FD743B"/>
    <w:rsid w:val="00FD74F2"/>
    <w:rsid w:val="00FD7550"/>
    <w:rsid w:val="00FD759F"/>
    <w:rsid w:val="00FD765B"/>
    <w:rsid w:val="00FD7705"/>
    <w:rsid w:val="00FD7706"/>
    <w:rsid w:val="00FD787C"/>
    <w:rsid w:val="00FD789B"/>
    <w:rsid w:val="00FD798E"/>
    <w:rsid w:val="00FD7A2C"/>
    <w:rsid w:val="00FD7A2E"/>
    <w:rsid w:val="00FD7A96"/>
    <w:rsid w:val="00FD7B94"/>
    <w:rsid w:val="00FD7BED"/>
    <w:rsid w:val="00FD7C7A"/>
    <w:rsid w:val="00FD7CD9"/>
    <w:rsid w:val="00FD7CDF"/>
    <w:rsid w:val="00FD7D4F"/>
    <w:rsid w:val="00FD7D67"/>
    <w:rsid w:val="00FD7D6E"/>
    <w:rsid w:val="00FD7DF2"/>
    <w:rsid w:val="00FD7E21"/>
    <w:rsid w:val="00FD7E67"/>
    <w:rsid w:val="00FD7F1D"/>
    <w:rsid w:val="00FD7FAB"/>
    <w:rsid w:val="00FE0007"/>
    <w:rsid w:val="00FE00D4"/>
    <w:rsid w:val="00FE0205"/>
    <w:rsid w:val="00FE0223"/>
    <w:rsid w:val="00FE0230"/>
    <w:rsid w:val="00FE0315"/>
    <w:rsid w:val="00FE0337"/>
    <w:rsid w:val="00FE03B0"/>
    <w:rsid w:val="00FE0540"/>
    <w:rsid w:val="00FE05BD"/>
    <w:rsid w:val="00FE05EC"/>
    <w:rsid w:val="00FE062A"/>
    <w:rsid w:val="00FE0696"/>
    <w:rsid w:val="00FE06EF"/>
    <w:rsid w:val="00FE0818"/>
    <w:rsid w:val="00FE08B0"/>
    <w:rsid w:val="00FE08B3"/>
    <w:rsid w:val="00FE08DE"/>
    <w:rsid w:val="00FE08E6"/>
    <w:rsid w:val="00FE0927"/>
    <w:rsid w:val="00FE097D"/>
    <w:rsid w:val="00FE09F7"/>
    <w:rsid w:val="00FE0A3C"/>
    <w:rsid w:val="00FE0AA2"/>
    <w:rsid w:val="00FE0B39"/>
    <w:rsid w:val="00FE0B3C"/>
    <w:rsid w:val="00FE0B76"/>
    <w:rsid w:val="00FE0BA0"/>
    <w:rsid w:val="00FE0BC5"/>
    <w:rsid w:val="00FE0CA6"/>
    <w:rsid w:val="00FE0CB2"/>
    <w:rsid w:val="00FE0D1A"/>
    <w:rsid w:val="00FE0D25"/>
    <w:rsid w:val="00FE0D2B"/>
    <w:rsid w:val="00FE0D9F"/>
    <w:rsid w:val="00FE0E3F"/>
    <w:rsid w:val="00FE0E80"/>
    <w:rsid w:val="00FE0ED3"/>
    <w:rsid w:val="00FE0F31"/>
    <w:rsid w:val="00FE0F74"/>
    <w:rsid w:val="00FE102A"/>
    <w:rsid w:val="00FE1035"/>
    <w:rsid w:val="00FE10B4"/>
    <w:rsid w:val="00FE110B"/>
    <w:rsid w:val="00FE1153"/>
    <w:rsid w:val="00FE116C"/>
    <w:rsid w:val="00FE118F"/>
    <w:rsid w:val="00FE11DE"/>
    <w:rsid w:val="00FE129E"/>
    <w:rsid w:val="00FE12F1"/>
    <w:rsid w:val="00FE1315"/>
    <w:rsid w:val="00FE13E0"/>
    <w:rsid w:val="00FE1453"/>
    <w:rsid w:val="00FE145A"/>
    <w:rsid w:val="00FE15D8"/>
    <w:rsid w:val="00FE1846"/>
    <w:rsid w:val="00FE18C6"/>
    <w:rsid w:val="00FE19BC"/>
    <w:rsid w:val="00FE19D0"/>
    <w:rsid w:val="00FE1ABF"/>
    <w:rsid w:val="00FE1B6B"/>
    <w:rsid w:val="00FE1D24"/>
    <w:rsid w:val="00FE1D2B"/>
    <w:rsid w:val="00FE1D79"/>
    <w:rsid w:val="00FE1E0F"/>
    <w:rsid w:val="00FE1E77"/>
    <w:rsid w:val="00FE20A6"/>
    <w:rsid w:val="00FE2156"/>
    <w:rsid w:val="00FE2233"/>
    <w:rsid w:val="00FE2257"/>
    <w:rsid w:val="00FE225D"/>
    <w:rsid w:val="00FE22AF"/>
    <w:rsid w:val="00FE2337"/>
    <w:rsid w:val="00FE235D"/>
    <w:rsid w:val="00FE23E3"/>
    <w:rsid w:val="00FE2430"/>
    <w:rsid w:val="00FE2560"/>
    <w:rsid w:val="00FE262D"/>
    <w:rsid w:val="00FE2655"/>
    <w:rsid w:val="00FE26B3"/>
    <w:rsid w:val="00FE2740"/>
    <w:rsid w:val="00FE27D3"/>
    <w:rsid w:val="00FE288D"/>
    <w:rsid w:val="00FE28BA"/>
    <w:rsid w:val="00FE28BD"/>
    <w:rsid w:val="00FE2986"/>
    <w:rsid w:val="00FE2A5C"/>
    <w:rsid w:val="00FE2ABE"/>
    <w:rsid w:val="00FE2B0A"/>
    <w:rsid w:val="00FE2B1F"/>
    <w:rsid w:val="00FE2C63"/>
    <w:rsid w:val="00FE2C93"/>
    <w:rsid w:val="00FE2C98"/>
    <w:rsid w:val="00FE2E5A"/>
    <w:rsid w:val="00FE2E64"/>
    <w:rsid w:val="00FE2F02"/>
    <w:rsid w:val="00FE30A0"/>
    <w:rsid w:val="00FE30F2"/>
    <w:rsid w:val="00FE3191"/>
    <w:rsid w:val="00FE3210"/>
    <w:rsid w:val="00FE3212"/>
    <w:rsid w:val="00FE3233"/>
    <w:rsid w:val="00FE33BD"/>
    <w:rsid w:val="00FE33F9"/>
    <w:rsid w:val="00FE342F"/>
    <w:rsid w:val="00FE354A"/>
    <w:rsid w:val="00FE3656"/>
    <w:rsid w:val="00FE366A"/>
    <w:rsid w:val="00FE36BF"/>
    <w:rsid w:val="00FE36CA"/>
    <w:rsid w:val="00FE36DE"/>
    <w:rsid w:val="00FE3737"/>
    <w:rsid w:val="00FE379C"/>
    <w:rsid w:val="00FE37D3"/>
    <w:rsid w:val="00FE3851"/>
    <w:rsid w:val="00FE3854"/>
    <w:rsid w:val="00FE3860"/>
    <w:rsid w:val="00FE38BE"/>
    <w:rsid w:val="00FE390D"/>
    <w:rsid w:val="00FE3983"/>
    <w:rsid w:val="00FE39B5"/>
    <w:rsid w:val="00FE39F5"/>
    <w:rsid w:val="00FE3A32"/>
    <w:rsid w:val="00FE3AA4"/>
    <w:rsid w:val="00FE3ACC"/>
    <w:rsid w:val="00FE3AD1"/>
    <w:rsid w:val="00FE3B05"/>
    <w:rsid w:val="00FE3B35"/>
    <w:rsid w:val="00FE3CB0"/>
    <w:rsid w:val="00FE3CB9"/>
    <w:rsid w:val="00FE3DBB"/>
    <w:rsid w:val="00FE3DC7"/>
    <w:rsid w:val="00FE3E05"/>
    <w:rsid w:val="00FE3E8B"/>
    <w:rsid w:val="00FE3EBB"/>
    <w:rsid w:val="00FE3EBF"/>
    <w:rsid w:val="00FE3F9F"/>
    <w:rsid w:val="00FE3FEE"/>
    <w:rsid w:val="00FE4050"/>
    <w:rsid w:val="00FE405C"/>
    <w:rsid w:val="00FE4066"/>
    <w:rsid w:val="00FE40F1"/>
    <w:rsid w:val="00FE40F4"/>
    <w:rsid w:val="00FE4105"/>
    <w:rsid w:val="00FE4109"/>
    <w:rsid w:val="00FE42BB"/>
    <w:rsid w:val="00FE432F"/>
    <w:rsid w:val="00FE434B"/>
    <w:rsid w:val="00FE438F"/>
    <w:rsid w:val="00FE43E9"/>
    <w:rsid w:val="00FE443E"/>
    <w:rsid w:val="00FE449B"/>
    <w:rsid w:val="00FE44B6"/>
    <w:rsid w:val="00FE44BD"/>
    <w:rsid w:val="00FE4531"/>
    <w:rsid w:val="00FE4533"/>
    <w:rsid w:val="00FE4553"/>
    <w:rsid w:val="00FE4564"/>
    <w:rsid w:val="00FE4588"/>
    <w:rsid w:val="00FE45E9"/>
    <w:rsid w:val="00FE469A"/>
    <w:rsid w:val="00FE46D5"/>
    <w:rsid w:val="00FE473E"/>
    <w:rsid w:val="00FE484E"/>
    <w:rsid w:val="00FE4888"/>
    <w:rsid w:val="00FE48B1"/>
    <w:rsid w:val="00FE48F3"/>
    <w:rsid w:val="00FE4AB2"/>
    <w:rsid w:val="00FE4AB9"/>
    <w:rsid w:val="00FE4C5C"/>
    <w:rsid w:val="00FE4C83"/>
    <w:rsid w:val="00FE4C99"/>
    <w:rsid w:val="00FE4CD9"/>
    <w:rsid w:val="00FE4D19"/>
    <w:rsid w:val="00FE4D22"/>
    <w:rsid w:val="00FE4D29"/>
    <w:rsid w:val="00FE4DAF"/>
    <w:rsid w:val="00FE4DB2"/>
    <w:rsid w:val="00FE4E4B"/>
    <w:rsid w:val="00FE4F6E"/>
    <w:rsid w:val="00FE4FDF"/>
    <w:rsid w:val="00FE502A"/>
    <w:rsid w:val="00FE50B5"/>
    <w:rsid w:val="00FE511C"/>
    <w:rsid w:val="00FE5120"/>
    <w:rsid w:val="00FE51A5"/>
    <w:rsid w:val="00FE526B"/>
    <w:rsid w:val="00FE5284"/>
    <w:rsid w:val="00FE528B"/>
    <w:rsid w:val="00FE52F8"/>
    <w:rsid w:val="00FE53A5"/>
    <w:rsid w:val="00FE53BD"/>
    <w:rsid w:val="00FE53CB"/>
    <w:rsid w:val="00FE5404"/>
    <w:rsid w:val="00FE547E"/>
    <w:rsid w:val="00FE5487"/>
    <w:rsid w:val="00FE5543"/>
    <w:rsid w:val="00FE5551"/>
    <w:rsid w:val="00FE5552"/>
    <w:rsid w:val="00FE562C"/>
    <w:rsid w:val="00FE56E5"/>
    <w:rsid w:val="00FE57B8"/>
    <w:rsid w:val="00FE590C"/>
    <w:rsid w:val="00FE592F"/>
    <w:rsid w:val="00FE594F"/>
    <w:rsid w:val="00FE5A57"/>
    <w:rsid w:val="00FE5AF7"/>
    <w:rsid w:val="00FE5B12"/>
    <w:rsid w:val="00FE5B66"/>
    <w:rsid w:val="00FE5BE7"/>
    <w:rsid w:val="00FE5D0B"/>
    <w:rsid w:val="00FE5D0D"/>
    <w:rsid w:val="00FE5D55"/>
    <w:rsid w:val="00FE5E04"/>
    <w:rsid w:val="00FE5EAC"/>
    <w:rsid w:val="00FE5F55"/>
    <w:rsid w:val="00FE600F"/>
    <w:rsid w:val="00FE60C8"/>
    <w:rsid w:val="00FE60D5"/>
    <w:rsid w:val="00FE6144"/>
    <w:rsid w:val="00FE61A1"/>
    <w:rsid w:val="00FE61C0"/>
    <w:rsid w:val="00FE624D"/>
    <w:rsid w:val="00FE6396"/>
    <w:rsid w:val="00FE639F"/>
    <w:rsid w:val="00FE64CA"/>
    <w:rsid w:val="00FE6584"/>
    <w:rsid w:val="00FE67DF"/>
    <w:rsid w:val="00FE6884"/>
    <w:rsid w:val="00FE6888"/>
    <w:rsid w:val="00FE6890"/>
    <w:rsid w:val="00FE695C"/>
    <w:rsid w:val="00FE6960"/>
    <w:rsid w:val="00FE698A"/>
    <w:rsid w:val="00FE69B4"/>
    <w:rsid w:val="00FE69DD"/>
    <w:rsid w:val="00FE6A6F"/>
    <w:rsid w:val="00FE6B80"/>
    <w:rsid w:val="00FE6C6C"/>
    <w:rsid w:val="00FE6CEC"/>
    <w:rsid w:val="00FE6DB5"/>
    <w:rsid w:val="00FE6E6C"/>
    <w:rsid w:val="00FE6EB6"/>
    <w:rsid w:val="00FE6ECE"/>
    <w:rsid w:val="00FE6EED"/>
    <w:rsid w:val="00FE6EF6"/>
    <w:rsid w:val="00FE6F18"/>
    <w:rsid w:val="00FE6F46"/>
    <w:rsid w:val="00FE7024"/>
    <w:rsid w:val="00FE7031"/>
    <w:rsid w:val="00FE7077"/>
    <w:rsid w:val="00FE70BE"/>
    <w:rsid w:val="00FE70F8"/>
    <w:rsid w:val="00FE71E4"/>
    <w:rsid w:val="00FE72A2"/>
    <w:rsid w:val="00FE7449"/>
    <w:rsid w:val="00FE7487"/>
    <w:rsid w:val="00FE74E9"/>
    <w:rsid w:val="00FE7513"/>
    <w:rsid w:val="00FE75A0"/>
    <w:rsid w:val="00FE75F3"/>
    <w:rsid w:val="00FE7611"/>
    <w:rsid w:val="00FE7626"/>
    <w:rsid w:val="00FE7696"/>
    <w:rsid w:val="00FE770D"/>
    <w:rsid w:val="00FE78C4"/>
    <w:rsid w:val="00FE78D8"/>
    <w:rsid w:val="00FE79BE"/>
    <w:rsid w:val="00FE7A1B"/>
    <w:rsid w:val="00FE7A31"/>
    <w:rsid w:val="00FE7A37"/>
    <w:rsid w:val="00FE7A4F"/>
    <w:rsid w:val="00FE7A89"/>
    <w:rsid w:val="00FE7AE2"/>
    <w:rsid w:val="00FE7AE4"/>
    <w:rsid w:val="00FE7B2E"/>
    <w:rsid w:val="00FE7B2F"/>
    <w:rsid w:val="00FE7B4D"/>
    <w:rsid w:val="00FE7BE2"/>
    <w:rsid w:val="00FE7C13"/>
    <w:rsid w:val="00FE7C58"/>
    <w:rsid w:val="00FE7C5C"/>
    <w:rsid w:val="00FE7CB9"/>
    <w:rsid w:val="00FE7CEE"/>
    <w:rsid w:val="00FE7D03"/>
    <w:rsid w:val="00FE7DC8"/>
    <w:rsid w:val="00FE7EF8"/>
    <w:rsid w:val="00FE7FAA"/>
    <w:rsid w:val="00FEE8A8"/>
    <w:rsid w:val="00FF0209"/>
    <w:rsid w:val="00FF0218"/>
    <w:rsid w:val="00FF021B"/>
    <w:rsid w:val="00FF025E"/>
    <w:rsid w:val="00FF0346"/>
    <w:rsid w:val="00FF03AE"/>
    <w:rsid w:val="00FF0456"/>
    <w:rsid w:val="00FF04B4"/>
    <w:rsid w:val="00FF054F"/>
    <w:rsid w:val="00FF0557"/>
    <w:rsid w:val="00FF05C4"/>
    <w:rsid w:val="00FF06B9"/>
    <w:rsid w:val="00FF06C5"/>
    <w:rsid w:val="00FF0769"/>
    <w:rsid w:val="00FF07CC"/>
    <w:rsid w:val="00FF08BC"/>
    <w:rsid w:val="00FF08DF"/>
    <w:rsid w:val="00FF0969"/>
    <w:rsid w:val="00FF09F2"/>
    <w:rsid w:val="00FF0A2E"/>
    <w:rsid w:val="00FF0A73"/>
    <w:rsid w:val="00FF0A87"/>
    <w:rsid w:val="00FF0AC6"/>
    <w:rsid w:val="00FF0AF6"/>
    <w:rsid w:val="00FF0AFC"/>
    <w:rsid w:val="00FF0B76"/>
    <w:rsid w:val="00FF0BD1"/>
    <w:rsid w:val="00FF0BE1"/>
    <w:rsid w:val="00FF0C2E"/>
    <w:rsid w:val="00FF0C89"/>
    <w:rsid w:val="00FF0D91"/>
    <w:rsid w:val="00FF0D98"/>
    <w:rsid w:val="00FF0DD7"/>
    <w:rsid w:val="00FF0E13"/>
    <w:rsid w:val="00FF0E1B"/>
    <w:rsid w:val="00FF0E36"/>
    <w:rsid w:val="00FF0E72"/>
    <w:rsid w:val="00FF0EB2"/>
    <w:rsid w:val="00FF0F0E"/>
    <w:rsid w:val="00FF10F4"/>
    <w:rsid w:val="00FF1214"/>
    <w:rsid w:val="00FF121B"/>
    <w:rsid w:val="00FF12EA"/>
    <w:rsid w:val="00FF137C"/>
    <w:rsid w:val="00FF138C"/>
    <w:rsid w:val="00FF1450"/>
    <w:rsid w:val="00FF1471"/>
    <w:rsid w:val="00FF1477"/>
    <w:rsid w:val="00FF147D"/>
    <w:rsid w:val="00FF14DF"/>
    <w:rsid w:val="00FF16B6"/>
    <w:rsid w:val="00FF170D"/>
    <w:rsid w:val="00FF17A5"/>
    <w:rsid w:val="00FF190D"/>
    <w:rsid w:val="00FF1921"/>
    <w:rsid w:val="00FF1996"/>
    <w:rsid w:val="00FF19A2"/>
    <w:rsid w:val="00FF19BF"/>
    <w:rsid w:val="00FF1A36"/>
    <w:rsid w:val="00FF1A6D"/>
    <w:rsid w:val="00FF1A99"/>
    <w:rsid w:val="00FF1B20"/>
    <w:rsid w:val="00FF1B47"/>
    <w:rsid w:val="00FF1C62"/>
    <w:rsid w:val="00FF1D0B"/>
    <w:rsid w:val="00FF1D0E"/>
    <w:rsid w:val="00FF1DB4"/>
    <w:rsid w:val="00FF1DD7"/>
    <w:rsid w:val="00FF1E2F"/>
    <w:rsid w:val="00FF1E3E"/>
    <w:rsid w:val="00FF1E50"/>
    <w:rsid w:val="00FF1F41"/>
    <w:rsid w:val="00FF2074"/>
    <w:rsid w:val="00FF20DC"/>
    <w:rsid w:val="00FF2181"/>
    <w:rsid w:val="00FF2273"/>
    <w:rsid w:val="00FF2317"/>
    <w:rsid w:val="00FF23C6"/>
    <w:rsid w:val="00FF241F"/>
    <w:rsid w:val="00FF249F"/>
    <w:rsid w:val="00FF24D4"/>
    <w:rsid w:val="00FF24DB"/>
    <w:rsid w:val="00FF25D3"/>
    <w:rsid w:val="00FF260E"/>
    <w:rsid w:val="00FF268C"/>
    <w:rsid w:val="00FF26B4"/>
    <w:rsid w:val="00FF26BD"/>
    <w:rsid w:val="00FF272F"/>
    <w:rsid w:val="00FF2892"/>
    <w:rsid w:val="00FF28B8"/>
    <w:rsid w:val="00FF28E4"/>
    <w:rsid w:val="00FF2923"/>
    <w:rsid w:val="00FF2A47"/>
    <w:rsid w:val="00FF2B40"/>
    <w:rsid w:val="00FF2B54"/>
    <w:rsid w:val="00FF2C9E"/>
    <w:rsid w:val="00FF2CF0"/>
    <w:rsid w:val="00FF2D9C"/>
    <w:rsid w:val="00FF2DAD"/>
    <w:rsid w:val="00FF2E1B"/>
    <w:rsid w:val="00FF2F59"/>
    <w:rsid w:val="00FF2F8E"/>
    <w:rsid w:val="00FF2FD2"/>
    <w:rsid w:val="00FF2FE9"/>
    <w:rsid w:val="00FF30C9"/>
    <w:rsid w:val="00FF30D8"/>
    <w:rsid w:val="00FF31AB"/>
    <w:rsid w:val="00FF31B2"/>
    <w:rsid w:val="00FF3274"/>
    <w:rsid w:val="00FF3320"/>
    <w:rsid w:val="00FF3352"/>
    <w:rsid w:val="00FF3374"/>
    <w:rsid w:val="00FF33E6"/>
    <w:rsid w:val="00FF3468"/>
    <w:rsid w:val="00FF3478"/>
    <w:rsid w:val="00FF3490"/>
    <w:rsid w:val="00FF349E"/>
    <w:rsid w:val="00FF3664"/>
    <w:rsid w:val="00FF36E4"/>
    <w:rsid w:val="00FF3721"/>
    <w:rsid w:val="00FF3726"/>
    <w:rsid w:val="00FF385E"/>
    <w:rsid w:val="00FF3A42"/>
    <w:rsid w:val="00FF3AD2"/>
    <w:rsid w:val="00FF3BD9"/>
    <w:rsid w:val="00FF3CBE"/>
    <w:rsid w:val="00FF3D6E"/>
    <w:rsid w:val="00FF3D9E"/>
    <w:rsid w:val="00FF3DFF"/>
    <w:rsid w:val="00FF3E2B"/>
    <w:rsid w:val="00FF3F47"/>
    <w:rsid w:val="00FF4066"/>
    <w:rsid w:val="00FF40E6"/>
    <w:rsid w:val="00FF411D"/>
    <w:rsid w:val="00FF4183"/>
    <w:rsid w:val="00FF41C9"/>
    <w:rsid w:val="00FF4253"/>
    <w:rsid w:val="00FF4268"/>
    <w:rsid w:val="00FF428E"/>
    <w:rsid w:val="00FF4356"/>
    <w:rsid w:val="00FF437E"/>
    <w:rsid w:val="00FF43D6"/>
    <w:rsid w:val="00FF43FC"/>
    <w:rsid w:val="00FF4411"/>
    <w:rsid w:val="00FF455F"/>
    <w:rsid w:val="00FF45C6"/>
    <w:rsid w:val="00FF462A"/>
    <w:rsid w:val="00FF4635"/>
    <w:rsid w:val="00FF469D"/>
    <w:rsid w:val="00FF469E"/>
    <w:rsid w:val="00FF46A1"/>
    <w:rsid w:val="00FF473B"/>
    <w:rsid w:val="00FF473F"/>
    <w:rsid w:val="00FF4748"/>
    <w:rsid w:val="00FF47BB"/>
    <w:rsid w:val="00FF47CA"/>
    <w:rsid w:val="00FF47E1"/>
    <w:rsid w:val="00FF4825"/>
    <w:rsid w:val="00FF483F"/>
    <w:rsid w:val="00FF4885"/>
    <w:rsid w:val="00FF48F2"/>
    <w:rsid w:val="00FF491A"/>
    <w:rsid w:val="00FF49FA"/>
    <w:rsid w:val="00FF4A3C"/>
    <w:rsid w:val="00FF4A78"/>
    <w:rsid w:val="00FF4AE9"/>
    <w:rsid w:val="00FF4AF6"/>
    <w:rsid w:val="00FF4AFA"/>
    <w:rsid w:val="00FF4BC2"/>
    <w:rsid w:val="00FF4C7D"/>
    <w:rsid w:val="00FF4CA0"/>
    <w:rsid w:val="00FF4CAF"/>
    <w:rsid w:val="00FF4CBA"/>
    <w:rsid w:val="00FF4CDD"/>
    <w:rsid w:val="00FF4D10"/>
    <w:rsid w:val="00FF4D2D"/>
    <w:rsid w:val="00FF4DAE"/>
    <w:rsid w:val="00FF4F34"/>
    <w:rsid w:val="00FF4F9D"/>
    <w:rsid w:val="00FF4FC2"/>
    <w:rsid w:val="00FF4FF6"/>
    <w:rsid w:val="00FF50D5"/>
    <w:rsid w:val="00FF50E7"/>
    <w:rsid w:val="00FF5118"/>
    <w:rsid w:val="00FF5174"/>
    <w:rsid w:val="00FF519F"/>
    <w:rsid w:val="00FF51E0"/>
    <w:rsid w:val="00FF51FE"/>
    <w:rsid w:val="00FF531C"/>
    <w:rsid w:val="00FF533C"/>
    <w:rsid w:val="00FF5347"/>
    <w:rsid w:val="00FF53A0"/>
    <w:rsid w:val="00FF53A3"/>
    <w:rsid w:val="00FF54DB"/>
    <w:rsid w:val="00FF5528"/>
    <w:rsid w:val="00FF5563"/>
    <w:rsid w:val="00FF55C5"/>
    <w:rsid w:val="00FF55FC"/>
    <w:rsid w:val="00FF5648"/>
    <w:rsid w:val="00FF565A"/>
    <w:rsid w:val="00FF56E8"/>
    <w:rsid w:val="00FF56F7"/>
    <w:rsid w:val="00FF5704"/>
    <w:rsid w:val="00FF5745"/>
    <w:rsid w:val="00FF5746"/>
    <w:rsid w:val="00FF5771"/>
    <w:rsid w:val="00FF57C8"/>
    <w:rsid w:val="00FF5851"/>
    <w:rsid w:val="00FF5925"/>
    <w:rsid w:val="00FF5927"/>
    <w:rsid w:val="00FF59B8"/>
    <w:rsid w:val="00FF5AA7"/>
    <w:rsid w:val="00FF5B01"/>
    <w:rsid w:val="00FF5BFF"/>
    <w:rsid w:val="00FF5C0E"/>
    <w:rsid w:val="00FF5CC0"/>
    <w:rsid w:val="00FF5CC1"/>
    <w:rsid w:val="00FF5DB4"/>
    <w:rsid w:val="00FF5F51"/>
    <w:rsid w:val="00FF5F70"/>
    <w:rsid w:val="00FF5FA8"/>
    <w:rsid w:val="00FF5FFE"/>
    <w:rsid w:val="00FF6014"/>
    <w:rsid w:val="00FF60B4"/>
    <w:rsid w:val="00FF60C5"/>
    <w:rsid w:val="00FF6117"/>
    <w:rsid w:val="00FF6142"/>
    <w:rsid w:val="00FF61A9"/>
    <w:rsid w:val="00FF620E"/>
    <w:rsid w:val="00FF623D"/>
    <w:rsid w:val="00FF6310"/>
    <w:rsid w:val="00FF6368"/>
    <w:rsid w:val="00FF6455"/>
    <w:rsid w:val="00FF6457"/>
    <w:rsid w:val="00FF6548"/>
    <w:rsid w:val="00FF6607"/>
    <w:rsid w:val="00FF6731"/>
    <w:rsid w:val="00FF67CB"/>
    <w:rsid w:val="00FF67D7"/>
    <w:rsid w:val="00FF68A5"/>
    <w:rsid w:val="00FF6966"/>
    <w:rsid w:val="00FF6A05"/>
    <w:rsid w:val="00FF6A24"/>
    <w:rsid w:val="00FF6A84"/>
    <w:rsid w:val="00FF6B09"/>
    <w:rsid w:val="00FF6BAA"/>
    <w:rsid w:val="00FF6BCF"/>
    <w:rsid w:val="00FF6BD1"/>
    <w:rsid w:val="00FF6BDE"/>
    <w:rsid w:val="00FF6C82"/>
    <w:rsid w:val="00FF6C99"/>
    <w:rsid w:val="00FF6CC9"/>
    <w:rsid w:val="00FF6D21"/>
    <w:rsid w:val="00FF6D64"/>
    <w:rsid w:val="00FF6D66"/>
    <w:rsid w:val="00FF6D98"/>
    <w:rsid w:val="00FF6E09"/>
    <w:rsid w:val="00FF6E10"/>
    <w:rsid w:val="00FF6E1D"/>
    <w:rsid w:val="00FF6E6E"/>
    <w:rsid w:val="00FF6F22"/>
    <w:rsid w:val="00FF6F4B"/>
    <w:rsid w:val="00FF6F77"/>
    <w:rsid w:val="00FF6FEE"/>
    <w:rsid w:val="00FF704E"/>
    <w:rsid w:val="00FF7066"/>
    <w:rsid w:val="00FF70A2"/>
    <w:rsid w:val="00FF71A2"/>
    <w:rsid w:val="00FF7274"/>
    <w:rsid w:val="00FF73FB"/>
    <w:rsid w:val="00FF7428"/>
    <w:rsid w:val="00FF742D"/>
    <w:rsid w:val="00FF74D2"/>
    <w:rsid w:val="00FF750F"/>
    <w:rsid w:val="00FF7525"/>
    <w:rsid w:val="00FF75CE"/>
    <w:rsid w:val="00FF777F"/>
    <w:rsid w:val="00FF7789"/>
    <w:rsid w:val="00FF782B"/>
    <w:rsid w:val="00FF7883"/>
    <w:rsid w:val="00FF78C2"/>
    <w:rsid w:val="00FF78CB"/>
    <w:rsid w:val="00FF79AD"/>
    <w:rsid w:val="00FF79E9"/>
    <w:rsid w:val="00FF7A05"/>
    <w:rsid w:val="00FF7A58"/>
    <w:rsid w:val="00FF7ABD"/>
    <w:rsid w:val="00FF7B27"/>
    <w:rsid w:val="00FF7B3C"/>
    <w:rsid w:val="00FF7B5A"/>
    <w:rsid w:val="00FF7B69"/>
    <w:rsid w:val="00FF7BC1"/>
    <w:rsid w:val="00FF7BC4"/>
    <w:rsid w:val="00FF7BF0"/>
    <w:rsid w:val="00FF7BFB"/>
    <w:rsid w:val="00FF7C10"/>
    <w:rsid w:val="00FF7C1D"/>
    <w:rsid w:val="00FF7C38"/>
    <w:rsid w:val="00FF7D2D"/>
    <w:rsid w:val="00FF7D50"/>
    <w:rsid w:val="00FF7E5D"/>
    <w:rsid w:val="00FF7EA8"/>
    <w:rsid w:val="00FF7EC0"/>
    <w:rsid w:val="00FF7ECB"/>
    <w:rsid w:val="00FF7F0C"/>
    <w:rsid w:val="00FF7F42"/>
    <w:rsid w:val="00FF7F69"/>
    <w:rsid w:val="00FF7FA2"/>
    <w:rsid w:val="010C7DF7"/>
    <w:rsid w:val="010D7E8C"/>
    <w:rsid w:val="011154F7"/>
    <w:rsid w:val="01121F08"/>
    <w:rsid w:val="011AEB2D"/>
    <w:rsid w:val="011B685C"/>
    <w:rsid w:val="0126197F"/>
    <w:rsid w:val="012EC182"/>
    <w:rsid w:val="013716DC"/>
    <w:rsid w:val="013AC366"/>
    <w:rsid w:val="013B2D9D"/>
    <w:rsid w:val="014111D0"/>
    <w:rsid w:val="0150D28F"/>
    <w:rsid w:val="01515616"/>
    <w:rsid w:val="015A538A"/>
    <w:rsid w:val="01603889"/>
    <w:rsid w:val="0163DB1E"/>
    <w:rsid w:val="01642E2F"/>
    <w:rsid w:val="016746A2"/>
    <w:rsid w:val="016A337D"/>
    <w:rsid w:val="016ECF1C"/>
    <w:rsid w:val="016FFCC0"/>
    <w:rsid w:val="01713680"/>
    <w:rsid w:val="01784AC4"/>
    <w:rsid w:val="017BD4BC"/>
    <w:rsid w:val="017EAF21"/>
    <w:rsid w:val="0187E70A"/>
    <w:rsid w:val="018B1E8E"/>
    <w:rsid w:val="018B6E16"/>
    <w:rsid w:val="018C4258"/>
    <w:rsid w:val="01940219"/>
    <w:rsid w:val="01A1DE0C"/>
    <w:rsid w:val="01A294C9"/>
    <w:rsid w:val="01A42701"/>
    <w:rsid w:val="01AA8467"/>
    <w:rsid w:val="01ACF84A"/>
    <w:rsid w:val="01AE2AB9"/>
    <w:rsid w:val="01AFCFF7"/>
    <w:rsid w:val="01B7DE19"/>
    <w:rsid w:val="01C23286"/>
    <w:rsid w:val="01C82E05"/>
    <w:rsid w:val="01C8A76F"/>
    <w:rsid w:val="01CFDE0A"/>
    <w:rsid w:val="01D1FC09"/>
    <w:rsid w:val="01D57A21"/>
    <w:rsid w:val="01DC336B"/>
    <w:rsid w:val="01DC3A69"/>
    <w:rsid w:val="01DC451D"/>
    <w:rsid w:val="01E66E91"/>
    <w:rsid w:val="01EB8C01"/>
    <w:rsid w:val="01F001F7"/>
    <w:rsid w:val="01F238B7"/>
    <w:rsid w:val="01F3FFDD"/>
    <w:rsid w:val="020B2E20"/>
    <w:rsid w:val="02115E56"/>
    <w:rsid w:val="0217F63F"/>
    <w:rsid w:val="021DD279"/>
    <w:rsid w:val="0224FA13"/>
    <w:rsid w:val="02280456"/>
    <w:rsid w:val="023BED79"/>
    <w:rsid w:val="02477845"/>
    <w:rsid w:val="025D94A8"/>
    <w:rsid w:val="025E251D"/>
    <w:rsid w:val="0265F69E"/>
    <w:rsid w:val="02683E16"/>
    <w:rsid w:val="026D9E9F"/>
    <w:rsid w:val="0270AF3C"/>
    <w:rsid w:val="0271462B"/>
    <w:rsid w:val="027B51F7"/>
    <w:rsid w:val="027BF16A"/>
    <w:rsid w:val="027D6091"/>
    <w:rsid w:val="028836E3"/>
    <w:rsid w:val="02886C4C"/>
    <w:rsid w:val="028AE962"/>
    <w:rsid w:val="028B4E11"/>
    <w:rsid w:val="02943DF1"/>
    <w:rsid w:val="029B5E0B"/>
    <w:rsid w:val="02A035BB"/>
    <w:rsid w:val="02B35B75"/>
    <w:rsid w:val="02BA20D2"/>
    <w:rsid w:val="02BB9FF3"/>
    <w:rsid w:val="02C01401"/>
    <w:rsid w:val="02C1E2D0"/>
    <w:rsid w:val="02CCBCEB"/>
    <w:rsid w:val="02CE78D4"/>
    <w:rsid w:val="02CEA551"/>
    <w:rsid w:val="02D44870"/>
    <w:rsid w:val="02DAE5B0"/>
    <w:rsid w:val="02DE4ADA"/>
    <w:rsid w:val="02DE7FD7"/>
    <w:rsid w:val="02E8B083"/>
    <w:rsid w:val="02EBA121"/>
    <w:rsid w:val="02EDAD40"/>
    <w:rsid w:val="02F049B9"/>
    <w:rsid w:val="02F6D01C"/>
    <w:rsid w:val="02F6E2A9"/>
    <w:rsid w:val="02FAF36D"/>
    <w:rsid w:val="02FB97C2"/>
    <w:rsid w:val="0302B15C"/>
    <w:rsid w:val="030A01EA"/>
    <w:rsid w:val="030CEFED"/>
    <w:rsid w:val="030E9A46"/>
    <w:rsid w:val="031A5824"/>
    <w:rsid w:val="031E98EF"/>
    <w:rsid w:val="03228705"/>
    <w:rsid w:val="0326CBDC"/>
    <w:rsid w:val="0327593C"/>
    <w:rsid w:val="0328CDF7"/>
    <w:rsid w:val="0329180B"/>
    <w:rsid w:val="032D9401"/>
    <w:rsid w:val="032DDD54"/>
    <w:rsid w:val="032E18D0"/>
    <w:rsid w:val="033046D8"/>
    <w:rsid w:val="03356197"/>
    <w:rsid w:val="03379A07"/>
    <w:rsid w:val="034810EE"/>
    <w:rsid w:val="034A6F71"/>
    <w:rsid w:val="034B6372"/>
    <w:rsid w:val="034F53D2"/>
    <w:rsid w:val="035137F9"/>
    <w:rsid w:val="03544205"/>
    <w:rsid w:val="0359A8A5"/>
    <w:rsid w:val="035ED618"/>
    <w:rsid w:val="036923FC"/>
    <w:rsid w:val="036BE7C2"/>
    <w:rsid w:val="036CF14F"/>
    <w:rsid w:val="03734CA0"/>
    <w:rsid w:val="03762619"/>
    <w:rsid w:val="0377D3C3"/>
    <w:rsid w:val="038348A8"/>
    <w:rsid w:val="038B0D31"/>
    <w:rsid w:val="038D56E4"/>
    <w:rsid w:val="038F89EE"/>
    <w:rsid w:val="039256A0"/>
    <w:rsid w:val="039ABD8D"/>
    <w:rsid w:val="03A3205A"/>
    <w:rsid w:val="03A6D8DF"/>
    <w:rsid w:val="03B41130"/>
    <w:rsid w:val="03BA0602"/>
    <w:rsid w:val="03BEE0CD"/>
    <w:rsid w:val="03D4BFF9"/>
    <w:rsid w:val="03D4C094"/>
    <w:rsid w:val="03DAB06C"/>
    <w:rsid w:val="03E51D54"/>
    <w:rsid w:val="03EEE822"/>
    <w:rsid w:val="03F4609F"/>
    <w:rsid w:val="0403AE68"/>
    <w:rsid w:val="040403C0"/>
    <w:rsid w:val="0404BCCF"/>
    <w:rsid w:val="0408C6AF"/>
    <w:rsid w:val="040B2F90"/>
    <w:rsid w:val="040C8C69"/>
    <w:rsid w:val="0419DB3D"/>
    <w:rsid w:val="041C9571"/>
    <w:rsid w:val="041D9FE3"/>
    <w:rsid w:val="041FD926"/>
    <w:rsid w:val="0426F218"/>
    <w:rsid w:val="04284705"/>
    <w:rsid w:val="043857CD"/>
    <w:rsid w:val="043DD33D"/>
    <w:rsid w:val="044962C3"/>
    <w:rsid w:val="044F61D0"/>
    <w:rsid w:val="04524F43"/>
    <w:rsid w:val="0455EB63"/>
    <w:rsid w:val="0456FB9A"/>
    <w:rsid w:val="0461089C"/>
    <w:rsid w:val="04630F6E"/>
    <w:rsid w:val="0465C810"/>
    <w:rsid w:val="046DF388"/>
    <w:rsid w:val="046EB79E"/>
    <w:rsid w:val="0472157B"/>
    <w:rsid w:val="0474468E"/>
    <w:rsid w:val="04759AEF"/>
    <w:rsid w:val="047705D7"/>
    <w:rsid w:val="047908CD"/>
    <w:rsid w:val="04795F06"/>
    <w:rsid w:val="04799890"/>
    <w:rsid w:val="047B41B9"/>
    <w:rsid w:val="047B43B0"/>
    <w:rsid w:val="0483E459"/>
    <w:rsid w:val="048CB366"/>
    <w:rsid w:val="04982CAA"/>
    <w:rsid w:val="04A2CA01"/>
    <w:rsid w:val="04A92F92"/>
    <w:rsid w:val="04ACA473"/>
    <w:rsid w:val="04B25F5D"/>
    <w:rsid w:val="04B96093"/>
    <w:rsid w:val="04CC8A03"/>
    <w:rsid w:val="04D26BA3"/>
    <w:rsid w:val="04D5216F"/>
    <w:rsid w:val="04DAAD97"/>
    <w:rsid w:val="04DBC403"/>
    <w:rsid w:val="04DF0776"/>
    <w:rsid w:val="04E8B951"/>
    <w:rsid w:val="04EA9DDE"/>
    <w:rsid w:val="04F30EF3"/>
    <w:rsid w:val="04F9EAA8"/>
    <w:rsid w:val="0502E4C1"/>
    <w:rsid w:val="05035AA7"/>
    <w:rsid w:val="0510F831"/>
    <w:rsid w:val="05126A4E"/>
    <w:rsid w:val="0513B0DF"/>
    <w:rsid w:val="05154E42"/>
    <w:rsid w:val="05162B96"/>
    <w:rsid w:val="05319630"/>
    <w:rsid w:val="05340C7A"/>
    <w:rsid w:val="053CD28F"/>
    <w:rsid w:val="053E34BE"/>
    <w:rsid w:val="054677AF"/>
    <w:rsid w:val="054B56A2"/>
    <w:rsid w:val="05523D86"/>
    <w:rsid w:val="05564A60"/>
    <w:rsid w:val="05575A32"/>
    <w:rsid w:val="055A234C"/>
    <w:rsid w:val="055BA364"/>
    <w:rsid w:val="056207D5"/>
    <w:rsid w:val="05636020"/>
    <w:rsid w:val="05693899"/>
    <w:rsid w:val="0573638C"/>
    <w:rsid w:val="057D1E2A"/>
    <w:rsid w:val="0580CBF7"/>
    <w:rsid w:val="05811A12"/>
    <w:rsid w:val="0582CE26"/>
    <w:rsid w:val="058A4E77"/>
    <w:rsid w:val="058E70CE"/>
    <w:rsid w:val="0594F674"/>
    <w:rsid w:val="05955A95"/>
    <w:rsid w:val="059AEC19"/>
    <w:rsid w:val="059E1ADE"/>
    <w:rsid w:val="05B0BA61"/>
    <w:rsid w:val="05BAD542"/>
    <w:rsid w:val="05BCB911"/>
    <w:rsid w:val="05BFDA2C"/>
    <w:rsid w:val="05C7FA94"/>
    <w:rsid w:val="05CB155B"/>
    <w:rsid w:val="05D1C024"/>
    <w:rsid w:val="05D8B54F"/>
    <w:rsid w:val="05D9F100"/>
    <w:rsid w:val="05DD50C0"/>
    <w:rsid w:val="05DDCF05"/>
    <w:rsid w:val="05DFA928"/>
    <w:rsid w:val="05DFC130"/>
    <w:rsid w:val="05F0C66B"/>
    <w:rsid w:val="05F79A8B"/>
    <w:rsid w:val="05FF7645"/>
    <w:rsid w:val="06016259"/>
    <w:rsid w:val="06122EFE"/>
    <w:rsid w:val="06171A4A"/>
    <w:rsid w:val="061D1DD8"/>
    <w:rsid w:val="061D6613"/>
    <w:rsid w:val="06276DB9"/>
    <w:rsid w:val="062EB168"/>
    <w:rsid w:val="062F6087"/>
    <w:rsid w:val="06358993"/>
    <w:rsid w:val="0636EC84"/>
    <w:rsid w:val="0643F47C"/>
    <w:rsid w:val="064CEBD1"/>
    <w:rsid w:val="064EF894"/>
    <w:rsid w:val="0655296C"/>
    <w:rsid w:val="065C541C"/>
    <w:rsid w:val="06639514"/>
    <w:rsid w:val="066E8CBD"/>
    <w:rsid w:val="0675CAA2"/>
    <w:rsid w:val="0678B2FC"/>
    <w:rsid w:val="0683C566"/>
    <w:rsid w:val="0688F74C"/>
    <w:rsid w:val="06896546"/>
    <w:rsid w:val="068E9AF8"/>
    <w:rsid w:val="068EA030"/>
    <w:rsid w:val="0691B7A1"/>
    <w:rsid w:val="0699FA5D"/>
    <w:rsid w:val="069A1AEC"/>
    <w:rsid w:val="069EEFC3"/>
    <w:rsid w:val="06AEACDE"/>
    <w:rsid w:val="06B54996"/>
    <w:rsid w:val="06BBB4ED"/>
    <w:rsid w:val="06BC77AE"/>
    <w:rsid w:val="06C7E039"/>
    <w:rsid w:val="06D3E984"/>
    <w:rsid w:val="06D686E6"/>
    <w:rsid w:val="06DB01DF"/>
    <w:rsid w:val="06DD5DB5"/>
    <w:rsid w:val="06E7DD40"/>
    <w:rsid w:val="06E96919"/>
    <w:rsid w:val="06ECDDB7"/>
    <w:rsid w:val="06ED2785"/>
    <w:rsid w:val="06F87097"/>
    <w:rsid w:val="0708593C"/>
    <w:rsid w:val="07116849"/>
    <w:rsid w:val="071381D3"/>
    <w:rsid w:val="0714CCE0"/>
    <w:rsid w:val="071BDA21"/>
    <w:rsid w:val="071D1F0D"/>
    <w:rsid w:val="071E36F8"/>
    <w:rsid w:val="072664DD"/>
    <w:rsid w:val="072F602B"/>
    <w:rsid w:val="0731B3E3"/>
    <w:rsid w:val="0734F499"/>
    <w:rsid w:val="0735AC02"/>
    <w:rsid w:val="073D9E63"/>
    <w:rsid w:val="073E8A3E"/>
    <w:rsid w:val="0740AC5A"/>
    <w:rsid w:val="0743C64D"/>
    <w:rsid w:val="075052BB"/>
    <w:rsid w:val="075C2EEB"/>
    <w:rsid w:val="075C5841"/>
    <w:rsid w:val="077454E1"/>
    <w:rsid w:val="077669A3"/>
    <w:rsid w:val="07794130"/>
    <w:rsid w:val="077B4A36"/>
    <w:rsid w:val="077F1C84"/>
    <w:rsid w:val="07895E49"/>
    <w:rsid w:val="078D9D29"/>
    <w:rsid w:val="079F01DC"/>
    <w:rsid w:val="079F7D50"/>
    <w:rsid w:val="07A11635"/>
    <w:rsid w:val="07A5C485"/>
    <w:rsid w:val="07AA45B7"/>
    <w:rsid w:val="07B05354"/>
    <w:rsid w:val="07BB786F"/>
    <w:rsid w:val="07C7CFA2"/>
    <w:rsid w:val="07CDE6C7"/>
    <w:rsid w:val="07CF7A0D"/>
    <w:rsid w:val="07D08A62"/>
    <w:rsid w:val="07D8BDDF"/>
    <w:rsid w:val="07D8DB9E"/>
    <w:rsid w:val="07E59308"/>
    <w:rsid w:val="07E760C7"/>
    <w:rsid w:val="07EB4AB2"/>
    <w:rsid w:val="07EF26A5"/>
    <w:rsid w:val="07F2E58B"/>
    <w:rsid w:val="07F3238C"/>
    <w:rsid w:val="07F9CE05"/>
    <w:rsid w:val="07FAAC24"/>
    <w:rsid w:val="07FAF3CA"/>
    <w:rsid w:val="0804A716"/>
    <w:rsid w:val="0808B0D6"/>
    <w:rsid w:val="080B6705"/>
    <w:rsid w:val="0817EC47"/>
    <w:rsid w:val="082161E6"/>
    <w:rsid w:val="082362E5"/>
    <w:rsid w:val="08264956"/>
    <w:rsid w:val="082E67FA"/>
    <w:rsid w:val="08313CA9"/>
    <w:rsid w:val="08323133"/>
    <w:rsid w:val="0835CD70"/>
    <w:rsid w:val="08379CD9"/>
    <w:rsid w:val="0838E705"/>
    <w:rsid w:val="083AC27F"/>
    <w:rsid w:val="083FDF51"/>
    <w:rsid w:val="0847171A"/>
    <w:rsid w:val="0851CED5"/>
    <w:rsid w:val="08521E8F"/>
    <w:rsid w:val="0852CAA1"/>
    <w:rsid w:val="0854DB7A"/>
    <w:rsid w:val="08556E83"/>
    <w:rsid w:val="085B6B25"/>
    <w:rsid w:val="0865978A"/>
    <w:rsid w:val="08763F5A"/>
    <w:rsid w:val="087B95F2"/>
    <w:rsid w:val="087C8AA1"/>
    <w:rsid w:val="087E780E"/>
    <w:rsid w:val="08877FC7"/>
    <w:rsid w:val="0889BB0E"/>
    <w:rsid w:val="0893725F"/>
    <w:rsid w:val="0896B729"/>
    <w:rsid w:val="08AA9728"/>
    <w:rsid w:val="08ADEFD3"/>
    <w:rsid w:val="08B165B6"/>
    <w:rsid w:val="08BC86C7"/>
    <w:rsid w:val="08C7907D"/>
    <w:rsid w:val="08CA19E2"/>
    <w:rsid w:val="08D84724"/>
    <w:rsid w:val="08E4DAA6"/>
    <w:rsid w:val="08EED84E"/>
    <w:rsid w:val="08EF564C"/>
    <w:rsid w:val="08F090A5"/>
    <w:rsid w:val="08F33148"/>
    <w:rsid w:val="08F5155F"/>
    <w:rsid w:val="08F8F372"/>
    <w:rsid w:val="08F986A8"/>
    <w:rsid w:val="08FBE551"/>
    <w:rsid w:val="08FC89FA"/>
    <w:rsid w:val="08FE50C9"/>
    <w:rsid w:val="0909BE1D"/>
    <w:rsid w:val="090B4998"/>
    <w:rsid w:val="090BC6B4"/>
    <w:rsid w:val="09114413"/>
    <w:rsid w:val="091E1114"/>
    <w:rsid w:val="092069BF"/>
    <w:rsid w:val="0922F2DB"/>
    <w:rsid w:val="0925DA7C"/>
    <w:rsid w:val="0926A79C"/>
    <w:rsid w:val="092B68D8"/>
    <w:rsid w:val="092C05D2"/>
    <w:rsid w:val="093D15C8"/>
    <w:rsid w:val="09441D7C"/>
    <w:rsid w:val="094578AD"/>
    <w:rsid w:val="09466310"/>
    <w:rsid w:val="0956855F"/>
    <w:rsid w:val="09680418"/>
    <w:rsid w:val="096AEC00"/>
    <w:rsid w:val="096C8919"/>
    <w:rsid w:val="096E02F7"/>
    <w:rsid w:val="096F5228"/>
    <w:rsid w:val="0972BBAA"/>
    <w:rsid w:val="09759B1C"/>
    <w:rsid w:val="0994FC2C"/>
    <w:rsid w:val="0996A62F"/>
    <w:rsid w:val="099CF058"/>
    <w:rsid w:val="099F885C"/>
    <w:rsid w:val="09A517D6"/>
    <w:rsid w:val="09AC6531"/>
    <w:rsid w:val="09AF2E00"/>
    <w:rsid w:val="09C457E7"/>
    <w:rsid w:val="09CBA683"/>
    <w:rsid w:val="09CF8EDB"/>
    <w:rsid w:val="09D91124"/>
    <w:rsid w:val="09DEE0D4"/>
    <w:rsid w:val="09E1A4A6"/>
    <w:rsid w:val="09E64387"/>
    <w:rsid w:val="09E657DB"/>
    <w:rsid w:val="09E7B921"/>
    <w:rsid w:val="09EB424D"/>
    <w:rsid w:val="09ED0B7F"/>
    <w:rsid w:val="09EE74F9"/>
    <w:rsid w:val="09EF4488"/>
    <w:rsid w:val="09EF8B7A"/>
    <w:rsid w:val="09F3801B"/>
    <w:rsid w:val="09F41870"/>
    <w:rsid w:val="09FAB2C8"/>
    <w:rsid w:val="09FBA0DF"/>
    <w:rsid w:val="09FC1157"/>
    <w:rsid w:val="0A004CDC"/>
    <w:rsid w:val="0A00E6C3"/>
    <w:rsid w:val="0A0A0663"/>
    <w:rsid w:val="0A0A3D62"/>
    <w:rsid w:val="0A0A4970"/>
    <w:rsid w:val="0A1CE9B5"/>
    <w:rsid w:val="0A1FF9E5"/>
    <w:rsid w:val="0A25A299"/>
    <w:rsid w:val="0A268C32"/>
    <w:rsid w:val="0A282B1C"/>
    <w:rsid w:val="0A284020"/>
    <w:rsid w:val="0A288514"/>
    <w:rsid w:val="0A2A556C"/>
    <w:rsid w:val="0A2C90E1"/>
    <w:rsid w:val="0A3012A3"/>
    <w:rsid w:val="0A30910F"/>
    <w:rsid w:val="0A362952"/>
    <w:rsid w:val="0A3D7A7F"/>
    <w:rsid w:val="0A3DF912"/>
    <w:rsid w:val="0A4588C9"/>
    <w:rsid w:val="0A4F3890"/>
    <w:rsid w:val="0A578F67"/>
    <w:rsid w:val="0A58FFC2"/>
    <w:rsid w:val="0A5ABF53"/>
    <w:rsid w:val="0A684658"/>
    <w:rsid w:val="0A6896FE"/>
    <w:rsid w:val="0A6BA034"/>
    <w:rsid w:val="0A6EA525"/>
    <w:rsid w:val="0A831598"/>
    <w:rsid w:val="0A850ED0"/>
    <w:rsid w:val="0A8B9B05"/>
    <w:rsid w:val="0A92606B"/>
    <w:rsid w:val="0A942DB6"/>
    <w:rsid w:val="0A966C39"/>
    <w:rsid w:val="0A984D06"/>
    <w:rsid w:val="0A99AD3A"/>
    <w:rsid w:val="0A99F1A1"/>
    <w:rsid w:val="0A9BA273"/>
    <w:rsid w:val="0A9D10BD"/>
    <w:rsid w:val="0AA34D0B"/>
    <w:rsid w:val="0AA4AD23"/>
    <w:rsid w:val="0AA746E9"/>
    <w:rsid w:val="0ABA22BF"/>
    <w:rsid w:val="0ACAA978"/>
    <w:rsid w:val="0ACCF43E"/>
    <w:rsid w:val="0AD79944"/>
    <w:rsid w:val="0ADF96C8"/>
    <w:rsid w:val="0AE1B605"/>
    <w:rsid w:val="0AE2FC55"/>
    <w:rsid w:val="0AE60EEC"/>
    <w:rsid w:val="0AECD4F1"/>
    <w:rsid w:val="0AF67B75"/>
    <w:rsid w:val="0AFC0EB1"/>
    <w:rsid w:val="0AFC3584"/>
    <w:rsid w:val="0B046EFC"/>
    <w:rsid w:val="0B06BA0E"/>
    <w:rsid w:val="0B08FAB6"/>
    <w:rsid w:val="0B15449F"/>
    <w:rsid w:val="0B1653A0"/>
    <w:rsid w:val="0B1D6879"/>
    <w:rsid w:val="0B243824"/>
    <w:rsid w:val="0B293A97"/>
    <w:rsid w:val="0B2B3078"/>
    <w:rsid w:val="0B302829"/>
    <w:rsid w:val="0B3204AB"/>
    <w:rsid w:val="0B37534A"/>
    <w:rsid w:val="0B379F3D"/>
    <w:rsid w:val="0B3B58BD"/>
    <w:rsid w:val="0B3E8408"/>
    <w:rsid w:val="0B3FF93A"/>
    <w:rsid w:val="0B423EFE"/>
    <w:rsid w:val="0B427F58"/>
    <w:rsid w:val="0B495D7E"/>
    <w:rsid w:val="0B4B0C70"/>
    <w:rsid w:val="0B59CA5F"/>
    <w:rsid w:val="0B61239A"/>
    <w:rsid w:val="0B63490B"/>
    <w:rsid w:val="0B63FBE5"/>
    <w:rsid w:val="0B666614"/>
    <w:rsid w:val="0B671B35"/>
    <w:rsid w:val="0B6D9300"/>
    <w:rsid w:val="0B89D2C0"/>
    <w:rsid w:val="0B934FF7"/>
    <w:rsid w:val="0B9C34A2"/>
    <w:rsid w:val="0B9C90D6"/>
    <w:rsid w:val="0B9DA31D"/>
    <w:rsid w:val="0B9DDCDC"/>
    <w:rsid w:val="0BA18282"/>
    <w:rsid w:val="0BB83D42"/>
    <w:rsid w:val="0BC5099F"/>
    <w:rsid w:val="0BD124FC"/>
    <w:rsid w:val="0BD3B386"/>
    <w:rsid w:val="0BEFE28D"/>
    <w:rsid w:val="0BF00D7B"/>
    <w:rsid w:val="0BF256DB"/>
    <w:rsid w:val="0BF65530"/>
    <w:rsid w:val="0BF744D3"/>
    <w:rsid w:val="0BFD5BF3"/>
    <w:rsid w:val="0C03F35D"/>
    <w:rsid w:val="0C08C5B3"/>
    <w:rsid w:val="0C0D4DC4"/>
    <w:rsid w:val="0C11F63D"/>
    <w:rsid w:val="0C22E703"/>
    <w:rsid w:val="0C2AE847"/>
    <w:rsid w:val="0C31D739"/>
    <w:rsid w:val="0C32BFF4"/>
    <w:rsid w:val="0C33EA0F"/>
    <w:rsid w:val="0C35F9BB"/>
    <w:rsid w:val="0C3725EA"/>
    <w:rsid w:val="0C379A20"/>
    <w:rsid w:val="0C3BDF8A"/>
    <w:rsid w:val="0C3F6EF0"/>
    <w:rsid w:val="0C42D52B"/>
    <w:rsid w:val="0C49CBD0"/>
    <w:rsid w:val="0C4D7AAA"/>
    <w:rsid w:val="0C50F1A1"/>
    <w:rsid w:val="0C617942"/>
    <w:rsid w:val="0C652781"/>
    <w:rsid w:val="0C66BF21"/>
    <w:rsid w:val="0C685142"/>
    <w:rsid w:val="0C6FE3BF"/>
    <w:rsid w:val="0C74726A"/>
    <w:rsid w:val="0C758E13"/>
    <w:rsid w:val="0C793C52"/>
    <w:rsid w:val="0C7B2E17"/>
    <w:rsid w:val="0C7BE449"/>
    <w:rsid w:val="0C8CF28D"/>
    <w:rsid w:val="0C94E69B"/>
    <w:rsid w:val="0C9CD7AF"/>
    <w:rsid w:val="0CAC1174"/>
    <w:rsid w:val="0CB1D61E"/>
    <w:rsid w:val="0CB4E1F8"/>
    <w:rsid w:val="0CB5793C"/>
    <w:rsid w:val="0CB89D32"/>
    <w:rsid w:val="0CBB865A"/>
    <w:rsid w:val="0CD370FC"/>
    <w:rsid w:val="0CD6E2A8"/>
    <w:rsid w:val="0CDD07AE"/>
    <w:rsid w:val="0CE62AA6"/>
    <w:rsid w:val="0CF0FC44"/>
    <w:rsid w:val="0CFCCDDD"/>
    <w:rsid w:val="0D065EF9"/>
    <w:rsid w:val="0D074527"/>
    <w:rsid w:val="0D0AE0AC"/>
    <w:rsid w:val="0D0CC0DC"/>
    <w:rsid w:val="0D192BC5"/>
    <w:rsid w:val="0D2422A2"/>
    <w:rsid w:val="0D26E54A"/>
    <w:rsid w:val="0D36BBF4"/>
    <w:rsid w:val="0D406A53"/>
    <w:rsid w:val="0D415C27"/>
    <w:rsid w:val="0D4AAF5D"/>
    <w:rsid w:val="0D4B3FA7"/>
    <w:rsid w:val="0D4C7693"/>
    <w:rsid w:val="0D51D0B3"/>
    <w:rsid w:val="0D54D4C0"/>
    <w:rsid w:val="0D5668A8"/>
    <w:rsid w:val="0D5CF0B7"/>
    <w:rsid w:val="0D6F9A40"/>
    <w:rsid w:val="0D7006AA"/>
    <w:rsid w:val="0D750417"/>
    <w:rsid w:val="0D75EA5D"/>
    <w:rsid w:val="0D7F2A45"/>
    <w:rsid w:val="0D7F9098"/>
    <w:rsid w:val="0D81D206"/>
    <w:rsid w:val="0D85AA4C"/>
    <w:rsid w:val="0D85C1DD"/>
    <w:rsid w:val="0D8D787C"/>
    <w:rsid w:val="0D8FC125"/>
    <w:rsid w:val="0D907402"/>
    <w:rsid w:val="0D9BC9F7"/>
    <w:rsid w:val="0DA50639"/>
    <w:rsid w:val="0DB74D9D"/>
    <w:rsid w:val="0DD5E781"/>
    <w:rsid w:val="0DDC26E8"/>
    <w:rsid w:val="0DDEDAB2"/>
    <w:rsid w:val="0DE258E7"/>
    <w:rsid w:val="0DEA61CC"/>
    <w:rsid w:val="0DEC1E0C"/>
    <w:rsid w:val="0DF9626C"/>
    <w:rsid w:val="0DFBCB5A"/>
    <w:rsid w:val="0E0584EF"/>
    <w:rsid w:val="0E0A970A"/>
    <w:rsid w:val="0E15F404"/>
    <w:rsid w:val="0E19CDF2"/>
    <w:rsid w:val="0E213700"/>
    <w:rsid w:val="0E22B5A6"/>
    <w:rsid w:val="0E287F42"/>
    <w:rsid w:val="0E2D83EF"/>
    <w:rsid w:val="0E2E1A8A"/>
    <w:rsid w:val="0E2F1C61"/>
    <w:rsid w:val="0E3AB569"/>
    <w:rsid w:val="0E3BF856"/>
    <w:rsid w:val="0E425615"/>
    <w:rsid w:val="0E4FACBE"/>
    <w:rsid w:val="0E6B0BF9"/>
    <w:rsid w:val="0E6BCFC7"/>
    <w:rsid w:val="0E73009D"/>
    <w:rsid w:val="0E73521C"/>
    <w:rsid w:val="0E8D9A42"/>
    <w:rsid w:val="0E8FAEE2"/>
    <w:rsid w:val="0E91A27B"/>
    <w:rsid w:val="0E92B3FF"/>
    <w:rsid w:val="0E940FD8"/>
    <w:rsid w:val="0EAB3871"/>
    <w:rsid w:val="0EAC2477"/>
    <w:rsid w:val="0EB054DC"/>
    <w:rsid w:val="0EB89DA9"/>
    <w:rsid w:val="0EC1F0CA"/>
    <w:rsid w:val="0ED6AB93"/>
    <w:rsid w:val="0ED81CA8"/>
    <w:rsid w:val="0EDFF9DF"/>
    <w:rsid w:val="0EE22F86"/>
    <w:rsid w:val="0EE80538"/>
    <w:rsid w:val="0EEF87F2"/>
    <w:rsid w:val="0EF1D220"/>
    <w:rsid w:val="0EF25FF6"/>
    <w:rsid w:val="0F066B9C"/>
    <w:rsid w:val="0F1055EA"/>
    <w:rsid w:val="0F1455E2"/>
    <w:rsid w:val="0F20392E"/>
    <w:rsid w:val="0F23A5F1"/>
    <w:rsid w:val="0F27752C"/>
    <w:rsid w:val="0F3947B9"/>
    <w:rsid w:val="0F45F0EE"/>
    <w:rsid w:val="0F4C5267"/>
    <w:rsid w:val="0F4F8B99"/>
    <w:rsid w:val="0F6191E0"/>
    <w:rsid w:val="0F61FAA6"/>
    <w:rsid w:val="0F62E66E"/>
    <w:rsid w:val="0F66F453"/>
    <w:rsid w:val="0F6A5AA3"/>
    <w:rsid w:val="0F6B1FA3"/>
    <w:rsid w:val="0F72DBEA"/>
    <w:rsid w:val="0F75817F"/>
    <w:rsid w:val="0F7DC981"/>
    <w:rsid w:val="0F7DCB40"/>
    <w:rsid w:val="0F82EDE1"/>
    <w:rsid w:val="0F838F00"/>
    <w:rsid w:val="0F849B56"/>
    <w:rsid w:val="0F891331"/>
    <w:rsid w:val="0F9644F0"/>
    <w:rsid w:val="0F96B3B9"/>
    <w:rsid w:val="0F97906A"/>
    <w:rsid w:val="0F9D4D29"/>
    <w:rsid w:val="0FA84591"/>
    <w:rsid w:val="0FAAC151"/>
    <w:rsid w:val="0FACFB12"/>
    <w:rsid w:val="0FB0333E"/>
    <w:rsid w:val="0FB0D6EA"/>
    <w:rsid w:val="0FB1C465"/>
    <w:rsid w:val="0FB6AFCD"/>
    <w:rsid w:val="0FB75B74"/>
    <w:rsid w:val="0FCB442A"/>
    <w:rsid w:val="0FCC7461"/>
    <w:rsid w:val="0FD560F3"/>
    <w:rsid w:val="0FD6F45F"/>
    <w:rsid w:val="0FDCA357"/>
    <w:rsid w:val="0FDE3BFF"/>
    <w:rsid w:val="0FF0ED96"/>
    <w:rsid w:val="0FF19DD9"/>
    <w:rsid w:val="0FF8A302"/>
    <w:rsid w:val="100D0999"/>
    <w:rsid w:val="1011FB68"/>
    <w:rsid w:val="1020A7F6"/>
    <w:rsid w:val="1021CC0B"/>
    <w:rsid w:val="10266438"/>
    <w:rsid w:val="102BBA8F"/>
    <w:rsid w:val="10409517"/>
    <w:rsid w:val="1041B999"/>
    <w:rsid w:val="104DCD51"/>
    <w:rsid w:val="10534812"/>
    <w:rsid w:val="1057E8BA"/>
    <w:rsid w:val="105C0793"/>
    <w:rsid w:val="105E00CC"/>
    <w:rsid w:val="105E66BA"/>
    <w:rsid w:val="10663F56"/>
    <w:rsid w:val="107A62A3"/>
    <w:rsid w:val="107F0288"/>
    <w:rsid w:val="10885559"/>
    <w:rsid w:val="1089684F"/>
    <w:rsid w:val="108BD3B2"/>
    <w:rsid w:val="108CF320"/>
    <w:rsid w:val="108D0639"/>
    <w:rsid w:val="109AB489"/>
    <w:rsid w:val="109C9F65"/>
    <w:rsid w:val="109E0757"/>
    <w:rsid w:val="10A73B02"/>
    <w:rsid w:val="10B601E2"/>
    <w:rsid w:val="10C37E9E"/>
    <w:rsid w:val="10D96ABC"/>
    <w:rsid w:val="10DC5679"/>
    <w:rsid w:val="10F14811"/>
    <w:rsid w:val="10F778A8"/>
    <w:rsid w:val="10F9640F"/>
    <w:rsid w:val="10FE80D9"/>
    <w:rsid w:val="11042CE2"/>
    <w:rsid w:val="1111997B"/>
    <w:rsid w:val="1112EE73"/>
    <w:rsid w:val="111594AD"/>
    <w:rsid w:val="1119433B"/>
    <w:rsid w:val="1119876C"/>
    <w:rsid w:val="111D4E99"/>
    <w:rsid w:val="111FF005"/>
    <w:rsid w:val="112246C4"/>
    <w:rsid w:val="113920A2"/>
    <w:rsid w:val="114BE012"/>
    <w:rsid w:val="114E4537"/>
    <w:rsid w:val="114FAD71"/>
    <w:rsid w:val="1157D3FA"/>
    <w:rsid w:val="115DA8CF"/>
    <w:rsid w:val="115F73DE"/>
    <w:rsid w:val="11768AA4"/>
    <w:rsid w:val="117E56B1"/>
    <w:rsid w:val="1181AF0A"/>
    <w:rsid w:val="11824C1A"/>
    <w:rsid w:val="1184DBE6"/>
    <w:rsid w:val="1187B1D5"/>
    <w:rsid w:val="118A924F"/>
    <w:rsid w:val="1190ECC1"/>
    <w:rsid w:val="11953AFB"/>
    <w:rsid w:val="11962740"/>
    <w:rsid w:val="1196829B"/>
    <w:rsid w:val="1198962D"/>
    <w:rsid w:val="119DF740"/>
    <w:rsid w:val="11A00AF9"/>
    <w:rsid w:val="11A69D86"/>
    <w:rsid w:val="11AE6258"/>
    <w:rsid w:val="11C85B33"/>
    <w:rsid w:val="11CEC6B4"/>
    <w:rsid w:val="11D30D37"/>
    <w:rsid w:val="11D42134"/>
    <w:rsid w:val="11D61D8A"/>
    <w:rsid w:val="11D7B9ED"/>
    <w:rsid w:val="11E12E10"/>
    <w:rsid w:val="11EBA572"/>
    <w:rsid w:val="11F5DFF9"/>
    <w:rsid w:val="11FB9EF2"/>
    <w:rsid w:val="11FF1E5B"/>
    <w:rsid w:val="11FF3655"/>
    <w:rsid w:val="1208A0D3"/>
    <w:rsid w:val="120FE773"/>
    <w:rsid w:val="1211CE0D"/>
    <w:rsid w:val="12218A75"/>
    <w:rsid w:val="122B944F"/>
    <w:rsid w:val="122C6418"/>
    <w:rsid w:val="122CA211"/>
    <w:rsid w:val="122D04F0"/>
    <w:rsid w:val="1231578F"/>
    <w:rsid w:val="12316068"/>
    <w:rsid w:val="1233E688"/>
    <w:rsid w:val="123E6A2C"/>
    <w:rsid w:val="1248E237"/>
    <w:rsid w:val="125BCFEE"/>
    <w:rsid w:val="125D381B"/>
    <w:rsid w:val="12624F5C"/>
    <w:rsid w:val="126DD39B"/>
    <w:rsid w:val="126E4096"/>
    <w:rsid w:val="12708BDA"/>
    <w:rsid w:val="1271ABED"/>
    <w:rsid w:val="12726E4C"/>
    <w:rsid w:val="1277AE1F"/>
    <w:rsid w:val="1278B6CC"/>
    <w:rsid w:val="127B10D1"/>
    <w:rsid w:val="127CAB08"/>
    <w:rsid w:val="12819F1C"/>
    <w:rsid w:val="128DAC93"/>
    <w:rsid w:val="12912799"/>
    <w:rsid w:val="1296F632"/>
    <w:rsid w:val="12976226"/>
    <w:rsid w:val="12994420"/>
    <w:rsid w:val="129A40E3"/>
    <w:rsid w:val="12A44756"/>
    <w:rsid w:val="12A62899"/>
    <w:rsid w:val="12B18835"/>
    <w:rsid w:val="12B2C212"/>
    <w:rsid w:val="12B33F9B"/>
    <w:rsid w:val="12BEDB3F"/>
    <w:rsid w:val="12CAA70C"/>
    <w:rsid w:val="12CB8ADF"/>
    <w:rsid w:val="12CE5330"/>
    <w:rsid w:val="12D8B2A1"/>
    <w:rsid w:val="12E44792"/>
    <w:rsid w:val="12E73D2E"/>
    <w:rsid w:val="12EFF8D8"/>
    <w:rsid w:val="12F21067"/>
    <w:rsid w:val="12F27C7A"/>
    <w:rsid w:val="12F4690A"/>
    <w:rsid w:val="12F64354"/>
    <w:rsid w:val="12F75122"/>
    <w:rsid w:val="12F88563"/>
    <w:rsid w:val="12FA15A6"/>
    <w:rsid w:val="12FAFD07"/>
    <w:rsid w:val="13014F51"/>
    <w:rsid w:val="13072CC6"/>
    <w:rsid w:val="130C59B3"/>
    <w:rsid w:val="1310AE82"/>
    <w:rsid w:val="13235D6E"/>
    <w:rsid w:val="13283164"/>
    <w:rsid w:val="132B0A8E"/>
    <w:rsid w:val="132B5E7A"/>
    <w:rsid w:val="132C3AED"/>
    <w:rsid w:val="1334D8F3"/>
    <w:rsid w:val="13375714"/>
    <w:rsid w:val="133B392F"/>
    <w:rsid w:val="1341A93D"/>
    <w:rsid w:val="134376CA"/>
    <w:rsid w:val="13455581"/>
    <w:rsid w:val="1345EC4D"/>
    <w:rsid w:val="13482C62"/>
    <w:rsid w:val="134AFB05"/>
    <w:rsid w:val="134BFF6E"/>
    <w:rsid w:val="134FBEFC"/>
    <w:rsid w:val="1358E84D"/>
    <w:rsid w:val="135D7970"/>
    <w:rsid w:val="136127FA"/>
    <w:rsid w:val="1362A54E"/>
    <w:rsid w:val="136E5043"/>
    <w:rsid w:val="13710A44"/>
    <w:rsid w:val="13746284"/>
    <w:rsid w:val="1378BF17"/>
    <w:rsid w:val="137DB422"/>
    <w:rsid w:val="137E299D"/>
    <w:rsid w:val="138FFF7F"/>
    <w:rsid w:val="13926BF7"/>
    <w:rsid w:val="1394BCD4"/>
    <w:rsid w:val="13996C6B"/>
    <w:rsid w:val="13A3B437"/>
    <w:rsid w:val="13A82167"/>
    <w:rsid w:val="13B03233"/>
    <w:rsid w:val="13BB5338"/>
    <w:rsid w:val="13BE7CAA"/>
    <w:rsid w:val="13C0E157"/>
    <w:rsid w:val="13C9F531"/>
    <w:rsid w:val="13CA734D"/>
    <w:rsid w:val="13CF46B6"/>
    <w:rsid w:val="13D2BC6E"/>
    <w:rsid w:val="13D536F4"/>
    <w:rsid w:val="13D5B972"/>
    <w:rsid w:val="13DB3E80"/>
    <w:rsid w:val="13DB5D97"/>
    <w:rsid w:val="13DC11BA"/>
    <w:rsid w:val="13F121BC"/>
    <w:rsid w:val="13F7B3DA"/>
    <w:rsid w:val="13FE73F9"/>
    <w:rsid w:val="1403B128"/>
    <w:rsid w:val="1406F335"/>
    <w:rsid w:val="140D6B5D"/>
    <w:rsid w:val="14136269"/>
    <w:rsid w:val="1425683E"/>
    <w:rsid w:val="1429D52F"/>
    <w:rsid w:val="142B03D4"/>
    <w:rsid w:val="142E5000"/>
    <w:rsid w:val="14324FC9"/>
    <w:rsid w:val="1434E8E1"/>
    <w:rsid w:val="1435BCD7"/>
    <w:rsid w:val="143BDFF5"/>
    <w:rsid w:val="143D21DB"/>
    <w:rsid w:val="143DA263"/>
    <w:rsid w:val="1440C09D"/>
    <w:rsid w:val="14436828"/>
    <w:rsid w:val="14471000"/>
    <w:rsid w:val="144D0020"/>
    <w:rsid w:val="144EF37F"/>
    <w:rsid w:val="1453F08C"/>
    <w:rsid w:val="14544F4B"/>
    <w:rsid w:val="1456B8E2"/>
    <w:rsid w:val="14579907"/>
    <w:rsid w:val="1458732E"/>
    <w:rsid w:val="1459F686"/>
    <w:rsid w:val="145B0062"/>
    <w:rsid w:val="145F868D"/>
    <w:rsid w:val="1460D0F6"/>
    <w:rsid w:val="14639F6C"/>
    <w:rsid w:val="1467EE95"/>
    <w:rsid w:val="146D1443"/>
    <w:rsid w:val="147651C2"/>
    <w:rsid w:val="147CCA37"/>
    <w:rsid w:val="1480484E"/>
    <w:rsid w:val="148471A9"/>
    <w:rsid w:val="149B75C8"/>
    <w:rsid w:val="149BB590"/>
    <w:rsid w:val="14A147F4"/>
    <w:rsid w:val="14A2EC63"/>
    <w:rsid w:val="14A34E8C"/>
    <w:rsid w:val="14A52DC1"/>
    <w:rsid w:val="14AC4BDF"/>
    <w:rsid w:val="14AF7B0A"/>
    <w:rsid w:val="14B1B823"/>
    <w:rsid w:val="14B43698"/>
    <w:rsid w:val="14BA0585"/>
    <w:rsid w:val="14BAF16A"/>
    <w:rsid w:val="14BC552B"/>
    <w:rsid w:val="14C609D0"/>
    <w:rsid w:val="14CF0EE3"/>
    <w:rsid w:val="14D8D285"/>
    <w:rsid w:val="14DA660C"/>
    <w:rsid w:val="14DC49E4"/>
    <w:rsid w:val="14DC568A"/>
    <w:rsid w:val="14E23B03"/>
    <w:rsid w:val="14E269A6"/>
    <w:rsid w:val="14E6252D"/>
    <w:rsid w:val="14F3E3B3"/>
    <w:rsid w:val="14F80061"/>
    <w:rsid w:val="14F81145"/>
    <w:rsid w:val="14FB9BA8"/>
    <w:rsid w:val="1503690E"/>
    <w:rsid w:val="1505D22E"/>
    <w:rsid w:val="1506393C"/>
    <w:rsid w:val="15109C45"/>
    <w:rsid w:val="1514C82B"/>
    <w:rsid w:val="1519CE6A"/>
    <w:rsid w:val="151AB3BF"/>
    <w:rsid w:val="151CE893"/>
    <w:rsid w:val="151D1188"/>
    <w:rsid w:val="15279E90"/>
    <w:rsid w:val="15289820"/>
    <w:rsid w:val="152AF4D5"/>
    <w:rsid w:val="153481C9"/>
    <w:rsid w:val="15390E10"/>
    <w:rsid w:val="153A24C0"/>
    <w:rsid w:val="153E37A7"/>
    <w:rsid w:val="15402D4A"/>
    <w:rsid w:val="15450721"/>
    <w:rsid w:val="1546AF93"/>
    <w:rsid w:val="1554A6A5"/>
    <w:rsid w:val="1559A466"/>
    <w:rsid w:val="155A8A64"/>
    <w:rsid w:val="155C318F"/>
    <w:rsid w:val="156C5C62"/>
    <w:rsid w:val="157110B8"/>
    <w:rsid w:val="1574AADA"/>
    <w:rsid w:val="15769E0E"/>
    <w:rsid w:val="157C7878"/>
    <w:rsid w:val="158D5D20"/>
    <w:rsid w:val="159351CE"/>
    <w:rsid w:val="15942363"/>
    <w:rsid w:val="15992FD4"/>
    <w:rsid w:val="15A620BE"/>
    <w:rsid w:val="15A8E3F9"/>
    <w:rsid w:val="15A988BA"/>
    <w:rsid w:val="15AE14D0"/>
    <w:rsid w:val="15BBFF01"/>
    <w:rsid w:val="15BDA194"/>
    <w:rsid w:val="15CE7D2C"/>
    <w:rsid w:val="15D06452"/>
    <w:rsid w:val="15D1320F"/>
    <w:rsid w:val="15D2C4C3"/>
    <w:rsid w:val="15D9456C"/>
    <w:rsid w:val="15DCFEFC"/>
    <w:rsid w:val="15DD9B42"/>
    <w:rsid w:val="15DE1E5E"/>
    <w:rsid w:val="15E8AEC6"/>
    <w:rsid w:val="15EA6D45"/>
    <w:rsid w:val="15EAEB08"/>
    <w:rsid w:val="160089EE"/>
    <w:rsid w:val="16035628"/>
    <w:rsid w:val="160954C8"/>
    <w:rsid w:val="161223AC"/>
    <w:rsid w:val="1618367B"/>
    <w:rsid w:val="161E7A06"/>
    <w:rsid w:val="16205CC6"/>
    <w:rsid w:val="16264445"/>
    <w:rsid w:val="163CD6B6"/>
    <w:rsid w:val="16487215"/>
    <w:rsid w:val="1650252D"/>
    <w:rsid w:val="1651B5B8"/>
    <w:rsid w:val="16533893"/>
    <w:rsid w:val="165B796D"/>
    <w:rsid w:val="165B8E40"/>
    <w:rsid w:val="1662F296"/>
    <w:rsid w:val="16662036"/>
    <w:rsid w:val="16696F01"/>
    <w:rsid w:val="16708D39"/>
    <w:rsid w:val="167E120C"/>
    <w:rsid w:val="168465B4"/>
    <w:rsid w:val="16906ADD"/>
    <w:rsid w:val="1692B64D"/>
    <w:rsid w:val="1692BA42"/>
    <w:rsid w:val="16955380"/>
    <w:rsid w:val="169D1440"/>
    <w:rsid w:val="169F9097"/>
    <w:rsid w:val="16A21A97"/>
    <w:rsid w:val="16AFD03D"/>
    <w:rsid w:val="16B2FCE8"/>
    <w:rsid w:val="16B9C928"/>
    <w:rsid w:val="16C6F2CF"/>
    <w:rsid w:val="16C9B558"/>
    <w:rsid w:val="16CD1A5A"/>
    <w:rsid w:val="16CF2930"/>
    <w:rsid w:val="16D2D944"/>
    <w:rsid w:val="16DD2CF0"/>
    <w:rsid w:val="16E3200D"/>
    <w:rsid w:val="16E67AC3"/>
    <w:rsid w:val="16F4814C"/>
    <w:rsid w:val="16F710A2"/>
    <w:rsid w:val="16FA421A"/>
    <w:rsid w:val="16FAF1D9"/>
    <w:rsid w:val="16FD4AD8"/>
    <w:rsid w:val="17011F12"/>
    <w:rsid w:val="17096A45"/>
    <w:rsid w:val="170AD4D9"/>
    <w:rsid w:val="170D05A6"/>
    <w:rsid w:val="170F002A"/>
    <w:rsid w:val="1718991D"/>
    <w:rsid w:val="17201293"/>
    <w:rsid w:val="17294894"/>
    <w:rsid w:val="172A2A2C"/>
    <w:rsid w:val="172AF887"/>
    <w:rsid w:val="172C38C5"/>
    <w:rsid w:val="173637BA"/>
    <w:rsid w:val="17387BF5"/>
    <w:rsid w:val="17391898"/>
    <w:rsid w:val="1740A9D8"/>
    <w:rsid w:val="17434EF2"/>
    <w:rsid w:val="17442B08"/>
    <w:rsid w:val="1751C1BE"/>
    <w:rsid w:val="1751C965"/>
    <w:rsid w:val="175A6DD0"/>
    <w:rsid w:val="175E2300"/>
    <w:rsid w:val="17616F49"/>
    <w:rsid w:val="1766F52F"/>
    <w:rsid w:val="176D8EF4"/>
    <w:rsid w:val="176F50A0"/>
    <w:rsid w:val="17726EC9"/>
    <w:rsid w:val="1772D843"/>
    <w:rsid w:val="177822C1"/>
    <w:rsid w:val="177E253D"/>
    <w:rsid w:val="1780621F"/>
    <w:rsid w:val="1782B7F8"/>
    <w:rsid w:val="1788CEC7"/>
    <w:rsid w:val="178C5D88"/>
    <w:rsid w:val="178F243A"/>
    <w:rsid w:val="17925277"/>
    <w:rsid w:val="17973317"/>
    <w:rsid w:val="1798A5C7"/>
    <w:rsid w:val="17B36C53"/>
    <w:rsid w:val="17B49E54"/>
    <w:rsid w:val="17BAFA99"/>
    <w:rsid w:val="17C7583A"/>
    <w:rsid w:val="17C8E892"/>
    <w:rsid w:val="17C9377A"/>
    <w:rsid w:val="17DAF3F6"/>
    <w:rsid w:val="17DF6C21"/>
    <w:rsid w:val="17F23AA6"/>
    <w:rsid w:val="17F3641D"/>
    <w:rsid w:val="1800E5D7"/>
    <w:rsid w:val="180F90D4"/>
    <w:rsid w:val="18182BA5"/>
    <w:rsid w:val="181ED4A0"/>
    <w:rsid w:val="1820FEA3"/>
    <w:rsid w:val="18241D78"/>
    <w:rsid w:val="18267D5C"/>
    <w:rsid w:val="1829D699"/>
    <w:rsid w:val="182B4679"/>
    <w:rsid w:val="182C2F32"/>
    <w:rsid w:val="182EB74B"/>
    <w:rsid w:val="1830778E"/>
    <w:rsid w:val="1834A6F7"/>
    <w:rsid w:val="183E26F7"/>
    <w:rsid w:val="183FF69B"/>
    <w:rsid w:val="18419700"/>
    <w:rsid w:val="184B62A3"/>
    <w:rsid w:val="1850DCB0"/>
    <w:rsid w:val="18537A43"/>
    <w:rsid w:val="18544A5A"/>
    <w:rsid w:val="18548955"/>
    <w:rsid w:val="18578150"/>
    <w:rsid w:val="18684DE8"/>
    <w:rsid w:val="1879C588"/>
    <w:rsid w:val="187B928A"/>
    <w:rsid w:val="18870AAC"/>
    <w:rsid w:val="18879D39"/>
    <w:rsid w:val="188A101A"/>
    <w:rsid w:val="188B99B9"/>
    <w:rsid w:val="1891E70A"/>
    <w:rsid w:val="18948DE3"/>
    <w:rsid w:val="18950BD2"/>
    <w:rsid w:val="189937A7"/>
    <w:rsid w:val="18A13F81"/>
    <w:rsid w:val="18B44153"/>
    <w:rsid w:val="18BA74A7"/>
    <w:rsid w:val="18BBD2CE"/>
    <w:rsid w:val="18CEBF77"/>
    <w:rsid w:val="18D8C787"/>
    <w:rsid w:val="18E3CE2A"/>
    <w:rsid w:val="18E5650D"/>
    <w:rsid w:val="18E619BA"/>
    <w:rsid w:val="18E97B9B"/>
    <w:rsid w:val="18EBDA67"/>
    <w:rsid w:val="18EE86B6"/>
    <w:rsid w:val="18F343F9"/>
    <w:rsid w:val="18F85E0D"/>
    <w:rsid w:val="18FB84A8"/>
    <w:rsid w:val="190326B3"/>
    <w:rsid w:val="190328A3"/>
    <w:rsid w:val="19059F19"/>
    <w:rsid w:val="190C0549"/>
    <w:rsid w:val="191525B5"/>
    <w:rsid w:val="191920A0"/>
    <w:rsid w:val="19207028"/>
    <w:rsid w:val="192F6A9E"/>
    <w:rsid w:val="195166B7"/>
    <w:rsid w:val="1959F7AD"/>
    <w:rsid w:val="195E193B"/>
    <w:rsid w:val="1961CA33"/>
    <w:rsid w:val="1968ABC4"/>
    <w:rsid w:val="196A8A22"/>
    <w:rsid w:val="19758C55"/>
    <w:rsid w:val="197B2EA1"/>
    <w:rsid w:val="197FE54C"/>
    <w:rsid w:val="197FFE05"/>
    <w:rsid w:val="198F51CC"/>
    <w:rsid w:val="19970366"/>
    <w:rsid w:val="19A8D006"/>
    <w:rsid w:val="19B776AB"/>
    <w:rsid w:val="19B9F887"/>
    <w:rsid w:val="19BF7754"/>
    <w:rsid w:val="19C07C73"/>
    <w:rsid w:val="19C0A454"/>
    <w:rsid w:val="19C3B784"/>
    <w:rsid w:val="19CC9438"/>
    <w:rsid w:val="19D5ED72"/>
    <w:rsid w:val="19E197DC"/>
    <w:rsid w:val="19E27518"/>
    <w:rsid w:val="19E40D68"/>
    <w:rsid w:val="19EC107C"/>
    <w:rsid w:val="19ED5DD8"/>
    <w:rsid w:val="19ED85DF"/>
    <w:rsid w:val="19EED08F"/>
    <w:rsid w:val="19EF619B"/>
    <w:rsid w:val="19F0DA64"/>
    <w:rsid w:val="19F583F7"/>
    <w:rsid w:val="19F97B3A"/>
    <w:rsid w:val="19F9E6E4"/>
    <w:rsid w:val="1A0D7B51"/>
    <w:rsid w:val="1A1CBCDA"/>
    <w:rsid w:val="1A298EAA"/>
    <w:rsid w:val="1A30DC57"/>
    <w:rsid w:val="1A32A37B"/>
    <w:rsid w:val="1A4F31F8"/>
    <w:rsid w:val="1A56106A"/>
    <w:rsid w:val="1A5ACF13"/>
    <w:rsid w:val="1A5DE8B5"/>
    <w:rsid w:val="1A625A11"/>
    <w:rsid w:val="1A695ED4"/>
    <w:rsid w:val="1A6F9D93"/>
    <w:rsid w:val="1A730E52"/>
    <w:rsid w:val="1A748C7D"/>
    <w:rsid w:val="1A78A8AA"/>
    <w:rsid w:val="1A80B1F7"/>
    <w:rsid w:val="1A80F9BF"/>
    <w:rsid w:val="1A81DC0D"/>
    <w:rsid w:val="1A8207BE"/>
    <w:rsid w:val="1A822127"/>
    <w:rsid w:val="1A855D32"/>
    <w:rsid w:val="1A9B46CE"/>
    <w:rsid w:val="1A9B7F45"/>
    <w:rsid w:val="1A9D3876"/>
    <w:rsid w:val="1AA26D72"/>
    <w:rsid w:val="1AA964EE"/>
    <w:rsid w:val="1AA97FE8"/>
    <w:rsid w:val="1AADDEC0"/>
    <w:rsid w:val="1AAF36F8"/>
    <w:rsid w:val="1AB20134"/>
    <w:rsid w:val="1AB29EC3"/>
    <w:rsid w:val="1AB5CCF3"/>
    <w:rsid w:val="1AB69DF9"/>
    <w:rsid w:val="1AB6DE2C"/>
    <w:rsid w:val="1ABE3D25"/>
    <w:rsid w:val="1AC2F312"/>
    <w:rsid w:val="1AD145B9"/>
    <w:rsid w:val="1AD230A2"/>
    <w:rsid w:val="1ADB30BF"/>
    <w:rsid w:val="1AE24168"/>
    <w:rsid w:val="1AE75225"/>
    <w:rsid w:val="1AE82CDC"/>
    <w:rsid w:val="1AE940CB"/>
    <w:rsid w:val="1AEF4028"/>
    <w:rsid w:val="1AFA2E29"/>
    <w:rsid w:val="1B00A545"/>
    <w:rsid w:val="1B02D1D3"/>
    <w:rsid w:val="1B0E0429"/>
    <w:rsid w:val="1B0E23B3"/>
    <w:rsid w:val="1B13BFC2"/>
    <w:rsid w:val="1B148613"/>
    <w:rsid w:val="1B148768"/>
    <w:rsid w:val="1B170CE3"/>
    <w:rsid w:val="1B184655"/>
    <w:rsid w:val="1B18704B"/>
    <w:rsid w:val="1B191581"/>
    <w:rsid w:val="1B1BF678"/>
    <w:rsid w:val="1B1FB4D0"/>
    <w:rsid w:val="1B25FCDE"/>
    <w:rsid w:val="1B2D50D0"/>
    <w:rsid w:val="1B2D7968"/>
    <w:rsid w:val="1B314BE7"/>
    <w:rsid w:val="1B320DB1"/>
    <w:rsid w:val="1B32BAF8"/>
    <w:rsid w:val="1B33E225"/>
    <w:rsid w:val="1B34F9AB"/>
    <w:rsid w:val="1B378EF9"/>
    <w:rsid w:val="1B3CB554"/>
    <w:rsid w:val="1B41AE84"/>
    <w:rsid w:val="1B436A80"/>
    <w:rsid w:val="1B451598"/>
    <w:rsid w:val="1B4DFD5D"/>
    <w:rsid w:val="1B4E8E38"/>
    <w:rsid w:val="1B4EC0A4"/>
    <w:rsid w:val="1B50C5C0"/>
    <w:rsid w:val="1B580F8E"/>
    <w:rsid w:val="1B59D1EF"/>
    <w:rsid w:val="1B5E8537"/>
    <w:rsid w:val="1B5EBA0E"/>
    <w:rsid w:val="1B5ED3F1"/>
    <w:rsid w:val="1B643717"/>
    <w:rsid w:val="1B66E451"/>
    <w:rsid w:val="1B6F1E85"/>
    <w:rsid w:val="1B6F2F4A"/>
    <w:rsid w:val="1B72AF78"/>
    <w:rsid w:val="1B7F5648"/>
    <w:rsid w:val="1B83ECF8"/>
    <w:rsid w:val="1B8B7C0F"/>
    <w:rsid w:val="1B8E3BE4"/>
    <w:rsid w:val="1B90189F"/>
    <w:rsid w:val="1B9D4ADD"/>
    <w:rsid w:val="1B9DBE5E"/>
    <w:rsid w:val="1BA2A45C"/>
    <w:rsid w:val="1BA34101"/>
    <w:rsid w:val="1BA4E89A"/>
    <w:rsid w:val="1BA60906"/>
    <w:rsid w:val="1BB7937E"/>
    <w:rsid w:val="1BBB5CF9"/>
    <w:rsid w:val="1BBBE46A"/>
    <w:rsid w:val="1BBC927D"/>
    <w:rsid w:val="1BBED232"/>
    <w:rsid w:val="1BD46C2C"/>
    <w:rsid w:val="1BD47E3F"/>
    <w:rsid w:val="1BDC73B0"/>
    <w:rsid w:val="1BDE2BF1"/>
    <w:rsid w:val="1BE3E4E0"/>
    <w:rsid w:val="1BE92704"/>
    <w:rsid w:val="1BEB6831"/>
    <w:rsid w:val="1BF0EE54"/>
    <w:rsid w:val="1BF17C8B"/>
    <w:rsid w:val="1BF35BAF"/>
    <w:rsid w:val="1BF5C65A"/>
    <w:rsid w:val="1BF8D065"/>
    <w:rsid w:val="1C014EB2"/>
    <w:rsid w:val="1C0285B9"/>
    <w:rsid w:val="1C029613"/>
    <w:rsid w:val="1C063145"/>
    <w:rsid w:val="1C0670F3"/>
    <w:rsid w:val="1C0CCD7F"/>
    <w:rsid w:val="1C0D6E75"/>
    <w:rsid w:val="1C11157F"/>
    <w:rsid w:val="1C1432CC"/>
    <w:rsid w:val="1C1625BF"/>
    <w:rsid w:val="1C176BA4"/>
    <w:rsid w:val="1C1EEBA1"/>
    <w:rsid w:val="1C1F6259"/>
    <w:rsid w:val="1C23C3D2"/>
    <w:rsid w:val="1C256701"/>
    <w:rsid w:val="1C2714C4"/>
    <w:rsid w:val="1C2D861E"/>
    <w:rsid w:val="1C3720F1"/>
    <w:rsid w:val="1C3908E2"/>
    <w:rsid w:val="1C3A942F"/>
    <w:rsid w:val="1C3EBC91"/>
    <w:rsid w:val="1C48F590"/>
    <w:rsid w:val="1C4BFA4A"/>
    <w:rsid w:val="1C4FFC70"/>
    <w:rsid w:val="1C506528"/>
    <w:rsid w:val="1C59446D"/>
    <w:rsid w:val="1C606D71"/>
    <w:rsid w:val="1C658AB5"/>
    <w:rsid w:val="1C671FD5"/>
    <w:rsid w:val="1C6B38B3"/>
    <w:rsid w:val="1C6C23E2"/>
    <w:rsid w:val="1C6EBD5E"/>
    <w:rsid w:val="1C6EC403"/>
    <w:rsid w:val="1C744F36"/>
    <w:rsid w:val="1C763978"/>
    <w:rsid w:val="1C7D05DD"/>
    <w:rsid w:val="1C8321E3"/>
    <w:rsid w:val="1C8879A6"/>
    <w:rsid w:val="1C8A9F2D"/>
    <w:rsid w:val="1C8F1316"/>
    <w:rsid w:val="1C982EC7"/>
    <w:rsid w:val="1CA38169"/>
    <w:rsid w:val="1CAD5244"/>
    <w:rsid w:val="1CADA419"/>
    <w:rsid w:val="1CB67E82"/>
    <w:rsid w:val="1CB8ED07"/>
    <w:rsid w:val="1CBCB4C2"/>
    <w:rsid w:val="1CBDBF0F"/>
    <w:rsid w:val="1CBE7BD3"/>
    <w:rsid w:val="1CBF09D4"/>
    <w:rsid w:val="1CC50A0D"/>
    <w:rsid w:val="1CC6EB7E"/>
    <w:rsid w:val="1CCF5496"/>
    <w:rsid w:val="1CD10850"/>
    <w:rsid w:val="1CDDB09C"/>
    <w:rsid w:val="1CE4A547"/>
    <w:rsid w:val="1CE73F4E"/>
    <w:rsid w:val="1CEB9C22"/>
    <w:rsid w:val="1CF94518"/>
    <w:rsid w:val="1CFA8421"/>
    <w:rsid w:val="1CFF9C08"/>
    <w:rsid w:val="1D08F911"/>
    <w:rsid w:val="1D1087F8"/>
    <w:rsid w:val="1D10C1E2"/>
    <w:rsid w:val="1D19E649"/>
    <w:rsid w:val="1D1B6F76"/>
    <w:rsid w:val="1D1BF2F8"/>
    <w:rsid w:val="1D1F0DC1"/>
    <w:rsid w:val="1D1FF34A"/>
    <w:rsid w:val="1D2CCADC"/>
    <w:rsid w:val="1D331626"/>
    <w:rsid w:val="1D377537"/>
    <w:rsid w:val="1D41AFED"/>
    <w:rsid w:val="1D48C686"/>
    <w:rsid w:val="1D4B7A62"/>
    <w:rsid w:val="1D582FC1"/>
    <w:rsid w:val="1D5C880C"/>
    <w:rsid w:val="1D61D76A"/>
    <w:rsid w:val="1D74130F"/>
    <w:rsid w:val="1D74751A"/>
    <w:rsid w:val="1D766542"/>
    <w:rsid w:val="1D854DE6"/>
    <w:rsid w:val="1D873892"/>
    <w:rsid w:val="1D8D1B42"/>
    <w:rsid w:val="1D98CD78"/>
    <w:rsid w:val="1D9B2901"/>
    <w:rsid w:val="1D9EDDDE"/>
    <w:rsid w:val="1DABEB75"/>
    <w:rsid w:val="1DB5E297"/>
    <w:rsid w:val="1DB826DE"/>
    <w:rsid w:val="1DBC6E05"/>
    <w:rsid w:val="1DC10434"/>
    <w:rsid w:val="1DC8C554"/>
    <w:rsid w:val="1DD486D4"/>
    <w:rsid w:val="1DDD4185"/>
    <w:rsid w:val="1DE27067"/>
    <w:rsid w:val="1DE38131"/>
    <w:rsid w:val="1DE4B642"/>
    <w:rsid w:val="1DE69490"/>
    <w:rsid w:val="1DE6DF27"/>
    <w:rsid w:val="1DE7BC77"/>
    <w:rsid w:val="1DEA6EC1"/>
    <w:rsid w:val="1DEBDAE4"/>
    <w:rsid w:val="1DEDB7D8"/>
    <w:rsid w:val="1DFB6615"/>
    <w:rsid w:val="1E0394BE"/>
    <w:rsid w:val="1E0EEC3D"/>
    <w:rsid w:val="1E1895DE"/>
    <w:rsid w:val="1E2B1C95"/>
    <w:rsid w:val="1E2E45C3"/>
    <w:rsid w:val="1E3AB847"/>
    <w:rsid w:val="1E3E3EAE"/>
    <w:rsid w:val="1E3E7985"/>
    <w:rsid w:val="1E5000A4"/>
    <w:rsid w:val="1E50ED4C"/>
    <w:rsid w:val="1E5296A8"/>
    <w:rsid w:val="1E593044"/>
    <w:rsid w:val="1E5BA6C6"/>
    <w:rsid w:val="1E622131"/>
    <w:rsid w:val="1E68651E"/>
    <w:rsid w:val="1E691CF1"/>
    <w:rsid w:val="1E6F6DA6"/>
    <w:rsid w:val="1E7D3C9B"/>
    <w:rsid w:val="1E7D600B"/>
    <w:rsid w:val="1E7FACE8"/>
    <w:rsid w:val="1E83685A"/>
    <w:rsid w:val="1E8818FE"/>
    <w:rsid w:val="1E8AD791"/>
    <w:rsid w:val="1E939331"/>
    <w:rsid w:val="1E93C072"/>
    <w:rsid w:val="1E97D559"/>
    <w:rsid w:val="1E9EDD10"/>
    <w:rsid w:val="1EAB84B0"/>
    <w:rsid w:val="1EAD5BA2"/>
    <w:rsid w:val="1EB055E9"/>
    <w:rsid w:val="1EB73F90"/>
    <w:rsid w:val="1EBBCF6A"/>
    <w:rsid w:val="1EBDEDC0"/>
    <w:rsid w:val="1EC12DC6"/>
    <w:rsid w:val="1EC24445"/>
    <w:rsid w:val="1EC83F46"/>
    <w:rsid w:val="1ECBBC79"/>
    <w:rsid w:val="1EDD4459"/>
    <w:rsid w:val="1EDD90C4"/>
    <w:rsid w:val="1EDF8EE3"/>
    <w:rsid w:val="1EE14012"/>
    <w:rsid w:val="1EEA376C"/>
    <w:rsid w:val="1EF23E40"/>
    <w:rsid w:val="1EF57ACE"/>
    <w:rsid w:val="1EF72A5C"/>
    <w:rsid w:val="1EFA4D92"/>
    <w:rsid w:val="1EFA71EC"/>
    <w:rsid w:val="1EFF37BF"/>
    <w:rsid w:val="1F049439"/>
    <w:rsid w:val="1F076838"/>
    <w:rsid w:val="1F0A215D"/>
    <w:rsid w:val="1F0DEBCC"/>
    <w:rsid w:val="1F0E6F01"/>
    <w:rsid w:val="1F13CC3A"/>
    <w:rsid w:val="1F1D2472"/>
    <w:rsid w:val="1F2308F3"/>
    <w:rsid w:val="1F2ACA89"/>
    <w:rsid w:val="1F2E7E7C"/>
    <w:rsid w:val="1F38A870"/>
    <w:rsid w:val="1F3A6F76"/>
    <w:rsid w:val="1F4AB5AB"/>
    <w:rsid w:val="1F51F14D"/>
    <w:rsid w:val="1F584E75"/>
    <w:rsid w:val="1F5B2CB4"/>
    <w:rsid w:val="1F63B7DF"/>
    <w:rsid w:val="1F74F2B6"/>
    <w:rsid w:val="1F7A9565"/>
    <w:rsid w:val="1F7BC358"/>
    <w:rsid w:val="1F832F6B"/>
    <w:rsid w:val="1F8513B2"/>
    <w:rsid w:val="1F8B50A9"/>
    <w:rsid w:val="1F8C6442"/>
    <w:rsid w:val="1F8C9AED"/>
    <w:rsid w:val="1F936980"/>
    <w:rsid w:val="1F9D3112"/>
    <w:rsid w:val="1FA3E9B5"/>
    <w:rsid w:val="1FA3F08E"/>
    <w:rsid w:val="1FA8A51D"/>
    <w:rsid w:val="1FAAC3F7"/>
    <w:rsid w:val="1FB5ACCA"/>
    <w:rsid w:val="1FB6EECD"/>
    <w:rsid w:val="1FB72ED9"/>
    <w:rsid w:val="1FB80196"/>
    <w:rsid w:val="1FBB36DC"/>
    <w:rsid w:val="1FC0A1C0"/>
    <w:rsid w:val="1FCEB262"/>
    <w:rsid w:val="1FD17050"/>
    <w:rsid w:val="1FD68581"/>
    <w:rsid w:val="1FD6E214"/>
    <w:rsid w:val="1FE2483F"/>
    <w:rsid w:val="1FE3AC34"/>
    <w:rsid w:val="1FE3D261"/>
    <w:rsid w:val="1FF55711"/>
    <w:rsid w:val="1FFF4726"/>
    <w:rsid w:val="1FFF65FE"/>
    <w:rsid w:val="20042462"/>
    <w:rsid w:val="2006E415"/>
    <w:rsid w:val="200C4DE9"/>
    <w:rsid w:val="201324D2"/>
    <w:rsid w:val="2013E8FC"/>
    <w:rsid w:val="201FB8FD"/>
    <w:rsid w:val="20228C6D"/>
    <w:rsid w:val="202B99E8"/>
    <w:rsid w:val="203974FA"/>
    <w:rsid w:val="203EEA90"/>
    <w:rsid w:val="2040A0F6"/>
    <w:rsid w:val="2040C5F7"/>
    <w:rsid w:val="2046C4F4"/>
    <w:rsid w:val="20496F1A"/>
    <w:rsid w:val="204AC36D"/>
    <w:rsid w:val="204B8DFF"/>
    <w:rsid w:val="204CF36B"/>
    <w:rsid w:val="204E1E29"/>
    <w:rsid w:val="2059BF85"/>
    <w:rsid w:val="2068FE1E"/>
    <w:rsid w:val="2078BCE3"/>
    <w:rsid w:val="2085A759"/>
    <w:rsid w:val="208757EE"/>
    <w:rsid w:val="208D0723"/>
    <w:rsid w:val="208E5A68"/>
    <w:rsid w:val="2090D89D"/>
    <w:rsid w:val="20A1DDA3"/>
    <w:rsid w:val="20A734F0"/>
    <w:rsid w:val="20A902F0"/>
    <w:rsid w:val="20B0C5DF"/>
    <w:rsid w:val="20BD3C2E"/>
    <w:rsid w:val="20C06FF2"/>
    <w:rsid w:val="20C95726"/>
    <w:rsid w:val="20CB6984"/>
    <w:rsid w:val="20D65373"/>
    <w:rsid w:val="20DFBF5B"/>
    <w:rsid w:val="20E2B1B4"/>
    <w:rsid w:val="20EDBA1D"/>
    <w:rsid w:val="20F247D5"/>
    <w:rsid w:val="20FE10FD"/>
    <w:rsid w:val="21170B2F"/>
    <w:rsid w:val="2121CD65"/>
    <w:rsid w:val="21274F43"/>
    <w:rsid w:val="2128A319"/>
    <w:rsid w:val="212EE44F"/>
    <w:rsid w:val="2135DF50"/>
    <w:rsid w:val="213A9CDF"/>
    <w:rsid w:val="213FA4F2"/>
    <w:rsid w:val="214CD17E"/>
    <w:rsid w:val="214CEB54"/>
    <w:rsid w:val="214D3FAC"/>
    <w:rsid w:val="21556E6A"/>
    <w:rsid w:val="2162E437"/>
    <w:rsid w:val="2166513A"/>
    <w:rsid w:val="216882C3"/>
    <w:rsid w:val="2171C76B"/>
    <w:rsid w:val="21747626"/>
    <w:rsid w:val="21789337"/>
    <w:rsid w:val="217A08F5"/>
    <w:rsid w:val="217AD185"/>
    <w:rsid w:val="217E09F6"/>
    <w:rsid w:val="217FE83E"/>
    <w:rsid w:val="2180EE58"/>
    <w:rsid w:val="2181D63C"/>
    <w:rsid w:val="218D52E7"/>
    <w:rsid w:val="218D9D45"/>
    <w:rsid w:val="21992446"/>
    <w:rsid w:val="219EB0C3"/>
    <w:rsid w:val="21A9DC6A"/>
    <w:rsid w:val="21AC665B"/>
    <w:rsid w:val="21B4CA7A"/>
    <w:rsid w:val="21B72812"/>
    <w:rsid w:val="21B78188"/>
    <w:rsid w:val="21CA9790"/>
    <w:rsid w:val="21CDD860"/>
    <w:rsid w:val="21DCA65E"/>
    <w:rsid w:val="21E16694"/>
    <w:rsid w:val="21E44844"/>
    <w:rsid w:val="21EC5665"/>
    <w:rsid w:val="21EF7B0A"/>
    <w:rsid w:val="21F3DCB3"/>
    <w:rsid w:val="21F65804"/>
    <w:rsid w:val="21F6DB25"/>
    <w:rsid w:val="21F713C9"/>
    <w:rsid w:val="21FE4D66"/>
    <w:rsid w:val="2203E1A4"/>
    <w:rsid w:val="220A04A3"/>
    <w:rsid w:val="220DCFAD"/>
    <w:rsid w:val="22120DC0"/>
    <w:rsid w:val="221A22A3"/>
    <w:rsid w:val="2223BBAA"/>
    <w:rsid w:val="222687FF"/>
    <w:rsid w:val="2226A1B5"/>
    <w:rsid w:val="2227F36C"/>
    <w:rsid w:val="22288BF9"/>
    <w:rsid w:val="2232E74C"/>
    <w:rsid w:val="2234048A"/>
    <w:rsid w:val="223F9333"/>
    <w:rsid w:val="223F96AC"/>
    <w:rsid w:val="223FC28B"/>
    <w:rsid w:val="22422C25"/>
    <w:rsid w:val="2242D0F7"/>
    <w:rsid w:val="22437E81"/>
    <w:rsid w:val="2254834C"/>
    <w:rsid w:val="2258BF09"/>
    <w:rsid w:val="2259DD43"/>
    <w:rsid w:val="225A89E8"/>
    <w:rsid w:val="225AA9B5"/>
    <w:rsid w:val="226223ED"/>
    <w:rsid w:val="226EA885"/>
    <w:rsid w:val="2275847C"/>
    <w:rsid w:val="227F8BCB"/>
    <w:rsid w:val="22840C22"/>
    <w:rsid w:val="2286BE12"/>
    <w:rsid w:val="229B4D7C"/>
    <w:rsid w:val="229F2D0F"/>
    <w:rsid w:val="22A9F182"/>
    <w:rsid w:val="22ABEE43"/>
    <w:rsid w:val="22B283C9"/>
    <w:rsid w:val="22B8E9AD"/>
    <w:rsid w:val="22C225D5"/>
    <w:rsid w:val="22D1EC70"/>
    <w:rsid w:val="22D439BE"/>
    <w:rsid w:val="22D74320"/>
    <w:rsid w:val="22E0C01F"/>
    <w:rsid w:val="22E76C54"/>
    <w:rsid w:val="22EC02A4"/>
    <w:rsid w:val="22F1B111"/>
    <w:rsid w:val="22F450C4"/>
    <w:rsid w:val="22FBFB9F"/>
    <w:rsid w:val="22FF9795"/>
    <w:rsid w:val="230233BA"/>
    <w:rsid w:val="23050A6B"/>
    <w:rsid w:val="23079A79"/>
    <w:rsid w:val="23142FFF"/>
    <w:rsid w:val="231F704C"/>
    <w:rsid w:val="2320993E"/>
    <w:rsid w:val="2323D9A5"/>
    <w:rsid w:val="232A39B1"/>
    <w:rsid w:val="232A7F95"/>
    <w:rsid w:val="233240FA"/>
    <w:rsid w:val="2333599F"/>
    <w:rsid w:val="23345D73"/>
    <w:rsid w:val="233CE191"/>
    <w:rsid w:val="23405571"/>
    <w:rsid w:val="234310FC"/>
    <w:rsid w:val="2349D7BB"/>
    <w:rsid w:val="234CCA4A"/>
    <w:rsid w:val="235A7A03"/>
    <w:rsid w:val="235F767C"/>
    <w:rsid w:val="2364E539"/>
    <w:rsid w:val="236A84B0"/>
    <w:rsid w:val="237BF99F"/>
    <w:rsid w:val="238805E9"/>
    <w:rsid w:val="238F1B94"/>
    <w:rsid w:val="239046BB"/>
    <w:rsid w:val="2398F0B7"/>
    <w:rsid w:val="239B9A6A"/>
    <w:rsid w:val="239C0BE6"/>
    <w:rsid w:val="23A063D8"/>
    <w:rsid w:val="23A18908"/>
    <w:rsid w:val="23A5913E"/>
    <w:rsid w:val="23B8E9FB"/>
    <w:rsid w:val="23B9EC37"/>
    <w:rsid w:val="23BB721F"/>
    <w:rsid w:val="23BE03F3"/>
    <w:rsid w:val="23C022FA"/>
    <w:rsid w:val="23C58CE2"/>
    <w:rsid w:val="23CC4DAD"/>
    <w:rsid w:val="23CE3611"/>
    <w:rsid w:val="23CEB7AD"/>
    <w:rsid w:val="23CF007C"/>
    <w:rsid w:val="23E81127"/>
    <w:rsid w:val="23EE00DE"/>
    <w:rsid w:val="23F34E83"/>
    <w:rsid w:val="23F73982"/>
    <w:rsid w:val="23F82919"/>
    <w:rsid w:val="23FF0C4D"/>
    <w:rsid w:val="24062805"/>
    <w:rsid w:val="240D70B8"/>
    <w:rsid w:val="24272D67"/>
    <w:rsid w:val="242733C7"/>
    <w:rsid w:val="242BF7C8"/>
    <w:rsid w:val="243509C6"/>
    <w:rsid w:val="24382D4B"/>
    <w:rsid w:val="24410314"/>
    <w:rsid w:val="244236A5"/>
    <w:rsid w:val="2446AB15"/>
    <w:rsid w:val="2447E67F"/>
    <w:rsid w:val="244C8136"/>
    <w:rsid w:val="244E5D3E"/>
    <w:rsid w:val="245C9C1D"/>
    <w:rsid w:val="245D37C0"/>
    <w:rsid w:val="24650DCA"/>
    <w:rsid w:val="24674A98"/>
    <w:rsid w:val="2467FBB8"/>
    <w:rsid w:val="2468BA27"/>
    <w:rsid w:val="246B2598"/>
    <w:rsid w:val="2475AA57"/>
    <w:rsid w:val="247B1776"/>
    <w:rsid w:val="247ED1F0"/>
    <w:rsid w:val="2489D39A"/>
    <w:rsid w:val="248F0F22"/>
    <w:rsid w:val="24920586"/>
    <w:rsid w:val="24921C6C"/>
    <w:rsid w:val="2492CF5B"/>
    <w:rsid w:val="24998112"/>
    <w:rsid w:val="24A2F9AD"/>
    <w:rsid w:val="24A4459B"/>
    <w:rsid w:val="24A9B061"/>
    <w:rsid w:val="24AB8601"/>
    <w:rsid w:val="24B12F2F"/>
    <w:rsid w:val="24B95057"/>
    <w:rsid w:val="24BA2A71"/>
    <w:rsid w:val="24C3CD64"/>
    <w:rsid w:val="24CB4312"/>
    <w:rsid w:val="24CC7D8A"/>
    <w:rsid w:val="24CF2794"/>
    <w:rsid w:val="24D7F50C"/>
    <w:rsid w:val="24DCE497"/>
    <w:rsid w:val="24DF42AF"/>
    <w:rsid w:val="24EC44ED"/>
    <w:rsid w:val="24F7743C"/>
    <w:rsid w:val="24FC9D33"/>
    <w:rsid w:val="25086393"/>
    <w:rsid w:val="250C0271"/>
    <w:rsid w:val="250C0988"/>
    <w:rsid w:val="25120796"/>
    <w:rsid w:val="2512D888"/>
    <w:rsid w:val="2513E76D"/>
    <w:rsid w:val="25141F03"/>
    <w:rsid w:val="2514371A"/>
    <w:rsid w:val="2518829B"/>
    <w:rsid w:val="251AF1BF"/>
    <w:rsid w:val="251D4360"/>
    <w:rsid w:val="2520B8B7"/>
    <w:rsid w:val="25285E32"/>
    <w:rsid w:val="2528E9F8"/>
    <w:rsid w:val="252951E3"/>
    <w:rsid w:val="252A7D23"/>
    <w:rsid w:val="252C2485"/>
    <w:rsid w:val="252FE4D0"/>
    <w:rsid w:val="2532EA6F"/>
    <w:rsid w:val="2535DA69"/>
    <w:rsid w:val="2536B14C"/>
    <w:rsid w:val="2538BCD9"/>
    <w:rsid w:val="25399B10"/>
    <w:rsid w:val="2541ED60"/>
    <w:rsid w:val="25457B26"/>
    <w:rsid w:val="254933BE"/>
    <w:rsid w:val="254F41CC"/>
    <w:rsid w:val="254FE9B9"/>
    <w:rsid w:val="2551AF07"/>
    <w:rsid w:val="25522CEA"/>
    <w:rsid w:val="255291B8"/>
    <w:rsid w:val="255436C6"/>
    <w:rsid w:val="2557FC16"/>
    <w:rsid w:val="25587E35"/>
    <w:rsid w:val="255D0BA7"/>
    <w:rsid w:val="2560E1A7"/>
    <w:rsid w:val="25624D5D"/>
    <w:rsid w:val="25650309"/>
    <w:rsid w:val="256674AF"/>
    <w:rsid w:val="256B28F7"/>
    <w:rsid w:val="256B59E2"/>
    <w:rsid w:val="256F06B9"/>
    <w:rsid w:val="257295B8"/>
    <w:rsid w:val="258AC21D"/>
    <w:rsid w:val="258D75AD"/>
    <w:rsid w:val="258FCC9A"/>
    <w:rsid w:val="259309DD"/>
    <w:rsid w:val="2593F48D"/>
    <w:rsid w:val="25941708"/>
    <w:rsid w:val="2598D869"/>
    <w:rsid w:val="259A407C"/>
    <w:rsid w:val="25A4A9A6"/>
    <w:rsid w:val="25A61BEA"/>
    <w:rsid w:val="25AC9653"/>
    <w:rsid w:val="25AED488"/>
    <w:rsid w:val="25AF8E7E"/>
    <w:rsid w:val="25B5617F"/>
    <w:rsid w:val="25BE99B1"/>
    <w:rsid w:val="25C0ADAA"/>
    <w:rsid w:val="25C1A6F0"/>
    <w:rsid w:val="25CDFD02"/>
    <w:rsid w:val="25D80388"/>
    <w:rsid w:val="25DA696C"/>
    <w:rsid w:val="25DD5241"/>
    <w:rsid w:val="25E2D0EB"/>
    <w:rsid w:val="25E8D4B7"/>
    <w:rsid w:val="25EA73E7"/>
    <w:rsid w:val="25F1AB7A"/>
    <w:rsid w:val="26027695"/>
    <w:rsid w:val="26045B3B"/>
    <w:rsid w:val="260724BA"/>
    <w:rsid w:val="260DC95A"/>
    <w:rsid w:val="26148FD8"/>
    <w:rsid w:val="261D4DE9"/>
    <w:rsid w:val="26253166"/>
    <w:rsid w:val="262DEF4C"/>
    <w:rsid w:val="2630ABB3"/>
    <w:rsid w:val="26392E9C"/>
    <w:rsid w:val="263CD80B"/>
    <w:rsid w:val="263F1378"/>
    <w:rsid w:val="26490AF2"/>
    <w:rsid w:val="26497AE0"/>
    <w:rsid w:val="264B1125"/>
    <w:rsid w:val="264C50FF"/>
    <w:rsid w:val="2650F47C"/>
    <w:rsid w:val="26585F5E"/>
    <w:rsid w:val="2659BF8A"/>
    <w:rsid w:val="265C52C4"/>
    <w:rsid w:val="26654E14"/>
    <w:rsid w:val="267B3ADD"/>
    <w:rsid w:val="267E52B2"/>
    <w:rsid w:val="26801B63"/>
    <w:rsid w:val="26874BC1"/>
    <w:rsid w:val="268B5A4E"/>
    <w:rsid w:val="268C80E7"/>
    <w:rsid w:val="268D8624"/>
    <w:rsid w:val="269BF69A"/>
    <w:rsid w:val="26AC04E1"/>
    <w:rsid w:val="26AC6097"/>
    <w:rsid w:val="26ACE2EE"/>
    <w:rsid w:val="26B1E7A2"/>
    <w:rsid w:val="26B5B461"/>
    <w:rsid w:val="26B6DD08"/>
    <w:rsid w:val="26C12D35"/>
    <w:rsid w:val="26C18043"/>
    <w:rsid w:val="26C1FD9E"/>
    <w:rsid w:val="26C396FA"/>
    <w:rsid w:val="26D08CA9"/>
    <w:rsid w:val="26D1A429"/>
    <w:rsid w:val="26D2ECF1"/>
    <w:rsid w:val="26D917B4"/>
    <w:rsid w:val="26DFF786"/>
    <w:rsid w:val="26E2CAA5"/>
    <w:rsid w:val="26ED93C6"/>
    <w:rsid w:val="2700367F"/>
    <w:rsid w:val="27069181"/>
    <w:rsid w:val="270AC135"/>
    <w:rsid w:val="270E2BE3"/>
    <w:rsid w:val="27125AB3"/>
    <w:rsid w:val="27164E36"/>
    <w:rsid w:val="2717F07C"/>
    <w:rsid w:val="27191FB7"/>
    <w:rsid w:val="2723E992"/>
    <w:rsid w:val="2725FAA0"/>
    <w:rsid w:val="272A89C4"/>
    <w:rsid w:val="272ACCD3"/>
    <w:rsid w:val="27321029"/>
    <w:rsid w:val="27334C8E"/>
    <w:rsid w:val="2734B10A"/>
    <w:rsid w:val="27374B8A"/>
    <w:rsid w:val="27377B5C"/>
    <w:rsid w:val="273BAB02"/>
    <w:rsid w:val="273E8358"/>
    <w:rsid w:val="2741AA5F"/>
    <w:rsid w:val="2742B5C6"/>
    <w:rsid w:val="2743020A"/>
    <w:rsid w:val="27453860"/>
    <w:rsid w:val="2749F35E"/>
    <w:rsid w:val="274ED752"/>
    <w:rsid w:val="2752B4ED"/>
    <w:rsid w:val="2756B119"/>
    <w:rsid w:val="27573E46"/>
    <w:rsid w:val="2758A0CE"/>
    <w:rsid w:val="275AEF43"/>
    <w:rsid w:val="275EBD54"/>
    <w:rsid w:val="276CEE5D"/>
    <w:rsid w:val="276E370A"/>
    <w:rsid w:val="276F0A1F"/>
    <w:rsid w:val="2786F33D"/>
    <w:rsid w:val="278B0B34"/>
    <w:rsid w:val="278D32CC"/>
    <w:rsid w:val="278D638C"/>
    <w:rsid w:val="2798172B"/>
    <w:rsid w:val="27A48302"/>
    <w:rsid w:val="27A866AE"/>
    <w:rsid w:val="27ADE1B3"/>
    <w:rsid w:val="27AE0612"/>
    <w:rsid w:val="27AE3F76"/>
    <w:rsid w:val="27AFDA58"/>
    <w:rsid w:val="27BB00F3"/>
    <w:rsid w:val="27BE30C0"/>
    <w:rsid w:val="27C13E4A"/>
    <w:rsid w:val="27C1693A"/>
    <w:rsid w:val="27C3479D"/>
    <w:rsid w:val="27C56128"/>
    <w:rsid w:val="27CAD392"/>
    <w:rsid w:val="27D0DCE8"/>
    <w:rsid w:val="27D188B5"/>
    <w:rsid w:val="27D9CFC8"/>
    <w:rsid w:val="27EBB3FB"/>
    <w:rsid w:val="27F24F7A"/>
    <w:rsid w:val="27F2871A"/>
    <w:rsid w:val="27F6BD2E"/>
    <w:rsid w:val="280133B2"/>
    <w:rsid w:val="28014E92"/>
    <w:rsid w:val="28051975"/>
    <w:rsid w:val="280BD5F4"/>
    <w:rsid w:val="28130AD2"/>
    <w:rsid w:val="2815C2EF"/>
    <w:rsid w:val="2817BBFF"/>
    <w:rsid w:val="281831C3"/>
    <w:rsid w:val="281A12CC"/>
    <w:rsid w:val="281B643E"/>
    <w:rsid w:val="28220005"/>
    <w:rsid w:val="2827CC5A"/>
    <w:rsid w:val="2829B178"/>
    <w:rsid w:val="282CC9F6"/>
    <w:rsid w:val="2832823B"/>
    <w:rsid w:val="283D45B5"/>
    <w:rsid w:val="283E6B78"/>
    <w:rsid w:val="28413D66"/>
    <w:rsid w:val="2845E640"/>
    <w:rsid w:val="28482C3A"/>
    <w:rsid w:val="284D1B55"/>
    <w:rsid w:val="285152DD"/>
    <w:rsid w:val="28517A5F"/>
    <w:rsid w:val="28552FB3"/>
    <w:rsid w:val="285ECA8A"/>
    <w:rsid w:val="28620A0C"/>
    <w:rsid w:val="28690BB1"/>
    <w:rsid w:val="286F60B1"/>
    <w:rsid w:val="2870BFF1"/>
    <w:rsid w:val="287354CC"/>
    <w:rsid w:val="2873DA09"/>
    <w:rsid w:val="287B092B"/>
    <w:rsid w:val="287BFF02"/>
    <w:rsid w:val="287C5DBB"/>
    <w:rsid w:val="287D19F7"/>
    <w:rsid w:val="287EBC64"/>
    <w:rsid w:val="2880D480"/>
    <w:rsid w:val="2886BE64"/>
    <w:rsid w:val="28976798"/>
    <w:rsid w:val="289B609D"/>
    <w:rsid w:val="28A2718A"/>
    <w:rsid w:val="28A82A5E"/>
    <w:rsid w:val="28A9E53A"/>
    <w:rsid w:val="28AF4B78"/>
    <w:rsid w:val="28BFA115"/>
    <w:rsid w:val="28C994AD"/>
    <w:rsid w:val="28CB3E54"/>
    <w:rsid w:val="28CFA99E"/>
    <w:rsid w:val="28DC6A92"/>
    <w:rsid w:val="28E07438"/>
    <w:rsid w:val="28E963F6"/>
    <w:rsid w:val="28EAB3B7"/>
    <w:rsid w:val="28ED1F55"/>
    <w:rsid w:val="28EF8921"/>
    <w:rsid w:val="28F025F8"/>
    <w:rsid w:val="28F38FD0"/>
    <w:rsid w:val="28F3DC84"/>
    <w:rsid w:val="28F84795"/>
    <w:rsid w:val="2903799E"/>
    <w:rsid w:val="290DD7D4"/>
    <w:rsid w:val="290E69C0"/>
    <w:rsid w:val="291061DF"/>
    <w:rsid w:val="29132F5D"/>
    <w:rsid w:val="292A4AAC"/>
    <w:rsid w:val="292AEC96"/>
    <w:rsid w:val="293391F7"/>
    <w:rsid w:val="293AF17B"/>
    <w:rsid w:val="2941D5A7"/>
    <w:rsid w:val="29436AA6"/>
    <w:rsid w:val="29448A15"/>
    <w:rsid w:val="294C3FC8"/>
    <w:rsid w:val="294E4A21"/>
    <w:rsid w:val="295723C1"/>
    <w:rsid w:val="295A3242"/>
    <w:rsid w:val="296972F2"/>
    <w:rsid w:val="296B8291"/>
    <w:rsid w:val="29724F32"/>
    <w:rsid w:val="29746810"/>
    <w:rsid w:val="297470E2"/>
    <w:rsid w:val="29794E93"/>
    <w:rsid w:val="297FF5A5"/>
    <w:rsid w:val="29815EE7"/>
    <w:rsid w:val="29856DB0"/>
    <w:rsid w:val="298AFAFE"/>
    <w:rsid w:val="298C3B64"/>
    <w:rsid w:val="298E892F"/>
    <w:rsid w:val="29948453"/>
    <w:rsid w:val="2996EDAE"/>
    <w:rsid w:val="29A3F9BD"/>
    <w:rsid w:val="29A49897"/>
    <w:rsid w:val="29A9EBF5"/>
    <w:rsid w:val="29AB9883"/>
    <w:rsid w:val="29B25D0E"/>
    <w:rsid w:val="29BA65E3"/>
    <w:rsid w:val="29D344AC"/>
    <w:rsid w:val="29D8415B"/>
    <w:rsid w:val="29D974ED"/>
    <w:rsid w:val="29E147CF"/>
    <w:rsid w:val="29E51B13"/>
    <w:rsid w:val="29E81D92"/>
    <w:rsid w:val="29F3B867"/>
    <w:rsid w:val="29F7EFBC"/>
    <w:rsid w:val="2A00BF15"/>
    <w:rsid w:val="2A0F1EB5"/>
    <w:rsid w:val="2A124A29"/>
    <w:rsid w:val="2A139BDF"/>
    <w:rsid w:val="2A2352AE"/>
    <w:rsid w:val="2A25C112"/>
    <w:rsid w:val="2A26543D"/>
    <w:rsid w:val="2A29578E"/>
    <w:rsid w:val="2A29A2DC"/>
    <w:rsid w:val="2A2C99B2"/>
    <w:rsid w:val="2A39E7A2"/>
    <w:rsid w:val="2A3B77DC"/>
    <w:rsid w:val="2A41F0C2"/>
    <w:rsid w:val="2A468A35"/>
    <w:rsid w:val="2A47B802"/>
    <w:rsid w:val="2A4AA891"/>
    <w:rsid w:val="2A5191E9"/>
    <w:rsid w:val="2A579A37"/>
    <w:rsid w:val="2A5A7DAC"/>
    <w:rsid w:val="2A5DC48D"/>
    <w:rsid w:val="2A5DE147"/>
    <w:rsid w:val="2A70E477"/>
    <w:rsid w:val="2A725C42"/>
    <w:rsid w:val="2A729C09"/>
    <w:rsid w:val="2A75281C"/>
    <w:rsid w:val="2A7B8BB9"/>
    <w:rsid w:val="2A839F98"/>
    <w:rsid w:val="2A8D71DD"/>
    <w:rsid w:val="2A99B488"/>
    <w:rsid w:val="2AA36FAE"/>
    <w:rsid w:val="2AAAEC3C"/>
    <w:rsid w:val="2AB56DD4"/>
    <w:rsid w:val="2AB63DF6"/>
    <w:rsid w:val="2AB813A4"/>
    <w:rsid w:val="2ABEEB16"/>
    <w:rsid w:val="2AC09430"/>
    <w:rsid w:val="2AC2A063"/>
    <w:rsid w:val="2AC61BEE"/>
    <w:rsid w:val="2ACAECB3"/>
    <w:rsid w:val="2ACBC37E"/>
    <w:rsid w:val="2AD06D30"/>
    <w:rsid w:val="2AD0F883"/>
    <w:rsid w:val="2AD1800C"/>
    <w:rsid w:val="2ADD7406"/>
    <w:rsid w:val="2AEB158C"/>
    <w:rsid w:val="2AEF51F1"/>
    <w:rsid w:val="2AF834BD"/>
    <w:rsid w:val="2AF86107"/>
    <w:rsid w:val="2B002F21"/>
    <w:rsid w:val="2B012164"/>
    <w:rsid w:val="2B07B70E"/>
    <w:rsid w:val="2B098BD4"/>
    <w:rsid w:val="2B0AC38E"/>
    <w:rsid w:val="2B0C5F39"/>
    <w:rsid w:val="2B0C7A7A"/>
    <w:rsid w:val="2B11159A"/>
    <w:rsid w:val="2B15281E"/>
    <w:rsid w:val="2B18EA71"/>
    <w:rsid w:val="2B2149A8"/>
    <w:rsid w:val="2B259F61"/>
    <w:rsid w:val="2B25CC45"/>
    <w:rsid w:val="2B2DD203"/>
    <w:rsid w:val="2B3079F7"/>
    <w:rsid w:val="2B500B6E"/>
    <w:rsid w:val="2B5A287F"/>
    <w:rsid w:val="2B65EF8B"/>
    <w:rsid w:val="2B70CFCE"/>
    <w:rsid w:val="2B71DEB1"/>
    <w:rsid w:val="2B794D9A"/>
    <w:rsid w:val="2B7A59FC"/>
    <w:rsid w:val="2B7C0A39"/>
    <w:rsid w:val="2B8797F2"/>
    <w:rsid w:val="2B892584"/>
    <w:rsid w:val="2B928665"/>
    <w:rsid w:val="2B9D9855"/>
    <w:rsid w:val="2B9EEC5B"/>
    <w:rsid w:val="2BB20684"/>
    <w:rsid w:val="2BB77C5F"/>
    <w:rsid w:val="2BB868D7"/>
    <w:rsid w:val="2BBAE45E"/>
    <w:rsid w:val="2BBBE471"/>
    <w:rsid w:val="2BC5222E"/>
    <w:rsid w:val="2BCEFCB2"/>
    <w:rsid w:val="2BDE5D8E"/>
    <w:rsid w:val="2BE9E9A5"/>
    <w:rsid w:val="2BED4908"/>
    <w:rsid w:val="2BEE6678"/>
    <w:rsid w:val="2BFAB9F2"/>
    <w:rsid w:val="2C0531DA"/>
    <w:rsid w:val="2C097981"/>
    <w:rsid w:val="2C0E6F31"/>
    <w:rsid w:val="2C11AD2D"/>
    <w:rsid w:val="2C167A1A"/>
    <w:rsid w:val="2C1A4B35"/>
    <w:rsid w:val="2C245FA8"/>
    <w:rsid w:val="2C2594CD"/>
    <w:rsid w:val="2C2F53C4"/>
    <w:rsid w:val="2C304BEF"/>
    <w:rsid w:val="2C3C0B20"/>
    <w:rsid w:val="2C429C50"/>
    <w:rsid w:val="2C48DB42"/>
    <w:rsid w:val="2C4B2297"/>
    <w:rsid w:val="2C4DDE5F"/>
    <w:rsid w:val="2C5453A9"/>
    <w:rsid w:val="2C54A097"/>
    <w:rsid w:val="2C57D053"/>
    <w:rsid w:val="2C58C5AD"/>
    <w:rsid w:val="2C5C6F33"/>
    <w:rsid w:val="2C670097"/>
    <w:rsid w:val="2C675A69"/>
    <w:rsid w:val="2C6C345C"/>
    <w:rsid w:val="2C740544"/>
    <w:rsid w:val="2C819F6D"/>
    <w:rsid w:val="2C849AAD"/>
    <w:rsid w:val="2C859E17"/>
    <w:rsid w:val="2C8647EF"/>
    <w:rsid w:val="2C87A2E2"/>
    <w:rsid w:val="2C885B27"/>
    <w:rsid w:val="2C8ECFB5"/>
    <w:rsid w:val="2C99CD57"/>
    <w:rsid w:val="2C9D8418"/>
    <w:rsid w:val="2CAF3509"/>
    <w:rsid w:val="2CC68EF4"/>
    <w:rsid w:val="2CCA1C9B"/>
    <w:rsid w:val="2CD45A9C"/>
    <w:rsid w:val="2CDE4573"/>
    <w:rsid w:val="2CE5E5C9"/>
    <w:rsid w:val="2CEE0A77"/>
    <w:rsid w:val="2CF15CDD"/>
    <w:rsid w:val="2CF38C76"/>
    <w:rsid w:val="2CFB81A4"/>
    <w:rsid w:val="2D00E167"/>
    <w:rsid w:val="2D02A2D8"/>
    <w:rsid w:val="2D0468C1"/>
    <w:rsid w:val="2D094E99"/>
    <w:rsid w:val="2D0EF26B"/>
    <w:rsid w:val="2D106287"/>
    <w:rsid w:val="2D15BFD2"/>
    <w:rsid w:val="2D180588"/>
    <w:rsid w:val="2D1963D3"/>
    <w:rsid w:val="2D1CD57D"/>
    <w:rsid w:val="2D1CF30A"/>
    <w:rsid w:val="2D1E4B51"/>
    <w:rsid w:val="2D1E8B4D"/>
    <w:rsid w:val="2D1FD7C5"/>
    <w:rsid w:val="2D20C59D"/>
    <w:rsid w:val="2D22F931"/>
    <w:rsid w:val="2D275712"/>
    <w:rsid w:val="2D433623"/>
    <w:rsid w:val="2D4606F6"/>
    <w:rsid w:val="2D46D13A"/>
    <w:rsid w:val="2D4EC4DD"/>
    <w:rsid w:val="2D4F2CCF"/>
    <w:rsid w:val="2D521785"/>
    <w:rsid w:val="2D5A69B1"/>
    <w:rsid w:val="2D62B502"/>
    <w:rsid w:val="2D7577EE"/>
    <w:rsid w:val="2D77A384"/>
    <w:rsid w:val="2D7B581B"/>
    <w:rsid w:val="2D7ED071"/>
    <w:rsid w:val="2D7EEF28"/>
    <w:rsid w:val="2D7F4AF8"/>
    <w:rsid w:val="2D818482"/>
    <w:rsid w:val="2D83202D"/>
    <w:rsid w:val="2D891F29"/>
    <w:rsid w:val="2D8F391F"/>
    <w:rsid w:val="2DA2C5D0"/>
    <w:rsid w:val="2DA4F199"/>
    <w:rsid w:val="2DA5EC68"/>
    <w:rsid w:val="2DB2E58E"/>
    <w:rsid w:val="2DB6D45A"/>
    <w:rsid w:val="2DC276C3"/>
    <w:rsid w:val="2DC52F02"/>
    <w:rsid w:val="2DD163F8"/>
    <w:rsid w:val="2DD2A0C9"/>
    <w:rsid w:val="2DDF62AD"/>
    <w:rsid w:val="2DDF71E7"/>
    <w:rsid w:val="2DE1D1D1"/>
    <w:rsid w:val="2DE4B1F5"/>
    <w:rsid w:val="2DF595E3"/>
    <w:rsid w:val="2DF83BF1"/>
    <w:rsid w:val="2E051044"/>
    <w:rsid w:val="2E070628"/>
    <w:rsid w:val="2E0B5091"/>
    <w:rsid w:val="2E163FDB"/>
    <w:rsid w:val="2E1A10F8"/>
    <w:rsid w:val="2E1BF388"/>
    <w:rsid w:val="2E1E99BE"/>
    <w:rsid w:val="2E248307"/>
    <w:rsid w:val="2E2ED1E4"/>
    <w:rsid w:val="2E4449AC"/>
    <w:rsid w:val="2E464052"/>
    <w:rsid w:val="2E4F47F9"/>
    <w:rsid w:val="2E53FB0B"/>
    <w:rsid w:val="2E586716"/>
    <w:rsid w:val="2E598125"/>
    <w:rsid w:val="2E613EAD"/>
    <w:rsid w:val="2E66A940"/>
    <w:rsid w:val="2E674818"/>
    <w:rsid w:val="2E6F8527"/>
    <w:rsid w:val="2E746EA0"/>
    <w:rsid w:val="2E7A7A07"/>
    <w:rsid w:val="2E865724"/>
    <w:rsid w:val="2EA0B203"/>
    <w:rsid w:val="2EA7DE55"/>
    <w:rsid w:val="2EB332F4"/>
    <w:rsid w:val="2EB5821D"/>
    <w:rsid w:val="2EBDFE9F"/>
    <w:rsid w:val="2EBFFCBE"/>
    <w:rsid w:val="2EC0C646"/>
    <w:rsid w:val="2EC4B4E5"/>
    <w:rsid w:val="2ED2078E"/>
    <w:rsid w:val="2ED2D872"/>
    <w:rsid w:val="2ED56F71"/>
    <w:rsid w:val="2ED8553A"/>
    <w:rsid w:val="2EE66248"/>
    <w:rsid w:val="2EE77853"/>
    <w:rsid w:val="2EF23193"/>
    <w:rsid w:val="2EF38533"/>
    <w:rsid w:val="2EF5A0BD"/>
    <w:rsid w:val="2F008D9B"/>
    <w:rsid w:val="2F02B6B4"/>
    <w:rsid w:val="2F0353B1"/>
    <w:rsid w:val="2F04B4E9"/>
    <w:rsid w:val="2F08D063"/>
    <w:rsid w:val="2F0D102F"/>
    <w:rsid w:val="2F122C4E"/>
    <w:rsid w:val="2F17521B"/>
    <w:rsid w:val="2F175DC6"/>
    <w:rsid w:val="2F18155C"/>
    <w:rsid w:val="2F18A736"/>
    <w:rsid w:val="2F20966C"/>
    <w:rsid w:val="2F2D01BB"/>
    <w:rsid w:val="2F365821"/>
    <w:rsid w:val="2F36C9A8"/>
    <w:rsid w:val="2F373C1F"/>
    <w:rsid w:val="2F426C20"/>
    <w:rsid w:val="2F46D244"/>
    <w:rsid w:val="2F484828"/>
    <w:rsid w:val="2F4A17CF"/>
    <w:rsid w:val="2F57A864"/>
    <w:rsid w:val="2F5CF231"/>
    <w:rsid w:val="2F5EB17E"/>
    <w:rsid w:val="2F626AB8"/>
    <w:rsid w:val="2F69791A"/>
    <w:rsid w:val="2F7AC024"/>
    <w:rsid w:val="2F82E487"/>
    <w:rsid w:val="2F834A52"/>
    <w:rsid w:val="2F844A14"/>
    <w:rsid w:val="2F84FB3D"/>
    <w:rsid w:val="2F930406"/>
    <w:rsid w:val="2F97CD80"/>
    <w:rsid w:val="2F9FAB56"/>
    <w:rsid w:val="2FA51080"/>
    <w:rsid w:val="2FA6E48E"/>
    <w:rsid w:val="2FABDACF"/>
    <w:rsid w:val="2FAC4A8C"/>
    <w:rsid w:val="2FAFF193"/>
    <w:rsid w:val="2FB3C8F7"/>
    <w:rsid w:val="2FB579E0"/>
    <w:rsid w:val="2FBE672C"/>
    <w:rsid w:val="2FBEFC0E"/>
    <w:rsid w:val="2FBFF953"/>
    <w:rsid w:val="2FC09C8E"/>
    <w:rsid w:val="2FCBA4C3"/>
    <w:rsid w:val="2FCF81F7"/>
    <w:rsid w:val="2FCF99F7"/>
    <w:rsid w:val="2FD4E547"/>
    <w:rsid w:val="2FD8E022"/>
    <w:rsid w:val="2FDAE31D"/>
    <w:rsid w:val="2FDB6FA6"/>
    <w:rsid w:val="2FDDCFE2"/>
    <w:rsid w:val="2FE178F2"/>
    <w:rsid w:val="2FEACA4A"/>
    <w:rsid w:val="2FEC6308"/>
    <w:rsid w:val="2FEEBB6A"/>
    <w:rsid w:val="2FF06021"/>
    <w:rsid w:val="3000EB66"/>
    <w:rsid w:val="300C9404"/>
    <w:rsid w:val="302AE4DB"/>
    <w:rsid w:val="302BBB69"/>
    <w:rsid w:val="30365EDC"/>
    <w:rsid w:val="303DE1C0"/>
    <w:rsid w:val="304738D3"/>
    <w:rsid w:val="30481008"/>
    <w:rsid w:val="3048BDBC"/>
    <w:rsid w:val="304FA64A"/>
    <w:rsid w:val="3053D891"/>
    <w:rsid w:val="305506CF"/>
    <w:rsid w:val="305C4E07"/>
    <w:rsid w:val="307AC08E"/>
    <w:rsid w:val="307C6A75"/>
    <w:rsid w:val="307DFBE2"/>
    <w:rsid w:val="307F7C7F"/>
    <w:rsid w:val="3080227F"/>
    <w:rsid w:val="30818963"/>
    <w:rsid w:val="308B55D5"/>
    <w:rsid w:val="308B6DCB"/>
    <w:rsid w:val="30A8F123"/>
    <w:rsid w:val="30AE8643"/>
    <w:rsid w:val="30B2A1FF"/>
    <w:rsid w:val="30B4C1CC"/>
    <w:rsid w:val="30BC63F2"/>
    <w:rsid w:val="30C4AFEE"/>
    <w:rsid w:val="30CD849F"/>
    <w:rsid w:val="30D2C205"/>
    <w:rsid w:val="30D31BBB"/>
    <w:rsid w:val="30D3B380"/>
    <w:rsid w:val="30DC1AFB"/>
    <w:rsid w:val="30DD0218"/>
    <w:rsid w:val="30DF4DFD"/>
    <w:rsid w:val="30E4635E"/>
    <w:rsid w:val="30EB291B"/>
    <w:rsid w:val="30ED9B55"/>
    <w:rsid w:val="30EE4F4F"/>
    <w:rsid w:val="30EED618"/>
    <w:rsid w:val="30F1F00F"/>
    <w:rsid w:val="30F430C6"/>
    <w:rsid w:val="30F5E927"/>
    <w:rsid w:val="30FCF6D6"/>
    <w:rsid w:val="30FE7F66"/>
    <w:rsid w:val="310BE37A"/>
    <w:rsid w:val="310D0B96"/>
    <w:rsid w:val="3116D6DA"/>
    <w:rsid w:val="3119F404"/>
    <w:rsid w:val="311C6AFC"/>
    <w:rsid w:val="31227E8C"/>
    <w:rsid w:val="31233815"/>
    <w:rsid w:val="3127B51E"/>
    <w:rsid w:val="3130EF92"/>
    <w:rsid w:val="313A29A6"/>
    <w:rsid w:val="313BBAC8"/>
    <w:rsid w:val="313DA472"/>
    <w:rsid w:val="313EBE36"/>
    <w:rsid w:val="314C53FF"/>
    <w:rsid w:val="3150A254"/>
    <w:rsid w:val="315C8D1C"/>
    <w:rsid w:val="31696EDD"/>
    <w:rsid w:val="316E4E16"/>
    <w:rsid w:val="3176D26F"/>
    <w:rsid w:val="317FBB0D"/>
    <w:rsid w:val="31835240"/>
    <w:rsid w:val="319015E1"/>
    <w:rsid w:val="31918EB8"/>
    <w:rsid w:val="3199E0A1"/>
    <w:rsid w:val="319F5CEC"/>
    <w:rsid w:val="319F75BF"/>
    <w:rsid w:val="31A5268B"/>
    <w:rsid w:val="31A61B82"/>
    <w:rsid w:val="31AC4BDC"/>
    <w:rsid w:val="31AF89F2"/>
    <w:rsid w:val="31B1B696"/>
    <w:rsid w:val="31B3A5FB"/>
    <w:rsid w:val="31B68D0B"/>
    <w:rsid w:val="31D33B2A"/>
    <w:rsid w:val="31D41B9E"/>
    <w:rsid w:val="31DE6578"/>
    <w:rsid w:val="31E24101"/>
    <w:rsid w:val="31E359B4"/>
    <w:rsid w:val="31E68756"/>
    <w:rsid w:val="31EB7F4D"/>
    <w:rsid w:val="31ED4BC8"/>
    <w:rsid w:val="31EE350B"/>
    <w:rsid w:val="31F0281D"/>
    <w:rsid w:val="31F0B588"/>
    <w:rsid w:val="32068C20"/>
    <w:rsid w:val="32139380"/>
    <w:rsid w:val="3216555E"/>
    <w:rsid w:val="32180F16"/>
    <w:rsid w:val="32199B40"/>
    <w:rsid w:val="321CB2D3"/>
    <w:rsid w:val="3222B5FC"/>
    <w:rsid w:val="3225F3F9"/>
    <w:rsid w:val="32272636"/>
    <w:rsid w:val="322B479A"/>
    <w:rsid w:val="32498C69"/>
    <w:rsid w:val="324B0CF9"/>
    <w:rsid w:val="3250D1E4"/>
    <w:rsid w:val="325344A3"/>
    <w:rsid w:val="325F60A7"/>
    <w:rsid w:val="32649CA4"/>
    <w:rsid w:val="326B12C6"/>
    <w:rsid w:val="326E2827"/>
    <w:rsid w:val="326EAD9E"/>
    <w:rsid w:val="32723D7C"/>
    <w:rsid w:val="3277276E"/>
    <w:rsid w:val="3285F8FF"/>
    <w:rsid w:val="328B93B5"/>
    <w:rsid w:val="32992BE9"/>
    <w:rsid w:val="329CB8C9"/>
    <w:rsid w:val="32A48979"/>
    <w:rsid w:val="32A8CA92"/>
    <w:rsid w:val="32AC6C39"/>
    <w:rsid w:val="32AFCBA5"/>
    <w:rsid w:val="32BA9B47"/>
    <w:rsid w:val="32C1E1B2"/>
    <w:rsid w:val="32D03661"/>
    <w:rsid w:val="32D1DD51"/>
    <w:rsid w:val="32D2F02D"/>
    <w:rsid w:val="32DA3B45"/>
    <w:rsid w:val="32DB3ACE"/>
    <w:rsid w:val="32E8103A"/>
    <w:rsid w:val="32EACC27"/>
    <w:rsid w:val="32ED1AC7"/>
    <w:rsid w:val="32EE2F45"/>
    <w:rsid w:val="32EEE6A1"/>
    <w:rsid w:val="32FB3509"/>
    <w:rsid w:val="32FDC887"/>
    <w:rsid w:val="32FDCF58"/>
    <w:rsid w:val="33079BB1"/>
    <w:rsid w:val="33079C5A"/>
    <w:rsid w:val="330C5B51"/>
    <w:rsid w:val="33104F16"/>
    <w:rsid w:val="3311DB70"/>
    <w:rsid w:val="331D9A41"/>
    <w:rsid w:val="333291FE"/>
    <w:rsid w:val="33358F71"/>
    <w:rsid w:val="33358FB5"/>
    <w:rsid w:val="3337A178"/>
    <w:rsid w:val="3337CECE"/>
    <w:rsid w:val="3337D449"/>
    <w:rsid w:val="33392A14"/>
    <w:rsid w:val="3339D975"/>
    <w:rsid w:val="333A88DD"/>
    <w:rsid w:val="3342A088"/>
    <w:rsid w:val="33431494"/>
    <w:rsid w:val="335080E4"/>
    <w:rsid w:val="3359C55B"/>
    <w:rsid w:val="335C481D"/>
    <w:rsid w:val="335F8520"/>
    <w:rsid w:val="3369535C"/>
    <w:rsid w:val="336CCD29"/>
    <w:rsid w:val="337F75AF"/>
    <w:rsid w:val="3380F721"/>
    <w:rsid w:val="33817C40"/>
    <w:rsid w:val="338537A2"/>
    <w:rsid w:val="338E0D80"/>
    <w:rsid w:val="3390C1BF"/>
    <w:rsid w:val="33A51135"/>
    <w:rsid w:val="33AB23FB"/>
    <w:rsid w:val="33B7E6B7"/>
    <w:rsid w:val="33BBD2E2"/>
    <w:rsid w:val="33C6F656"/>
    <w:rsid w:val="33C708BB"/>
    <w:rsid w:val="33CA0A62"/>
    <w:rsid w:val="33D625D7"/>
    <w:rsid w:val="33E150FE"/>
    <w:rsid w:val="33E1A6C9"/>
    <w:rsid w:val="33ED1B94"/>
    <w:rsid w:val="33EE26C9"/>
    <w:rsid w:val="33EF8B5B"/>
    <w:rsid w:val="33F834D7"/>
    <w:rsid w:val="33F9679A"/>
    <w:rsid w:val="33FA1F40"/>
    <w:rsid w:val="33FD257E"/>
    <w:rsid w:val="33FD2DBF"/>
    <w:rsid w:val="340188DB"/>
    <w:rsid w:val="3406224D"/>
    <w:rsid w:val="3407D407"/>
    <w:rsid w:val="3407F535"/>
    <w:rsid w:val="3409C131"/>
    <w:rsid w:val="340CC57C"/>
    <w:rsid w:val="3412F7CF"/>
    <w:rsid w:val="3415171D"/>
    <w:rsid w:val="341859AC"/>
    <w:rsid w:val="3418F7EE"/>
    <w:rsid w:val="341D8830"/>
    <w:rsid w:val="341F6C7E"/>
    <w:rsid w:val="341F8F59"/>
    <w:rsid w:val="342B16E5"/>
    <w:rsid w:val="34383E49"/>
    <w:rsid w:val="343C2479"/>
    <w:rsid w:val="34428166"/>
    <w:rsid w:val="34496DCD"/>
    <w:rsid w:val="345163C8"/>
    <w:rsid w:val="3451C95A"/>
    <w:rsid w:val="3454F63C"/>
    <w:rsid w:val="345B3956"/>
    <w:rsid w:val="345DCD1F"/>
    <w:rsid w:val="345EF84A"/>
    <w:rsid w:val="345F5F86"/>
    <w:rsid w:val="34637EE3"/>
    <w:rsid w:val="346575BF"/>
    <w:rsid w:val="346AAC8F"/>
    <w:rsid w:val="346B9F0B"/>
    <w:rsid w:val="34756D82"/>
    <w:rsid w:val="34782DCA"/>
    <w:rsid w:val="347D2093"/>
    <w:rsid w:val="3489A17E"/>
    <w:rsid w:val="348C865C"/>
    <w:rsid w:val="348D72DE"/>
    <w:rsid w:val="3492227D"/>
    <w:rsid w:val="34A5C8E3"/>
    <w:rsid w:val="34A61441"/>
    <w:rsid w:val="34A95A81"/>
    <w:rsid w:val="34AB6FC5"/>
    <w:rsid w:val="34ACED18"/>
    <w:rsid w:val="34B9AFD5"/>
    <w:rsid w:val="34BA4FCD"/>
    <w:rsid w:val="34BC8D4C"/>
    <w:rsid w:val="34BE64A5"/>
    <w:rsid w:val="34C47832"/>
    <w:rsid w:val="34CCDE7A"/>
    <w:rsid w:val="34CEA2BC"/>
    <w:rsid w:val="34DAF9BD"/>
    <w:rsid w:val="34DF5E23"/>
    <w:rsid w:val="34E3AFB3"/>
    <w:rsid w:val="34EC4B05"/>
    <w:rsid w:val="34EE9624"/>
    <w:rsid w:val="34F0F5A7"/>
    <w:rsid w:val="34F4B590"/>
    <w:rsid w:val="34FE498F"/>
    <w:rsid w:val="34FE89CA"/>
    <w:rsid w:val="35033A9D"/>
    <w:rsid w:val="3509EF10"/>
    <w:rsid w:val="350B054D"/>
    <w:rsid w:val="350FDB23"/>
    <w:rsid w:val="351065BD"/>
    <w:rsid w:val="3510A02C"/>
    <w:rsid w:val="351B29E7"/>
    <w:rsid w:val="351FDEB3"/>
    <w:rsid w:val="351FE698"/>
    <w:rsid w:val="35204FB3"/>
    <w:rsid w:val="35255131"/>
    <w:rsid w:val="352CC2EA"/>
    <w:rsid w:val="352F4BB4"/>
    <w:rsid w:val="353BA700"/>
    <w:rsid w:val="353CA683"/>
    <w:rsid w:val="353F1F4E"/>
    <w:rsid w:val="3540E196"/>
    <w:rsid w:val="354ACA12"/>
    <w:rsid w:val="3551CD3C"/>
    <w:rsid w:val="3553CBE4"/>
    <w:rsid w:val="35552DE0"/>
    <w:rsid w:val="356294F2"/>
    <w:rsid w:val="35638C76"/>
    <w:rsid w:val="356712AA"/>
    <w:rsid w:val="356F8108"/>
    <w:rsid w:val="356FD4B5"/>
    <w:rsid w:val="3570D0E4"/>
    <w:rsid w:val="357F5A93"/>
    <w:rsid w:val="35805B6E"/>
    <w:rsid w:val="35816FDA"/>
    <w:rsid w:val="35864381"/>
    <w:rsid w:val="35883D61"/>
    <w:rsid w:val="3589FDA6"/>
    <w:rsid w:val="35959FD3"/>
    <w:rsid w:val="3598936C"/>
    <w:rsid w:val="359CEB02"/>
    <w:rsid w:val="359F1BAE"/>
    <w:rsid w:val="35B28019"/>
    <w:rsid w:val="35B660B1"/>
    <w:rsid w:val="35B74774"/>
    <w:rsid w:val="35BADEBB"/>
    <w:rsid w:val="35BD3B8F"/>
    <w:rsid w:val="35C03A70"/>
    <w:rsid w:val="35C55D1D"/>
    <w:rsid w:val="35C7D24D"/>
    <w:rsid w:val="35C880A1"/>
    <w:rsid w:val="35CAC7A5"/>
    <w:rsid w:val="35D32116"/>
    <w:rsid w:val="35D6B905"/>
    <w:rsid w:val="35D81944"/>
    <w:rsid w:val="35EA25B8"/>
    <w:rsid w:val="35FAE3A3"/>
    <w:rsid w:val="35FD5AE1"/>
    <w:rsid w:val="36021748"/>
    <w:rsid w:val="360D2B8A"/>
    <w:rsid w:val="36126DAE"/>
    <w:rsid w:val="361435E6"/>
    <w:rsid w:val="3615D359"/>
    <w:rsid w:val="361D2929"/>
    <w:rsid w:val="3620545C"/>
    <w:rsid w:val="3624CC23"/>
    <w:rsid w:val="362890B6"/>
    <w:rsid w:val="362E0DBC"/>
    <w:rsid w:val="36394DC1"/>
    <w:rsid w:val="363A9201"/>
    <w:rsid w:val="363F272C"/>
    <w:rsid w:val="3644002C"/>
    <w:rsid w:val="3648F6D2"/>
    <w:rsid w:val="365C947F"/>
    <w:rsid w:val="365D8423"/>
    <w:rsid w:val="36625BF9"/>
    <w:rsid w:val="3662BB25"/>
    <w:rsid w:val="366E6AEC"/>
    <w:rsid w:val="36722EA3"/>
    <w:rsid w:val="36749A07"/>
    <w:rsid w:val="36773C5E"/>
    <w:rsid w:val="367C2CCD"/>
    <w:rsid w:val="36838788"/>
    <w:rsid w:val="3683B287"/>
    <w:rsid w:val="3686A7DF"/>
    <w:rsid w:val="368A051A"/>
    <w:rsid w:val="369C3134"/>
    <w:rsid w:val="36A75A11"/>
    <w:rsid w:val="36AAE53A"/>
    <w:rsid w:val="36AC41AA"/>
    <w:rsid w:val="36AF06C9"/>
    <w:rsid w:val="36B0E38F"/>
    <w:rsid w:val="36B729B5"/>
    <w:rsid w:val="36B8BA40"/>
    <w:rsid w:val="36C5CB05"/>
    <w:rsid w:val="36C6A319"/>
    <w:rsid w:val="36CA1428"/>
    <w:rsid w:val="36D0642B"/>
    <w:rsid w:val="36D7AE22"/>
    <w:rsid w:val="36ED7511"/>
    <w:rsid w:val="36F06BB1"/>
    <w:rsid w:val="36F28C55"/>
    <w:rsid w:val="36F2C3B4"/>
    <w:rsid w:val="36F97D84"/>
    <w:rsid w:val="36FA1B61"/>
    <w:rsid w:val="36FA611E"/>
    <w:rsid w:val="36FDCC39"/>
    <w:rsid w:val="3702270A"/>
    <w:rsid w:val="37023918"/>
    <w:rsid w:val="370399CB"/>
    <w:rsid w:val="370630D5"/>
    <w:rsid w:val="370F39AE"/>
    <w:rsid w:val="371BBCFD"/>
    <w:rsid w:val="37277436"/>
    <w:rsid w:val="37370F01"/>
    <w:rsid w:val="3739766D"/>
    <w:rsid w:val="373AA486"/>
    <w:rsid w:val="374259C6"/>
    <w:rsid w:val="37492BAC"/>
    <w:rsid w:val="374B14D1"/>
    <w:rsid w:val="374DF283"/>
    <w:rsid w:val="3750CD84"/>
    <w:rsid w:val="375A1F38"/>
    <w:rsid w:val="3763A647"/>
    <w:rsid w:val="376828CE"/>
    <w:rsid w:val="3768BFEE"/>
    <w:rsid w:val="376A27B2"/>
    <w:rsid w:val="376A7F6F"/>
    <w:rsid w:val="376FDC72"/>
    <w:rsid w:val="3779899F"/>
    <w:rsid w:val="377CA5DC"/>
    <w:rsid w:val="378A3A16"/>
    <w:rsid w:val="378D4F6A"/>
    <w:rsid w:val="37989F68"/>
    <w:rsid w:val="37A34157"/>
    <w:rsid w:val="37A594D9"/>
    <w:rsid w:val="37A8D399"/>
    <w:rsid w:val="37AB737F"/>
    <w:rsid w:val="37AE0BBD"/>
    <w:rsid w:val="37B0166C"/>
    <w:rsid w:val="37B5D5B3"/>
    <w:rsid w:val="37B5F260"/>
    <w:rsid w:val="37B6919B"/>
    <w:rsid w:val="37C364BE"/>
    <w:rsid w:val="37CAEE23"/>
    <w:rsid w:val="37CB16CF"/>
    <w:rsid w:val="37CD79D6"/>
    <w:rsid w:val="37D70EB5"/>
    <w:rsid w:val="37D8ADA2"/>
    <w:rsid w:val="37DA7E9A"/>
    <w:rsid w:val="37FBDB68"/>
    <w:rsid w:val="3800D8F4"/>
    <w:rsid w:val="38022889"/>
    <w:rsid w:val="3808572B"/>
    <w:rsid w:val="380A4781"/>
    <w:rsid w:val="380DEE35"/>
    <w:rsid w:val="380F60D6"/>
    <w:rsid w:val="3812AC1B"/>
    <w:rsid w:val="3813498D"/>
    <w:rsid w:val="381999EB"/>
    <w:rsid w:val="381A637C"/>
    <w:rsid w:val="381AC088"/>
    <w:rsid w:val="381D4569"/>
    <w:rsid w:val="38222C8F"/>
    <w:rsid w:val="38249BD3"/>
    <w:rsid w:val="38275547"/>
    <w:rsid w:val="382CFAEB"/>
    <w:rsid w:val="382EF207"/>
    <w:rsid w:val="38323C6D"/>
    <w:rsid w:val="3833EEA2"/>
    <w:rsid w:val="38398BB6"/>
    <w:rsid w:val="383BE5CD"/>
    <w:rsid w:val="38578478"/>
    <w:rsid w:val="38594594"/>
    <w:rsid w:val="3869E788"/>
    <w:rsid w:val="3869F743"/>
    <w:rsid w:val="38712CBA"/>
    <w:rsid w:val="3876C010"/>
    <w:rsid w:val="3882DBF9"/>
    <w:rsid w:val="388418E7"/>
    <w:rsid w:val="38896DFE"/>
    <w:rsid w:val="388A45C9"/>
    <w:rsid w:val="389D6D8C"/>
    <w:rsid w:val="389F3688"/>
    <w:rsid w:val="38AB58FC"/>
    <w:rsid w:val="38AB7CB7"/>
    <w:rsid w:val="38AC0273"/>
    <w:rsid w:val="38CA42ED"/>
    <w:rsid w:val="38D65BA8"/>
    <w:rsid w:val="38D74F6A"/>
    <w:rsid w:val="38D8460D"/>
    <w:rsid w:val="38D88B0F"/>
    <w:rsid w:val="38DA0FE1"/>
    <w:rsid w:val="38DD94CA"/>
    <w:rsid w:val="38E1E854"/>
    <w:rsid w:val="38E2369A"/>
    <w:rsid w:val="38E452D8"/>
    <w:rsid w:val="38E74478"/>
    <w:rsid w:val="38E95A44"/>
    <w:rsid w:val="38F561F3"/>
    <w:rsid w:val="38FA47F5"/>
    <w:rsid w:val="38FC9B75"/>
    <w:rsid w:val="39086099"/>
    <w:rsid w:val="3908B6FC"/>
    <w:rsid w:val="3909B52A"/>
    <w:rsid w:val="390E9DD5"/>
    <w:rsid w:val="3915C549"/>
    <w:rsid w:val="391C1953"/>
    <w:rsid w:val="39255D6D"/>
    <w:rsid w:val="39269D63"/>
    <w:rsid w:val="3928FB12"/>
    <w:rsid w:val="392C1405"/>
    <w:rsid w:val="39300EA0"/>
    <w:rsid w:val="39303495"/>
    <w:rsid w:val="39358FAC"/>
    <w:rsid w:val="393C11C8"/>
    <w:rsid w:val="394457B9"/>
    <w:rsid w:val="3944EDEA"/>
    <w:rsid w:val="3946B029"/>
    <w:rsid w:val="3947DCF3"/>
    <w:rsid w:val="395069F5"/>
    <w:rsid w:val="3955DD01"/>
    <w:rsid w:val="39562BBB"/>
    <w:rsid w:val="395F6007"/>
    <w:rsid w:val="39617EB7"/>
    <w:rsid w:val="396F097D"/>
    <w:rsid w:val="39724D40"/>
    <w:rsid w:val="3973321B"/>
    <w:rsid w:val="3973FA76"/>
    <w:rsid w:val="397649B1"/>
    <w:rsid w:val="39782FDB"/>
    <w:rsid w:val="3979E9CD"/>
    <w:rsid w:val="397AB614"/>
    <w:rsid w:val="397D8624"/>
    <w:rsid w:val="398A5DBE"/>
    <w:rsid w:val="399530C5"/>
    <w:rsid w:val="399E4F4C"/>
    <w:rsid w:val="399F337E"/>
    <w:rsid w:val="399F3510"/>
    <w:rsid w:val="39A2E8BC"/>
    <w:rsid w:val="39ACDDC4"/>
    <w:rsid w:val="39AEB5D4"/>
    <w:rsid w:val="39B1D41E"/>
    <w:rsid w:val="39B24B39"/>
    <w:rsid w:val="39B36F82"/>
    <w:rsid w:val="39B82C07"/>
    <w:rsid w:val="39B92C24"/>
    <w:rsid w:val="39BAC00A"/>
    <w:rsid w:val="39BB5D65"/>
    <w:rsid w:val="39BC728F"/>
    <w:rsid w:val="39BDEB3E"/>
    <w:rsid w:val="39CABA0F"/>
    <w:rsid w:val="39D2B4B6"/>
    <w:rsid w:val="39D3D04C"/>
    <w:rsid w:val="39FB8F73"/>
    <w:rsid w:val="3A04C3F6"/>
    <w:rsid w:val="3A057628"/>
    <w:rsid w:val="3A064CE3"/>
    <w:rsid w:val="3A102E49"/>
    <w:rsid w:val="3A270F1B"/>
    <w:rsid w:val="3A326FA8"/>
    <w:rsid w:val="3A3498BC"/>
    <w:rsid w:val="3A3A5F44"/>
    <w:rsid w:val="3A3B48BE"/>
    <w:rsid w:val="3A3D4C7D"/>
    <w:rsid w:val="3A3DCDAE"/>
    <w:rsid w:val="3A4ADF2B"/>
    <w:rsid w:val="3A5167A0"/>
    <w:rsid w:val="3A524683"/>
    <w:rsid w:val="3A5271A7"/>
    <w:rsid w:val="3A54C6C5"/>
    <w:rsid w:val="3A561913"/>
    <w:rsid w:val="3A564C19"/>
    <w:rsid w:val="3A5AD7D7"/>
    <w:rsid w:val="3A5E7A51"/>
    <w:rsid w:val="3A614456"/>
    <w:rsid w:val="3A62FC25"/>
    <w:rsid w:val="3A668E3D"/>
    <w:rsid w:val="3A690A86"/>
    <w:rsid w:val="3A735A80"/>
    <w:rsid w:val="3A745DA7"/>
    <w:rsid w:val="3A7DC2FC"/>
    <w:rsid w:val="3A81ACA3"/>
    <w:rsid w:val="3A8A43F6"/>
    <w:rsid w:val="3A8A822A"/>
    <w:rsid w:val="3A8E3EEB"/>
    <w:rsid w:val="3A8E5711"/>
    <w:rsid w:val="3A92A84A"/>
    <w:rsid w:val="3A96BEA3"/>
    <w:rsid w:val="3A985D2C"/>
    <w:rsid w:val="3A9C4DC0"/>
    <w:rsid w:val="3A9D1356"/>
    <w:rsid w:val="3AA6F9AB"/>
    <w:rsid w:val="3AAEB545"/>
    <w:rsid w:val="3AB167B9"/>
    <w:rsid w:val="3AB1E6A7"/>
    <w:rsid w:val="3AB22785"/>
    <w:rsid w:val="3AB24209"/>
    <w:rsid w:val="3AC0AD80"/>
    <w:rsid w:val="3AC28657"/>
    <w:rsid w:val="3ACB865C"/>
    <w:rsid w:val="3ACD8C4F"/>
    <w:rsid w:val="3ACFD373"/>
    <w:rsid w:val="3ADD8AE4"/>
    <w:rsid w:val="3ADED596"/>
    <w:rsid w:val="3ADF6F79"/>
    <w:rsid w:val="3AE27AFC"/>
    <w:rsid w:val="3AE30D37"/>
    <w:rsid w:val="3AED1B2C"/>
    <w:rsid w:val="3AF5A850"/>
    <w:rsid w:val="3AF5ED7E"/>
    <w:rsid w:val="3AF688D1"/>
    <w:rsid w:val="3AF8C08F"/>
    <w:rsid w:val="3AFC3CE9"/>
    <w:rsid w:val="3AFDD469"/>
    <w:rsid w:val="3AFE48F2"/>
    <w:rsid w:val="3B05CE8C"/>
    <w:rsid w:val="3B0600B0"/>
    <w:rsid w:val="3B0ADEB8"/>
    <w:rsid w:val="3B113E73"/>
    <w:rsid w:val="3B12FAFF"/>
    <w:rsid w:val="3B147470"/>
    <w:rsid w:val="3B1591DD"/>
    <w:rsid w:val="3B17B1C9"/>
    <w:rsid w:val="3B18A605"/>
    <w:rsid w:val="3B1B118C"/>
    <w:rsid w:val="3B1D2DEF"/>
    <w:rsid w:val="3B1DABD5"/>
    <w:rsid w:val="3B25C3C6"/>
    <w:rsid w:val="3B29FACD"/>
    <w:rsid w:val="3B2E5692"/>
    <w:rsid w:val="3B32AD5E"/>
    <w:rsid w:val="3B33EA8A"/>
    <w:rsid w:val="3B36A680"/>
    <w:rsid w:val="3B384C25"/>
    <w:rsid w:val="3B3C5DE8"/>
    <w:rsid w:val="3B435477"/>
    <w:rsid w:val="3B5F9F8D"/>
    <w:rsid w:val="3B65A4E2"/>
    <w:rsid w:val="3B67BF07"/>
    <w:rsid w:val="3B6D032D"/>
    <w:rsid w:val="3B77C0D3"/>
    <w:rsid w:val="3B86FD4A"/>
    <w:rsid w:val="3B88699B"/>
    <w:rsid w:val="3B92E1BB"/>
    <w:rsid w:val="3B9754D3"/>
    <w:rsid w:val="3B9819A4"/>
    <w:rsid w:val="3B98B37D"/>
    <w:rsid w:val="3BA4C4DA"/>
    <w:rsid w:val="3BB2A806"/>
    <w:rsid w:val="3BB4D711"/>
    <w:rsid w:val="3BB70567"/>
    <w:rsid w:val="3BCCA956"/>
    <w:rsid w:val="3BD00363"/>
    <w:rsid w:val="3BD462FC"/>
    <w:rsid w:val="3BD46FD1"/>
    <w:rsid w:val="3BD4EB3A"/>
    <w:rsid w:val="3BDB8801"/>
    <w:rsid w:val="3BE4460E"/>
    <w:rsid w:val="3BE9253E"/>
    <w:rsid w:val="3BF12643"/>
    <w:rsid w:val="3BF90E18"/>
    <w:rsid w:val="3BFA6805"/>
    <w:rsid w:val="3BFB07DE"/>
    <w:rsid w:val="3BFEBA36"/>
    <w:rsid w:val="3BFF4F9B"/>
    <w:rsid w:val="3C08DA0F"/>
    <w:rsid w:val="3C15D03A"/>
    <w:rsid w:val="3C168410"/>
    <w:rsid w:val="3C17DAF3"/>
    <w:rsid w:val="3C28D5F7"/>
    <w:rsid w:val="3C299908"/>
    <w:rsid w:val="3C2D985F"/>
    <w:rsid w:val="3C2DCA14"/>
    <w:rsid w:val="3C309EA9"/>
    <w:rsid w:val="3C399C11"/>
    <w:rsid w:val="3C3FAAEA"/>
    <w:rsid w:val="3C467F34"/>
    <w:rsid w:val="3C4C5BCF"/>
    <w:rsid w:val="3C4D7FB4"/>
    <w:rsid w:val="3C4F157D"/>
    <w:rsid w:val="3C510BE8"/>
    <w:rsid w:val="3C5332F1"/>
    <w:rsid w:val="3C5A1417"/>
    <w:rsid w:val="3C5A880F"/>
    <w:rsid w:val="3C5D5A05"/>
    <w:rsid w:val="3C63700D"/>
    <w:rsid w:val="3C682E97"/>
    <w:rsid w:val="3C779780"/>
    <w:rsid w:val="3C7E6D6F"/>
    <w:rsid w:val="3C7E8F78"/>
    <w:rsid w:val="3C809783"/>
    <w:rsid w:val="3C830CCB"/>
    <w:rsid w:val="3C84E0FB"/>
    <w:rsid w:val="3C8EF280"/>
    <w:rsid w:val="3C9DFA35"/>
    <w:rsid w:val="3C9E41B3"/>
    <w:rsid w:val="3C9E8248"/>
    <w:rsid w:val="3C9F318C"/>
    <w:rsid w:val="3CA9609D"/>
    <w:rsid w:val="3CAB917F"/>
    <w:rsid w:val="3CABC79D"/>
    <w:rsid w:val="3CACA2D1"/>
    <w:rsid w:val="3CAE87DF"/>
    <w:rsid w:val="3CB41178"/>
    <w:rsid w:val="3CB4450C"/>
    <w:rsid w:val="3CB6E311"/>
    <w:rsid w:val="3CBBFA85"/>
    <w:rsid w:val="3CD15B52"/>
    <w:rsid w:val="3CDC2D44"/>
    <w:rsid w:val="3CDE2211"/>
    <w:rsid w:val="3CE0836C"/>
    <w:rsid w:val="3CE3C2C2"/>
    <w:rsid w:val="3CE7C57B"/>
    <w:rsid w:val="3CF29D2C"/>
    <w:rsid w:val="3CF82D0C"/>
    <w:rsid w:val="3CF8ACE7"/>
    <w:rsid w:val="3D03D2DA"/>
    <w:rsid w:val="3D0CA888"/>
    <w:rsid w:val="3D0D6AB3"/>
    <w:rsid w:val="3D140572"/>
    <w:rsid w:val="3D151870"/>
    <w:rsid w:val="3D20F35F"/>
    <w:rsid w:val="3D2512A7"/>
    <w:rsid w:val="3D2E55D9"/>
    <w:rsid w:val="3D2F7CEB"/>
    <w:rsid w:val="3D2FA367"/>
    <w:rsid w:val="3D308231"/>
    <w:rsid w:val="3D336EE1"/>
    <w:rsid w:val="3D38E6EF"/>
    <w:rsid w:val="3D3A740B"/>
    <w:rsid w:val="3D3C5C63"/>
    <w:rsid w:val="3D3D32A0"/>
    <w:rsid w:val="3D3F17CE"/>
    <w:rsid w:val="3D430E99"/>
    <w:rsid w:val="3D508677"/>
    <w:rsid w:val="3D5ED0C7"/>
    <w:rsid w:val="3D5F4EA5"/>
    <w:rsid w:val="3D60597D"/>
    <w:rsid w:val="3D60B1E0"/>
    <w:rsid w:val="3D638FDB"/>
    <w:rsid w:val="3D682908"/>
    <w:rsid w:val="3D782F4F"/>
    <w:rsid w:val="3D82B573"/>
    <w:rsid w:val="3D89175F"/>
    <w:rsid w:val="3D8E688B"/>
    <w:rsid w:val="3D8E6E34"/>
    <w:rsid w:val="3D936FFE"/>
    <w:rsid w:val="3D98B668"/>
    <w:rsid w:val="3D99AAA9"/>
    <w:rsid w:val="3D9BCD27"/>
    <w:rsid w:val="3DA8CEA7"/>
    <w:rsid w:val="3DA9161D"/>
    <w:rsid w:val="3DBEE176"/>
    <w:rsid w:val="3DC87F9A"/>
    <w:rsid w:val="3DCB56C3"/>
    <w:rsid w:val="3DCB6A42"/>
    <w:rsid w:val="3DD71E0E"/>
    <w:rsid w:val="3DD74650"/>
    <w:rsid w:val="3DD77465"/>
    <w:rsid w:val="3DF18FD7"/>
    <w:rsid w:val="3DFFB87F"/>
    <w:rsid w:val="3E010556"/>
    <w:rsid w:val="3E049879"/>
    <w:rsid w:val="3E16ABC9"/>
    <w:rsid w:val="3E179C2C"/>
    <w:rsid w:val="3E21ECB2"/>
    <w:rsid w:val="3E26BC3A"/>
    <w:rsid w:val="3E278E7E"/>
    <w:rsid w:val="3E2EAE0A"/>
    <w:rsid w:val="3E2F4C58"/>
    <w:rsid w:val="3E305637"/>
    <w:rsid w:val="3E370D1F"/>
    <w:rsid w:val="3E37F906"/>
    <w:rsid w:val="3E389F45"/>
    <w:rsid w:val="3E46EE9D"/>
    <w:rsid w:val="3E51CB93"/>
    <w:rsid w:val="3E58A3A2"/>
    <w:rsid w:val="3E5BE1D8"/>
    <w:rsid w:val="3E5E2DB4"/>
    <w:rsid w:val="3E6004AD"/>
    <w:rsid w:val="3E60B2E1"/>
    <w:rsid w:val="3E7664D5"/>
    <w:rsid w:val="3E7BF385"/>
    <w:rsid w:val="3E7F06E1"/>
    <w:rsid w:val="3E8412F4"/>
    <w:rsid w:val="3E845EED"/>
    <w:rsid w:val="3E86828E"/>
    <w:rsid w:val="3E871239"/>
    <w:rsid w:val="3E997906"/>
    <w:rsid w:val="3E9A03DC"/>
    <w:rsid w:val="3E9B1E97"/>
    <w:rsid w:val="3E9F1CF3"/>
    <w:rsid w:val="3E9FF6EC"/>
    <w:rsid w:val="3EA02A1A"/>
    <w:rsid w:val="3EA44462"/>
    <w:rsid w:val="3EA82625"/>
    <w:rsid w:val="3EA93B14"/>
    <w:rsid w:val="3EB47B9E"/>
    <w:rsid w:val="3EBDCBB1"/>
    <w:rsid w:val="3ED2682C"/>
    <w:rsid w:val="3ED764E2"/>
    <w:rsid w:val="3EE39D8F"/>
    <w:rsid w:val="3EE5388F"/>
    <w:rsid w:val="3EED91E8"/>
    <w:rsid w:val="3EEF0195"/>
    <w:rsid w:val="3EF2577E"/>
    <w:rsid w:val="3EF34F39"/>
    <w:rsid w:val="3EF4E16D"/>
    <w:rsid w:val="3EF5D832"/>
    <w:rsid w:val="3EF7771B"/>
    <w:rsid w:val="3EF8B575"/>
    <w:rsid w:val="3F03CEED"/>
    <w:rsid w:val="3F05377D"/>
    <w:rsid w:val="3F0543DA"/>
    <w:rsid w:val="3F0D96C4"/>
    <w:rsid w:val="3F1D600C"/>
    <w:rsid w:val="3F27EF97"/>
    <w:rsid w:val="3F2AE632"/>
    <w:rsid w:val="3F2F1F08"/>
    <w:rsid w:val="3F3B9158"/>
    <w:rsid w:val="3F462DA0"/>
    <w:rsid w:val="3F4980B7"/>
    <w:rsid w:val="3F4DF152"/>
    <w:rsid w:val="3F4ECD8D"/>
    <w:rsid w:val="3F50CA9B"/>
    <w:rsid w:val="3F5AA6DA"/>
    <w:rsid w:val="3F69599D"/>
    <w:rsid w:val="3F711636"/>
    <w:rsid w:val="3F863CC3"/>
    <w:rsid w:val="3F8C633C"/>
    <w:rsid w:val="3F91FAA0"/>
    <w:rsid w:val="3F9B0304"/>
    <w:rsid w:val="3F9D7179"/>
    <w:rsid w:val="3FA1FFB7"/>
    <w:rsid w:val="3FA41AFA"/>
    <w:rsid w:val="3FA4DEEB"/>
    <w:rsid w:val="3FB9722C"/>
    <w:rsid w:val="3FBAE709"/>
    <w:rsid w:val="3FBBDD8B"/>
    <w:rsid w:val="3FBC1A92"/>
    <w:rsid w:val="3FBCFC79"/>
    <w:rsid w:val="3FC53A5F"/>
    <w:rsid w:val="3FCAE2E5"/>
    <w:rsid w:val="3FD6CE4A"/>
    <w:rsid w:val="3FD79218"/>
    <w:rsid w:val="3FD796D1"/>
    <w:rsid w:val="3FD85712"/>
    <w:rsid w:val="3FE4F4DD"/>
    <w:rsid w:val="3FEA6945"/>
    <w:rsid w:val="3FEB5847"/>
    <w:rsid w:val="3FED277E"/>
    <w:rsid w:val="3FF1A417"/>
    <w:rsid w:val="3FF5DB07"/>
    <w:rsid w:val="3FF9206A"/>
    <w:rsid w:val="3FFFF091"/>
    <w:rsid w:val="4003965C"/>
    <w:rsid w:val="4003AD84"/>
    <w:rsid w:val="4003BE69"/>
    <w:rsid w:val="40058AC3"/>
    <w:rsid w:val="4007569B"/>
    <w:rsid w:val="400D99DE"/>
    <w:rsid w:val="401F0E3E"/>
    <w:rsid w:val="402118E3"/>
    <w:rsid w:val="40299491"/>
    <w:rsid w:val="402B7287"/>
    <w:rsid w:val="4039CC2F"/>
    <w:rsid w:val="403C3B33"/>
    <w:rsid w:val="40524987"/>
    <w:rsid w:val="405DB391"/>
    <w:rsid w:val="405F4787"/>
    <w:rsid w:val="40603C54"/>
    <w:rsid w:val="4067BBA9"/>
    <w:rsid w:val="4071112F"/>
    <w:rsid w:val="4072878F"/>
    <w:rsid w:val="40828D22"/>
    <w:rsid w:val="4088F178"/>
    <w:rsid w:val="408919DB"/>
    <w:rsid w:val="4094937E"/>
    <w:rsid w:val="40970987"/>
    <w:rsid w:val="409BB6CF"/>
    <w:rsid w:val="409CAF5D"/>
    <w:rsid w:val="409D8311"/>
    <w:rsid w:val="409DDE4E"/>
    <w:rsid w:val="40A15BAE"/>
    <w:rsid w:val="40A437EE"/>
    <w:rsid w:val="40A764E6"/>
    <w:rsid w:val="40AEBCF8"/>
    <w:rsid w:val="40B315FA"/>
    <w:rsid w:val="40B60940"/>
    <w:rsid w:val="40B7C586"/>
    <w:rsid w:val="40B920AD"/>
    <w:rsid w:val="40C6AE2A"/>
    <w:rsid w:val="40C780E1"/>
    <w:rsid w:val="40C89AF1"/>
    <w:rsid w:val="40D0F5C4"/>
    <w:rsid w:val="40D2C844"/>
    <w:rsid w:val="40DC2DF0"/>
    <w:rsid w:val="40E789FE"/>
    <w:rsid w:val="40E836F6"/>
    <w:rsid w:val="40ECA852"/>
    <w:rsid w:val="40EFC3B9"/>
    <w:rsid w:val="40F68C25"/>
    <w:rsid w:val="40F94DB6"/>
    <w:rsid w:val="41028C68"/>
    <w:rsid w:val="41029B07"/>
    <w:rsid w:val="41056BA5"/>
    <w:rsid w:val="4106293D"/>
    <w:rsid w:val="4124BA92"/>
    <w:rsid w:val="41275F0C"/>
    <w:rsid w:val="412A9C65"/>
    <w:rsid w:val="412E7FC4"/>
    <w:rsid w:val="41331F91"/>
    <w:rsid w:val="414040B0"/>
    <w:rsid w:val="41406C89"/>
    <w:rsid w:val="4141CB5D"/>
    <w:rsid w:val="4144D6DD"/>
    <w:rsid w:val="41497263"/>
    <w:rsid w:val="4149BCB5"/>
    <w:rsid w:val="414A9054"/>
    <w:rsid w:val="414CC24A"/>
    <w:rsid w:val="415128CC"/>
    <w:rsid w:val="415408A6"/>
    <w:rsid w:val="41587B1F"/>
    <w:rsid w:val="415F71B8"/>
    <w:rsid w:val="4163028A"/>
    <w:rsid w:val="4166F37A"/>
    <w:rsid w:val="41692443"/>
    <w:rsid w:val="41698657"/>
    <w:rsid w:val="4169DA6B"/>
    <w:rsid w:val="416CB392"/>
    <w:rsid w:val="416EEEC1"/>
    <w:rsid w:val="41721EB5"/>
    <w:rsid w:val="417525A4"/>
    <w:rsid w:val="4176CE83"/>
    <w:rsid w:val="4177D3D5"/>
    <w:rsid w:val="41787973"/>
    <w:rsid w:val="417BB18C"/>
    <w:rsid w:val="417C1530"/>
    <w:rsid w:val="417F307F"/>
    <w:rsid w:val="41854811"/>
    <w:rsid w:val="4186993E"/>
    <w:rsid w:val="4189814E"/>
    <w:rsid w:val="418A1BDD"/>
    <w:rsid w:val="418B3048"/>
    <w:rsid w:val="41916EAD"/>
    <w:rsid w:val="419286F2"/>
    <w:rsid w:val="419B1B9B"/>
    <w:rsid w:val="419D53BF"/>
    <w:rsid w:val="419FFAF8"/>
    <w:rsid w:val="41A84120"/>
    <w:rsid w:val="41A84D25"/>
    <w:rsid w:val="41AC391B"/>
    <w:rsid w:val="41B2F4B0"/>
    <w:rsid w:val="41B7E92E"/>
    <w:rsid w:val="41BD25FB"/>
    <w:rsid w:val="41C95E47"/>
    <w:rsid w:val="41CB64B1"/>
    <w:rsid w:val="41CB9E2F"/>
    <w:rsid w:val="41CEACAF"/>
    <w:rsid w:val="41D0A2AC"/>
    <w:rsid w:val="41D6E69E"/>
    <w:rsid w:val="41DD627C"/>
    <w:rsid w:val="41DDD848"/>
    <w:rsid w:val="41E82004"/>
    <w:rsid w:val="41E8714C"/>
    <w:rsid w:val="41ECBE8B"/>
    <w:rsid w:val="41ED866E"/>
    <w:rsid w:val="41EEF451"/>
    <w:rsid w:val="41EFC3FF"/>
    <w:rsid w:val="41F72CE9"/>
    <w:rsid w:val="41FA0F21"/>
    <w:rsid w:val="41FA755D"/>
    <w:rsid w:val="41FE5BC9"/>
    <w:rsid w:val="42087886"/>
    <w:rsid w:val="420F05A4"/>
    <w:rsid w:val="42179F90"/>
    <w:rsid w:val="4218CCB7"/>
    <w:rsid w:val="42199BBB"/>
    <w:rsid w:val="4219A233"/>
    <w:rsid w:val="422814F5"/>
    <w:rsid w:val="422F6251"/>
    <w:rsid w:val="423330DC"/>
    <w:rsid w:val="423672FC"/>
    <w:rsid w:val="423869CF"/>
    <w:rsid w:val="423A2007"/>
    <w:rsid w:val="423B9343"/>
    <w:rsid w:val="42495E1E"/>
    <w:rsid w:val="42517D22"/>
    <w:rsid w:val="425939CD"/>
    <w:rsid w:val="425B4CD0"/>
    <w:rsid w:val="425CCDB0"/>
    <w:rsid w:val="425E508A"/>
    <w:rsid w:val="42606867"/>
    <w:rsid w:val="426099BF"/>
    <w:rsid w:val="4260C1D0"/>
    <w:rsid w:val="4261F746"/>
    <w:rsid w:val="4262BF0F"/>
    <w:rsid w:val="426B9E22"/>
    <w:rsid w:val="426FC99C"/>
    <w:rsid w:val="42706904"/>
    <w:rsid w:val="42777A09"/>
    <w:rsid w:val="42782F16"/>
    <w:rsid w:val="427AC2CF"/>
    <w:rsid w:val="427C8301"/>
    <w:rsid w:val="4287903A"/>
    <w:rsid w:val="428B3136"/>
    <w:rsid w:val="428B6012"/>
    <w:rsid w:val="428E0268"/>
    <w:rsid w:val="42982A62"/>
    <w:rsid w:val="429BA6ED"/>
    <w:rsid w:val="429C75E2"/>
    <w:rsid w:val="42A42D49"/>
    <w:rsid w:val="42A83C62"/>
    <w:rsid w:val="42A89399"/>
    <w:rsid w:val="42B41903"/>
    <w:rsid w:val="42BD883C"/>
    <w:rsid w:val="42C13217"/>
    <w:rsid w:val="42C54E11"/>
    <w:rsid w:val="42CBFE3C"/>
    <w:rsid w:val="42D52C24"/>
    <w:rsid w:val="42DA3268"/>
    <w:rsid w:val="42DFD817"/>
    <w:rsid w:val="42E0CCAF"/>
    <w:rsid w:val="42E3ECE1"/>
    <w:rsid w:val="42F59EAC"/>
    <w:rsid w:val="42FC9761"/>
    <w:rsid w:val="42FDF4B6"/>
    <w:rsid w:val="42FED81B"/>
    <w:rsid w:val="43001489"/>
    <w:rsid w:val="43025ADA"/>
    <w:rsid w:val="430BA591"/>
    <w:rsid w:val="430CC19F"/>
    <w:rsid w:val="430D3914"/>
    <w:rsid w:val="430EAB39"/>
    <w:rsid w:val="43204CEE"/>
    <w:rsid w:val="432104CD"/>
    <w:rsid w:val="432389C3"/>
    <w:rsid w:val="4323C165"/>
    <w:rsid w:val="4323E066"/>
    <w:rsid w:val="4326629D"/>
    <w:rsid w:val="43267EF1"/>
    <w:rsid w:val="432C6AD7"/>
    <w:rsid w:val="432DE4EB"/>
    <w:rsid w:val="433196A5"/>
    <w:rsid w:val="43353DFF"/>
    <w:rsid w:val="433A1C3D"/>
    <w:rsid w:val="433D271C"/>
    <w:rsid w:val="4343DC0F"/>
    <w:rsid w:val="4344E119"/>
    <w:rsid w:val="4349EAF4"/>
    <w:rsid w:val="434CB08C"/>
    <w:rsid w:val="434DDCC3"/>
    <w:rsid w:val="436575B3"/>
    <w:rsid w:val="4367DE12"/>
    <w:rsid w:val="436BFC3B"/>
    <w:rsid w:val="43724264"/>
    <w:rsid w:val="437285EE"/>
    <w:rsid w:val="437E2E3A"/>
    <w:rsid w:val="43844279"/>
    <w:rsid w:val="43857162"/>
    <w:rsid w:val="4390021F"/>
    <w:rsid w:val="439003A4"/>
    <w:rsid w:val="43906FF4"/>
    <w:rsid w:val="439216AF"/>
    <w:rsid w:val="43939250"/>
    <w:rsid w:val="439585E5"/>
    <w:rsid w:val="43AB525D"/>
    <w:rsid w:val="43AC484F"/>
    <w:rsid w:val="43ACBF15"/>
    <w:rsid w:val="43B06698"/>
    <w:rsid w:val="43B29425"/>
    <w:rsid w:val="43B98250"/>
    <w:rsid w:val="43BE36CD"/>
    <w:rsid w:val="43C68BD0"/>
    <w:rsid w:val="43C82D57"/>
    <w:rsid w:val="43CB8839"/>
    <w:rsid w:val="43CECD2B"/>
    <w:rsid w:val="43D8FDBB"/>
    <w:rsid w:val="43DD1A20"/>
    <w:rsid w:val="43E132D5"/>
    <w:rsid w:val="43E49F61"/>
    <w:rsid w:val="43E51A0B"/>
    <w:rsid w:val="43F0CA27"/>
    <w:rsid w:val="43F8264E"/>
    <w:rsid w:val="43FC5235"/>
    <w:rsid w:val="44010500"/>
    <w:rsid w:val="44047331"/>
    <w:rsid w:val="4406AF5B"/>
    <w:rsid w:val="4407916B"/>
    <w:rsid w:val="440DD754"/>
    <w:rsid w:val="441741A7"/>
    <w:rsid w:val="44274B4D"/>
    <w:rsid w:val="4429C1EE"/>
    <w:rsid w:val="4429F5CD"/>
    <w:rsid w:val="4430EE78"/>
    <w:rsid w:val="4431F7B7"/>
    <w:rsid w:val="443F632F"/>
    <w:rsid w:val="444D39E1"/>
    <w:rsid w:val="4453A285"/>
    <w:rsid w:val="44571B07"/>
    <w:rsid w:val="4459589D"/>
    <w:rsid w:val="445F32AA"/>
    <w:rsid w:val="44616B23"/>
    <w:rsid w:val="44681113"/>
    <w:rsid w:val="44761F4F"/>
    <w:rsid w:val="447F9A58"/>
    <w:rsid w:val="4480794E"/>
    <w:rsid w:val="44815C91"/>
    <w:rsid w:val="44843AA6"/>
    <w:rsid w:val="448D75F5"/>
    <w:rsid w:val="449DA3C1"/>
    <w:rsid w:val="44A9C782"/>
    <w:rsid w:val="44AE30C9"/>
    <w:rsid w:val="44B75081"/>
    <w:rsid w:val="44C04383"/>
    <w:rsid w:val="44C1633C"/>
    <w:rsid w:val="44C39E9C"/>
    <w:rsid w:val="44C9E531"/>
    <w:rsid w:val="44D1E708"/>
    <w:rsid w:val="44D4F71F"/>
    <w:rsid w:val="44D53929"/>
    <w:rsid w:val="44E2F2E3"/>
    <w:rsid w:val="44E47483"/>
    <w:rsid w:val="44EF0A77"/>
    <w:rsid w:val="44F8B5B7"/>
    <w:rsid w:val="44FA1E8F"/>
    <w:rsid w:val="44FAB3E2"/>
    <w:rsid w:val="44FBFFA5"/>
    <w:rsid w:val="44FC7D41"/>
    <w:rsid w:val="4500773F"/>
    <w:rsid w:val="4502188E"/>
    <w:rsid w:val="450A8E57"/>
    <w:rsid w:val="450B1901"/>
    <w:rsid w:val="450B7896"/>
    <w:rsid w:val="450CB52B"/>
    <w:rsid w:val="45106545"/>
    <w:rsid w:val="4510884F"/>
    <w:rsid w:val="4510CAC0"/>
    <w:rsid w:val="45141C98"/>
    <w:rsid w:val="4515E88C"/>
    <w:rsid w:val="451EF7C1"/>
    <w:rsid w:val="451F80EC"/>
    <w:rsid w:val="452012DA"/>
    <w:rsid w:val="4521CE86"/>
    <w:rsid w:val="45281903"/>
    <w:rsid w:val="452AC970"/>
    <w:rsid w:val="45318B2D"/>
    <w:rsid w:val="4531B536"/>
    <w:rsid w:val="4534A392"/>
    <w:rsid w:val="4536A9E3"/>
    <w:rsid w:val="454692F2"/>
    <w:rsid w:val="454CEA9A"/>
    <w:rsid w:val="4551A332"/>
    <w:rsid w:val="4551ABC6"/>
    <w:rsid w:val="4551BE2B"/>
    <w:rsid w:val="4551D084"/>
    <w:rsid w:val="455582C3"/>
    <w:rsid w:val="455A0C4C"/>
    <w:rsid w:val="455B048B"/>
    <w:rsid w:val="455DC1E8"/>
    <w:rsid w:val="455FC745"/>
    <w:rsid w:val="456CD022"/>
    <w:rsid w:val="456D4F0F"/>
    <w:rsid w:val="4570DD38"/>
    <w:rsid w:val="45970943"/>
    <w:rsid w:val="459ACDD0"/>
    <w:rsid w:val="459C9544"/>
    <w:rsid w:val="45A9D07F"/>
    <w:rsid w:val="45AAD973"/>
    <w:rsid w:val="45B0928B"/>
    <w:rsid w:val="45B1C1E4"/>
    <w:rsid w:val="45BA2680"/>
    <w:rsid w:val="45BFC287"/>
    <w:rsid w:val="45C7A942"/>
    <w:rsid w:val="45C93612"/>
    <w:rsid w:val="45C9DF3C"/>
    <w:rsid w:val="45D18F55"/>
    <w:rsid w:val="45D2C0FC"/>
    <w:rsid w:val="45D42E83"/>
    <w:rsid w:val="45DF3900"/>
    <w:rsid w:val="45E7C5FA"/>
    <w:rsid w:val="45EA0801"/>
    <w:rsid w:val="45EBB006"/>
    <w:rsid w:val="45F27F0D"/>
    <w:rsid w:val="45F2EEDE"/>
    <w:rsid w:val="45F528FE"/>
    <w:rsid w:val="45F560D7"/>
    <w:rsid w:val="460376CC"/>
    <w:rsid w:val="46049CCE"/>
    <w:rsid w:val="4604A387"/>
    <w:rsid w:val="46057DB7"/>
    <w:rsid w:val="4607A992"/>
    <w:rsid w:val="4607E9AD"/>
    <w:rsid w:val="460828C4"/>
    <w:rsid w:val="460A5043"/>
    <w:rsid w:val="460ED7ED"/>
    <w:rsid w:val="4611AC4E"/>
    <w:rsid w:val="4613A0C3"/>
    <w:rsid w:val="461E4FC8"/>
    <w:rsid w:val="462397F7"/>
    <w:rsid w:val="46310A96"/>
    <w:rsid w:val="46335DF3"/>
    <w:rsid w:val="46348FDE"/>
    <w:rsid w:val="4636F820"/>
    <w:rsid w:val="46384EF7"/>
    <w:rsid w:val="4639EE87"/>
    <w:rsid w:val="463A59AB"/>
    <w:rsid w:val="463AADFE"/>
    <w:rsid w:val="463FA92C"/>
    <w:rsid w:val="46463EFB"/>
    <w:rsid w:val="464C68CC"/>
    <w:rsid w:val="465B0CAD"/>
    <w:rsid w:val="467573CB"/>
    <w:rsid w:val="467605C2"/>
    <w:rsid w:val="46778F2B"/>
    <w:rsid w:val="467AE8C0"/>
    <w:rsid w:val="467DA9D3"/>
    <w:rsid w:val="468BBC39"/>
    <w:rsid w:val="468C9478"/>
    <w:rsid w:val="46902A54"/>
    <w:rsid w:val="4694077A"/>
    <w:rsid w:val="469462C8"/>
    <w:rsid w:val="4694984E"/>
    <w:rsid w:val="46967BFD"/>
    <w:rsid w:val="46974D16"/>
    <w:rsid w:val="46994AA0"/>
    <w:rsid w:val="46A11E17"/>
    <w:rsid w:val="46A4026E"/>
    <w:rsid w:val="46A5B98C"/>
    <w:rsid w:val="46A9FC29"/>
    <w:rsid w:val="46AC64A1"/>
    <w:rsid w:val="46B1EBDB"/>
    <w:rsid w:val="46B35B1B"/>
    <w:rsid w:val="46B603DE"/>
    <w:rsid w:val="46C061A3"/>
    <w:rsid w:val="46C88ACD"/>
    <w:rsid w:val="46CEF664"/>
    <w:rsid w:val="46D4E993"/>
    <w:rsid w:val="46D720E9"/>
    <w:rsid w:val="46D95C1B"/>
    <w:rsid w:val="46E11336"/>
    <w:rsid w:val="46E50C76"/>
    <w:rsid w:val="46E99BCD"/>
    <w:rsid w:val="4703DFE9"/>
    <w:rsid w:val="470C7FB1"/>
    <w:rsid w:val="470E0974"/>
    <w:rsid w:val="472997B9"/>
    <w:rsid w:val="472B58AF"/>
    <w:rsid w:val="472FF73D"/>
    <w:rsid w:val="47327773"/>
    <w:rsid w:val="47337650"/>
    <w:rsid w:val="4733C3BF"/>
    <w:rsid w:val="4735A6D4"/>
    <w:rsid w:val="47428BA5"/>
    <w:rsid w:val="47435A86"/>
    <w:rsid w:val="4744F1B9"/>
    <w:rsid w:val="47513972"/>
    <w:rsid w:val="475501FA"/>
    <w:rsid w:val="475A035A"/>
    <w:rsid w:val="475B627B"/>
    <w:rsid w:val="475B86B0"/>
    <w:rsid w:val="475D8619"/>
    <w:rsid w:val="475FB1C8"/>
    <w:rsid w:val="4761EE40"/>
    <w:rsid w:val="4765B508"/>
    <w:rsid w:val="4767C526"/>
    <w:rsid w:val="476D9FC6"/>
    <w:rsid w:val="4772C426"/>
    <w:rsid w:val="47759026"/>
    <w:rsid w:val="4777D26D"/>
    <w:rsid w:val="477D7732"/>
    <w:rsid w:val="47890759"/>
    <w:rsid w:val="478B1E30"/>
    <w:rsid w:val="479C1977"/>
    <w:rsid w:val="47A80FEC"/>
    <w:rsid w:val="47ABB9CF"/>
    <w:rsid w:val="47B6B059"/>
    <w:rsid w:val="47BD6683"/>
    <w:rsid w:val="47C1C6DE"/>
    <w:rsid w:val="47C35A4F"/>
    <w:rsid w:val="47CC68CF"/>
    <w:rsid w:val="47CD9E80"/>
    <w:rsid w:val="47CDBD02"/>
    <w:rsid w:val="47D03B23"/>
    <w:rsid w:val="47D4319B"/>
    <w:rsid w:val="47D52A81"/>
    <w:rsid w:val="47DAFB56"/>
    <w:rsid w:val="47DD5C9A"/>
    <w:rsid w:val="47DFD2B8"/>
    <w:rsid w:val="47E3D8E0"/>
    <w:rsid w:val="47E5C835"/>
    <w:rsid w:val="4801739F"/>
    <w:rsid w:val="48064F16"/>
    <w:rsid w:val="480750C9"/>
    <w:rsid w:val="480862C6"/>
    <w:rsid w:val="480C1FD5"/>
    <w:rsid w:val="4814CC22"/>
    <w:rsid w:val="48272102"/>
    <w:rsid w:val="482922F0"/>
    <w:rsid w:val="48320130"/>
    <w:rsid w:val="483B38CF"/>
    <w:rsid w:val="483C1198"/>
    <w:rsid w:val="483C6529"/>
    <w:rsid w:val="483DFFB6"/>
    <w:rsid w:val="48418B8C"/>
    <w:rsid w:val="4846E1DF"/>
    <w:rsid w:val="48486E6C"/>
    <w:rsid w:val="484AD7BC"/>
    <w:rsid w:val="4866A0EA"/>
    <w:rsid w:val="486DD6A6"/>
    <w:rsid w:val="48749042"/>
    <w:rsid w:val="487BAE43"/>
    <w:rsid w:val="487DD1C0"/>
    <w:rsid w:val="487EB60F"/>
    <w:rsid w:val="4885ECA0"/>
    <w:rsid w:val="4885F83C"/>
    <w:rsid w:val="48882B41"/>
    <w:rsid w:val="48921256"/>
    <w:rsid w:val="48A42B32"/>
    <w:rsid w:val="48AE8ECC"/>
    <w:rsid w:val="48B142C3"/>
    <w:rsid w:val="48B78412"/>
    <w:rsid w:val="48BA070E"/>
    <w:rsid w:val="48BD0086"/>
    <w:rsid w:val="48BE7187"/>
    <w:rsid w:val="48C65A4E"/>
    <w:rsid w:val="48E03F0A"/>
    <w:rsid w:val="48E6D25B"/>
    <w:rsid w:val="48E7506F"/>
    <w:rsid w:val="48F2EC09"/>
    <w:rsid w:val="48FC7498"/>
    <w:rsid w:val="48FD5F38"/>
    <w:rsid w:val="48FEFCAC"/>
    <w:rsid w:val="4902C46E"/>
    <w:rsid w:val="490627CB"/>
    <w:rsid w:val="49071792"/>
    <w:rsid w:val="49146729"/>
    <w:rsid w:val="4917CB97"/>
    <w:rsid w:val="491B7F98"/>
    <w:rsid w:val="491F78DC"/>
    <w:rsid w:val="49225876"/>
    <w:rsid w:val="4924AF6B"/>
    <w:rsid w:val="4925E59C"/>
    <w:rsid w:val="4925F2A3"/>
    <w:rsid w:val="492671EE"/>
    <w:rsid w:val="4926EE6B"/>
    <w:rsid w:val="492A475F"/>
    <w:rsid w:val="492D7B2C"/>
    <w:rsid w:val="49301C97"/>
    <w:rsid w:val="4934753D"/>
    <w:rsid w:val="493D8A4E"/>
    <w:rsid w:val="4941E852"/>
    <w:rsid w:val="49511E5F"/>
    <w:rsid w:val="49605472"/>
    <w:rsid w:val="4966D8B0"/>
    <w:rsid w:val="4975D3C0"/>
    <w:rsid w:val="497D07B9"/>
    <w:rsid w:val="4981EF48"/>
    <w:rsid w:val="498B0EE5"/>
    <w:rsid w:val="49927529"/>
    <w:rsid w:val="49940A18"/>
    <w:rsid w:val="49982E41"/>
    <w:rsid w:val="499E3FF7"/>
    <w:rsid w:val="49A3EA42"/>
    <w:rsid w:val="49A8DFF6"/>
    <w:rsid w:val="49AC6E4D"/>
    <w:rsid w:val="49AD73C0"/>
    <w:rsid w:val="49AF2C53"/>
    <w:rsid w:val="49B4514C"/>
    <w:rsid w:val="49B883ED"/>
    <w:rsid w:val="49C1DEB5"/>
    <w:rsid w:val="49C7B5D8"/>
    <w:rsid w:val="49D15F55"/>
    <w:rsid w:val="49D5D3F7"/>
    <w:rsid w:val="49D72752"/>
    <w:rsid w:val="49D992BE"/>
    <w:rsid w:val="49F068CF"/>
    <w:rsid w:val="49F5ED11"/>
    <w:rsid w:val="49F69030"/>
    <w:rsid w:val="49FADB53"/>
    <w:rsid w:val="49FC026D"/>
    <w:rsid w:val="49FD92FD"/>
    <w:rsid w:val="49FF0440"/>
    <w:rsid w:val="49FF986C"/>
    <w:rsid w:val="4A064849"/>
    <w:rsid w:val="4A06C67F"/>
    <w:rsid w:val="4A0D24DD"/>
    <w:rsid w:val="4A0FDA2C"/>
    <w:rsid w:val="4A146F30"/>
    <w:rsid w:val="4A16ED96"/>
    <w:rsid w:val="4A18DA33"/>
    <w:rsid w:val="4A1A1258"/>
    <w:rsid w:val="4A1BD92C"/>
    <w:rsid w:val="4A1C3BB2"/>
    <w:rsid w:val="4A1FBC4E"/>
    <w:rsid w:val="4A20A2BA"/>
    <w:rsid w:val="4A28F0BF"/>
    <w:rsid w:val="4A301FE6"/>
    <w:rsid w:val="4A32BBF1"/>
    <w:rsid w:val="4A336DCA"/>
    <w:rsid w:val="4A40A791"/>
    <w:rsid w:val="4A45600E"/>
    <w:rsid w:val="4A476172"/>
    <w:rsid w:val="4A600D0B"/>
    <w:rsid w:val="4A622AAF"/>
    <w:rsid w:val="4A624BD6"/>
    <w:rsid w:val="4A6BBD84"/>
    <w:rsid w:val="4A77769B"/>
    <w:rsid w:val="4A7F3835"/>
    <w:rsid w:val="4A800803"/>
    <w:rsid w:val="4A87079F"/>
    <w:rsid w:val="4A87C1AE"/>
    <w:rsid w:val="4A93CA4B"/>
    <w:rsid w:val="4A9B82A9"/>
    <w:rsid w:val="4A9BAF4D"/>
    <w:rsid w:val="4AA02FFC"/>
    <w:rsid w:val="4AA165E4"/>
    <w:rsid w:val="4AAB709E"/>
    <w:rsid w:val="4AB078F1"/>
    <w:rsid w:val="4AB0F03A"/>
    <w:rsid w:val="4AB5B5D1"/>
    <w:rsid w:val="4AB5D1DB"/>
    <w:rsid w:val="4ABBB59B"/>
    <w:rsid w:val="4AC1591C"/>
    <w:rsid w:val="4AC3109B"/>
    <w:rsid w:val="4AC31C07"/>
    <w:rsid w:val="4ACBBCF9"/>
    <w:rsid w:val="4ACFF621"/>
    <w:rsid w:val="4ADB1503"/>
    <w:rsid w:val="4ADC0674"/>
    <w:rsid w:val="4AE095EC"/>
    <w:rsid w:val="4AE21285"/>
    <w:rsid w:val="4AE85581"/>
    <w:rsid w:val="4AECE88D"/>
    <w:rsid w:val="4AEE93EB"/>
    <w:rsid w:val="4AF18AEF"/>
    <w:rsid w:val="4AFAA56E"/>
    <w:rsid w:val="4B078507"/>
    <w:rsid w:val="4B0B0E20"/>
    <w:rsid w:val="4B0E0B47"/>
    <w:rsid w:val="4B203A1B"/>
    <w:rsid w:val="4B242076"/>
    <w:rsid w:val="4B25C97D"/>
    <w:rsid w:val="4B2AAE88"/>
    <w:rsid w:val="4B3699EA"/>
    <w:rsid w:val="4B397719"/>
    <w:rsid w:val="4B3A0188"/>
    <w:rsid w:val="4B42BDA4"/>
    <w:rsid w:val="4B4DF203"/>
    <w:rsid w:val="4B5CC9BE"/>
    <w:rsid w:val="4B5FC002"/>
    <w:rsid w:val="4B65979B"/>
    <w:rsid w:val="4B6AEB40"/>
    <w:rsid w:val="4B74AD69"/>
    <w:rsid w:val="4B7C0404"/>
    <w:rsid w:val="4B80A798"/>
    <w:rsid w:val="4B8CFE4A"/>
    <w:rsid w:val="4B91BD72"/>
    <w:rsid w:val="4B91C1C5"/>
    <w:rsid w:val="4B9385BA"/>
    <w:rsid w:val="4B94A887"/>
    <w:rsid w:val="4B94D2E9"/>
    <w:rsid w:val="4B9C7161"/>
    <w:rsid w:val="4BA661F3"/>
    <w:rsid w:val="4BAC3C0F"/>
    <w:rsid w:val="4BB396A2"/>
    <w:rsid w:val="4BC07CC8"/>
    <w:rsid w:val="4BC26C40"/>
    <w:rsid w:val="4BC4CDE9"/>
    <w:rsid w:val="4BD16AC9"/>
    <w:rsid w:val="4BD58571"/>
    <w:rsid w:val="4BD6BF69"/>
    <w:rsid w:val="4BDC76BF"/>
    <w:rsid w:val="4BDFC2C7"/>
    <w:rsid w:val="4BE0E079"/>
    <w:rsid w:val="4BE8A305"/>
    <w:rsid w:val="4BE99663"/>
    <w:rsid w:val="4BEB446C"/>
    <w:rsid w:val="4BF43E39"/>
    <w:rsid w:val="4BFB8362"/>
    <w:rsid w:val="4BFC943E"/>
    <w:rsid w:val="4C010F83"/>
    <w:rsid w:val="4C0266B3"/>
    <w:rsid w:val="4C0CEEB7"/>
    <w:rsid w:val="4C1132FE"/>
    <w:rsid w:val="4C22D8F6"/>
    <w:rsid w:val="4C2577BA"/>
    <w:rsid w:val="4C2770DB"/>
    <w:rsid w:val="4C28BF84"/>
    <w:rsid w:val="4C30F73C"/>
    <w:rsid w:val="4C31BD63"/>
    <w:rsid w:val="4C40E48A"/>
    <w:rsid w:val="4C4670CD"/>
    <w:rsid w:val="4C4E9FA0"/>
    <w:rsid w:val="4C548FC0"/>
    <w:rsid w:val="4C646A82"/>
    <w:rsid w:val="4C649F3A"/>
    <w:rsid w:val="4C72B322"/>
    <w:rsid w:val="4C74BD58"/>
    <w:rsid w:val="4C79F857"/>
    <w:rsid w:val="4C7D049B"/>
    <w:rsid w:val="4C7E2AED"/>
    <w:rsid w:val="4C80211A"/>
    <w:rsid w:val="4C825B4A"/>
    <w:rsid w:val="4C83B5FF"/>
    <w:rsid w:val="4C8981D7"/>
    <w:rsid w:val="4C902F48"/>
    <w:rsid w:val="4C9446BF"/>
    <w:rsid w:val="4C9C0F80"/>
    <w:rsid w:val="4C9F1F32"/>
    <w:rsid w:val="4CA0B8CC"/>
    <w:rsid w:val="4CA6A303"/>
    <w:rsid w:val="4CA6E0CD"/>
    <w:rsid w:val="4CAB46F0"/>
    <w:rsid w:val="4CB0BDE3"/>
    <w:rsid w:val="4CB14E1E"/>
    <w:rsid w:val="4CB69819"/>
    <w:rsid w:val="4CBBA49A"/>
    <w:rsid w:val="4CBF19D8"/>
    <w:rsid w:val="4CC1380E"/>
    <w:rsid w:val="4CC53BF0"/>
    <w:rsid w:val="4CC5B078"/>
    <w:rsid w:val="4CC6A3E7"/>
    <w:rsid w:val="4CC7F2CE"/>
    <w:rsid w:val="4CC8CEC0"/>
    <w:rsid w:val="4CCE5621"/>
    <w:rsid w:val="4CD083D5"/>
    <w:rsid w:val="4CD098E6"/>
    <w:rsid w:val="4CD3EA40"/>
    <w:rsid w:val="4CD5C9A1"/>
    <w:rsid w:val="4CD70261"/>
    <w:rsid w:val="4CD84869"/>
    <w:rsid w:val="4CDA42E7"/>
    <w:rsid w:val="4CDB095D"/>
    <w:rsid w:val="4CDF9FA4"/>
    <w:rsid w:val="4CE5AC59"/>
    <w:rsid w:val="4CE8292F"/>
    <w:rsid w:val="4CE9C28E"/>
    <w:rsid w:val="4CEAF70B"/>
    <w:rsid w:val="4CF6E544"/>
    <w:rsid w:val="4CFD5193"/>
    <w:rsid w:val="4D01E110"/>
    <w:rsid w:val="4D066F5F"/>
    <w:rsid w:val="4D07D6A9"/>
    <w:rsid w:val="4D0A113F"/>
    <w:rsid w:val="4D0E8146"/>
    <w:rsid w:val="4D17B5D2"/>
    <w:rsid w:val="4D1891A0"/>
    <w:rsid w:val="4D1A3FF2"/>
    <w:rsid w:val="4D1DC229"/>
    <w:rsid w:val="4D212D5F"/>
    <w:rsid w:val="4D261E9F"/>
    <w:rsid w:val="4D2B24BF"/>
    <w:rsid w:val="4D2BF325"/>
    <w:rsid w:val="4D2CAA77"/>
    <w:rsid w:val="4D45452F"/>
    <w:rsid w:val="4D456C3C"/>
    <w:rsid w:val="4D51D95D"/>
    <w:rsid w:val="4D5B8196"/>
    <w:rsid w:val="4D664901"/>
    <w:rsid w:val="4D678AC5"/>
    <w:rsid w:val="4D67B6B4"/>
    <w:rsid w:val="4D68C6E0"/>
    <w:rsid w:val="4D6FACEE"/>
    <w:rsid w:val="4D7B9BF2"/>
    <w:rsid w:val="4D7BA3BE"/>
    <w:rsid w:val="4D7C8674"/>
    <w:rsid w:val="4D7CA28C"/>
    <w:rsid w:val="4D84F9D9"/>
    <w:rsid w:val="4D85B9BA"/>
    <w:rsid w:val="4D895989"/>
    <w:rsid w:val="4D8B71A4"/>
    <w:rsid w:val="4D8E51B5"/>
    <w:rsid w:val="4D9223DB"/>
    <w:rsid w:val="4D92D4BF"/>
    <w:rsid w:val="4D940169"/>
    <w:rsid w:val="4D9AF13F"/>
    <w:rsid w:val="4D9D7088"/>
    <w:rsid w:val="4DA5ECAA"/>
    <w:rsid w:val="4DA762D2"/>
    <w:rsid w:val="4DA8F0B7"/>
    <w:rsid w:val="4DAAD3D6"/>
    <w:rsid w:val="4DAC06A5"/>
    <w:rsid w:val="4DB66841"/>
    <w:rsid w:val="4DBAB9C0"/>
    <w:rsid w:val="4DC051C1"/>
    <w:rsid w:val="4DC928C5"/>
    <w:rsid w:val="4DD59AA5"/>
    <w:rsid w:val="4DD6F44F"/>
    <w:rsid w:val="4DDAF623"/>
    <w:rsid w:val="4DDCE35A"/>
    <w:rsid w:val="4DEDD320"/>
    <w:rsid w:val="4DF073F7"/>
    <w:rsid w:val="4DF19B04"/>
    <w:rsid w:val="4DF1AE01"/>
    <w:rsid w:val="4DF49791"/>
    <w:rsid w:val="4DF723E4"/>
    <w:rsid w:val="4DF8DB09"/>
    <w:rsid w:val="4E02FF6E"/>
    <w:rsid w:val="4E03B9AF"/>
    <w:rsid w:val="4E17230F"/>
    <w:rsid w:val="4E190666"/>
    <w:rsid w:val="4E1C40CD"/>
    <w:rsid w:val="4E225E87"/>
    <w:rsid w:val="4E2BFDB8"/>
    <w:rsid w:val="4E3367AF"/>
    <w:rsid w:val="4E3BE802"/>
    <w:rsid w:val="4E4CB75B"/>
    <w:rsid w:val="4E4EF253"/>
    <w:rsid w:val="4E4FDE0F"/>
    <w:rsid w:val="4E589F44"/>
    <w:rsid w:val="4E590807"/>
    <w:rsid w:val="4E591A03"/>
    <w:rsid w:val="4E5B590B"/>
    <w:rsid w:val="4E5BCDB6"/>
    <w:rsid w:val="4E5C40FF"/>
    <w:rsid w:val="4E5CF97A"/>
    <w:rsid w:val="4E62EEC2"/>
    <w:rsid w:val="4E68459C"/>
    <w:rsid w:val="4E69A081"/>
    <w:rsid w:val="4E6DE178"/>
    <w:rsid w:val="4E77BF59"/>
    <w:rsid w:val="4E7B8CA1"/>
    <w:rsid w:val="4E838B4D"/>
    <w:rsid w:val="4E84EF00"/>
    <w:rsid w:val="4E85248D"/>
    <w:rsid w:val="4E8939E8"/>
    <w:rsid w:val="4E918927"/>
    <w:rsid w:val="4E938D9C"/>
    <w:rsid w:val="4E9C32FD"/>
    <w:rsid w:val="4EADFBB7"/>
    <w:rsid w:val="4EB0DC56"/>
    <w:rsid w:val="4EB2B9E9"/>
    <w:rsid w:val="4EB75F3A"/>
    <w:rsid w:val="4EBBDAB2"/>
    <w:rsid w:val="4EC2138A"/>
    <w:rsid w:val="4EC402D7"/>
    <w:rsid w:val="4EC46F34"/>
    <w:rsid w:val="4ECC267E"/>
    <w:rsid w:val="4ED74388"/>
    <w:rsid w:val="4EDEDE71"/>
    <w:rsid w:val="4EE91D28"/>
    <w:rsid w:val="4EEA1C8E"/>
    <w:rsid w:val="4EEC94B0"/>
    <w:rsid w:val="4EF4C495"/>
    <w:rsid w:val="4EF8EABC"/>
    <w:rsid w:val="4EFE89E7"/>
    <w:rsid w:val="4F0E916A"/>
    <w:rsid w:val="4F1233F0"/>
    <w:rsid w:val="4F2904B9"/>
    <w:rsid w:val="4F2C93F1"/>
    <w:rsid w:val="4F327067"/>
    <w:rsid w:val="4F39E718"/>
    <w:rsid w:val="4F400627"/>
    <w:rsid w:val="4F402418"/>
    <w:rsid w:val="4F468FA9"/>
    <w:rsid w:val="4F4D68E2"/>
    <w:rsid w:val="4F5136DF"/>
    <w:rsid w:val="4F5CAAA6"/>
    <w:rsid w:val="4F6A614D"/>
    <w:rsid w:val="4F6E5AA6"/>
    <w:rsid w:val="4F704FC1"/>
    <w:rsid w:val="4F7054FA"/>
    <w:rsid w:val="4F780249"/>
    <w:rsid w:val="4F78BDFA"/>
    <w:rsid w:val="4F794515"/>
    <w:rsid w:val="4F7C444F"/>
    <w:rsid w:val="4F847AE5"/>
    <w:rsid w:val="4F8774E6"/>
    <w:rsid w:val="4F8A35A4"/>
    <w:rsid w:val="4F8AB3D3"/>
    <w:rsid w:val="4F8AC73D"/>
    <w:rsid w:val="4F8C007A"/>
    <w:rsid w:val="4F8ECFCB"/>
    <w:rsid w:val="4F960AC6"/>
    <w:rsid w:val="4F97E1DB"/>
    <w:rsid w:val="4FA380FE"/>
    <w:rsid w:val="4FA532C2"/>
    <w:rsid w:val="4FA615FD"/>
    <w:rsid w:val="4FA9BB5E"/>
    <w:rsid w:val="4FB10DF1"/>
    <w:rsid w:val="4FB6931D"/>
    <w:rsid w:val="4FB83728"/>
    <w:rsid w:val="4FB8ECB8"/>
    <w:rsid w:val="4FBAEB51"/>
    <w:rsid w:val="4FC7758E"/>
    <w:rsid w:val="4FC95909"/>
    <w:rsid w:val="4FCD0BAE"/>
    <w:rsid w:val="4FD6BFF4"/>
    <w:rsid w:val="4FD7E45D"/>
    <w:rsid w:val="4FDD26DC"/>
    <w:rsid w:val="4FDE118B"/>
    <w:rsid w:val="4FE3A011"/>
    <w:rsid w:val="4FF4D91F"/>
    <w:rsid w:val="4FF5BD90"/>
    <w:rsid w:val="4FF5C9DA"/>
    <w:rsid w:val="4FFE234F"/>
    <w:rsid w:val="50026270"/>
    <w:rsid w:val="5005AA7F"/>
    <w:rsid w:val="5006C1D2"/>
    <w:rsid w:val="5017766D"/>
    <w:rsid w:val="501D38E3"/>
    <w:rsid w:val="5022E983"/>
    <w:rsid w:val="502553EE"/>
    <w:rsid w:val="50255736"/>
    <w:rsid w:val="50268A11"/>
    <w:rsid w:val="5031265D"/>
    <w:rsid w:val="50360F77"/>
    <w:rsid w:val="50425153"/>
    <w:rsid w:val="50459B95"/>
    <w:rsid w:val="50465075"/>
    <w:rsid w:val="50499597"/>
    <w:rsid w:val="5051ACF0"/>
    <w:rsid w:val="5058FBB4"/>
    <w:rsid w:val="505C2D25"/>
    <w:rsid w:val="5068F062"/>
    <w:rsid w:val="5074FA1A"/>
    <w:rsid w:val="507542B0"/>
    <w:rsid w:val="507938D3"/>
    <w:rsid w:val="5085619E"/>
    <w:rsid w:val="5088F8CD"/>
    <w:rsid w:val="509B3358"/>
    <w:rsid w:val="509E1256"/>
    <w:rsid w:val="509F8F6E"/>
    <w:rsid w:val="50A0D522"/>
    <w:rsid w:val="50A37A33"/>
    <w:rsid w:val="50AE5018"/>
    <w:rsid w:val="50AF1F15"/>
    <w:rsid w:val="50B33AA0"/>
    <w:rsid w:val="50B51103"/>
    <w:rsid w:val="50B81205"/>
    <w:rsid w:val="50C04D5C"/>
    <w:rsid w:val="50C443A6"/>
    <w:rsid w:val="50CC7D89"/>
    <w:rsid w:val="50D39B53"/>
    <w:rsid w:val="50D592F0"/>
    <w:rsid w:val="50D7466A"/>
    <w:rsid w:val="50D88CEA"/>
    <w:rsid w:val="50DDED2D"/>
    <w:rsid w:val="50E20CA0"/>
    <w:rsid w:val="50E60436"/>
    <w:rsid w:val="50EA311A"/>
    <w:rsid w:val="50EAF2BA"/>
    <w:rsid w:val="50F078C3"/>
    <w:rsid w:val="50FC248A"/>
    <w:rsid w:val="51024C01"/>
    <w:rsid w:val="5106E692"/>
    <w:rsid w:val="5126FF57"/>
    <w:rsid w:val="512C1A3B"/>
    <w:rsid w:val="51328B49"/>
    <w:rsid w:val="51406EBA"/>
    <w:rsid w:val="51430943"/>
    <w:rsid w:val="514913DA"/>
    <w:rsid w:val="514C9114"/>
    <w:rsid w:val="515BA39A"/>
    <w:rsid w:val="5162BD02"/>
    <w:rsid w:val="516457DB"/>
    <w:rsid w:val="51682FE1"/>
    <w:rsid w:val="517302FD"/>
    <w:rsid w:val="517726AC"/>
    <w:rsid w:val="51798875"/>
    <w:rsid w:val="517D0818"/>
    <w:rsid w:val="517D5476"/>
    <w:rsid w:val="5188EEEA"/>
    <w:rsid w:val="518FEFBD"/>
    <w:rsid w:val="5195FD0F"/>
    <w:rsid w:val="519A0205"/>
    <w:rsid w:val="519AA81B"/>
    <w:rsid w:val="51A2E043"/>
    <w:rsid w:val="51A3B11D"/>
    <w:rsid w:val="51AC3FD5"/>
    <w:rsid w:val="51AF270B"/>
    <w:rsid w:val="51AF9168"/>
    <w:rsid w:val="51B18870"/>
    <w:rsid w:val="51B3021B"/>
    <w:rsid w:val="51B6F892"/>
    <w:rsid w:val="51C2773B"/>
    <w:rsid w:val="51CC4351"/>
    <w:rsid w:val="51CED009"/>
    <w:rsid w:val="51DDA665"/>
    <w:rsid w:val="51E15CA4"/>
    <w:rsid w:val="51E64871"/>
    <w:rsid w:val="51E678B8"/>
    <w:rsid w:val="51E6ECA8"/>
    <w:rsid w:val="51E754A9"/>
    <w:rsid w:val="51E8169A"/>
    <w:rsid w:val="51EEC684"/>
    <w:rsid w:val="51FCBAB7"/>
    <w:rsid w:val="51FF7667"/>
    <w:rsid w:val="52000658"/>
    <w:rsid w:val="5202DF23"/>
    <w:rsid w:val="52035735"/>
    <w:rsid w:val="52079832"/>
    <w:rsid w:val="52103C39"/>
    <w:rsid w:val="52139F49"/>
    <w:rsid w:val="521D258E"/>
    <w:rsid w:val="521EAF18"/>
    <w:rsid w:val="5221BA59"/>
    <w:rsid w:val="5223503F"/>
    <w:rsid w:val="5225CA5C"/>
    <w:rsid w:val="5225D416"/>
    <w:rsid w:val="5225E88F"/>
    <w:rsid w:val="5239019D"/>
    <w:rsid w:val="5239426B"/>
    <w:rsid w:val="523C506E"/>
    <w:rsid w:val="523DF242"/>
    <w:rsid w:val="5243C722"/>
    <w:rsid w:val="5245CBDC"/>
    <w:rsid w:val="524BEA59"/>
    <w:rsid w:val="524C35B8"/>
    <w:rsid w:val="524CE711"/>
    <w:rsid w:val="52520090"/>
    <w:rsid w:val="525596EC"/>
    <w:rsid w:val="525EB8F7"/>
    <w:rsid w:val="52639412"/>
    <w:rsid w:val="526D6325"/>
    <w:rsid w:val="527591C1"/>
    <w:rsid w:val="52790BCE"/>
    <w:rsid w:val="5281BFEC"/>
    <w:rsid w:val="528ADEAE"/>
    <w:rsid w:val="528B1119"/>
    <w:rsid w:val="528F3262"/>
    <w:rsid w:val="52967C26"/>
    <w:rsid w:val="5299BF25"/>
    <w:rsid w:val="529AE053"/>
    <w:rsid w:val="52A15D13"/>
    <w:rsid w:val="52A23345"/>
    <w:rsid w:val="52A8BAAB"/>
    <w:rsid w:val="52A97587"/>
    <w:rsid w:val="52AE893A"/>
    <w:rsid w:val="52B65E54"/>
    <w:rsid w:val="52B6C7B0"/>
    <w:rsid w:val="52B96877"/>
    <w:rsid w:val="52BEC3C6"/>
    <w:rsid w:val="52C1816A"/>
    <w:rsid w:val="52C1ABF4"/>
    <w:rsid w:val="52C9697E"/>
    <w:rsid w:val="52CD1957"/>
    <w:rsid w:val="52E17FC7"/>
    <w:rsid w:val="52E247C7"/>
    <w:rsid w:val="52E3F935"/>
    <w:rsid w:val="52E8F1AE"/>
    <w:rsid w:val="52EAA205"/>
    <w:rsid w:val="52EBBE32"/>
    <w:rsid w:val="52ED5AF5"/>
    <w:rsid w:val="530CB77A"/>
    <w:rsid w:val="53133E81"/>
    <w:rsid w:val="53138717"/>
    <w:rsid w:val="5316B59D"/>
    <w:rsid w:val="5322105B"/>
    <w:rsid w:val="5328A6F2"/>
    <w:rsid w:val="532C3A47"/>
    <w:rsid w:val="5332926A"/>
    <w:rsid w:val="533387BA"/>
    <w:rsid w:val="53370C98"/>
    <w:rsid w:val="5339CE97"/>
    <w:rsid w:val="533A73A6"/>
    <w:rsid w:val="533D97A5"/>
    <w:rsid w:val="5344E908"/>
    <w:rsid w:val="534538FF"/>
    <w:rsid w:val="53480983"/>
    <w:rsid w:val="535EF2F4"/>
    <w:rsid w:val="53648A26"/>
    <w:rsid w:val="536D23D0"/>
    <w:rsid w:val="537024CD"/>
    <w:rsid w:val="5375FC74"/>
    <w:rsid w:val="5378D575"/>
    <w:rsid w:val="53812908"/>
    <w:rsid w:val="53814992"/>
    <w:rsid w:val="53839280"/>
    <w:rsid w:val="5385042C"/>
    <w:rsid w:val="538B026C"/>
    <w:rsid w:val="538BECC5"/>
    <w:rsid w:val="53940594"/>
    <w:rsid w:val="53B2D407"/>
    <w:rsid w:val="53B34EEB"/>
    <w:rsid w:val="53B87BD8"/>
    <w:rsid w:val="53C04C1B"/>
    <w:rsid w:val="53C32917"/>
    <w:rsid w:val="53CA83F0"/>
    <w:rsid w:val="53D0798E"/>
    <w:rsid w:val="53D12C4B"/>
    <w:rsid w:val="53D3E225"/>
    <w:rsid w:val="53D4583B"/>
    <w:rsid w:val="53D8B221"/>
    <w:rsid w:val="53DDFB87"/>
    <w:rsid w:val="53DE707C"/>
    <w:rsid w:val="53DF5010"/>
    <w:rsid w:val="53E35E08"/>
    <w:rsid w:val="53E5747F"/>
    <w:rsid w:val="53E5A513"/>
    <w:rsid w:val="53E9434C"/>
    <w:rsid w:val="53ED1F33"/>
    <w:rsid w:val="53EEBD64"/>
    <w:rsid w:val="53F60EE4"/>
    <w:rsid w:val="5402D89C"/>
    <w:rsid w:val="540F7C81"/>
    <w:rsid w:val="54190D67"/>
    <w:rsid w:val="541A9E1A"/>
    <w:rsid w:val="541CD325"/>
    <w:rsid w:val="54218434"/>
    <w:rsid w:val="542BCEF3"/>
    <w:rsid w:val="5433C033"/>
    <w:rsid w:val="54366570"/>
    <w:rsid w:val="5441A4A0"/>
    <w:rsid w:val="544ACEB9"/>
    <w:rsid w:val="5450C9DB"/>
    <w:rsid w:val="545253B7"/>
    <w:rsid w:val="54599180"/>
    <w:rsid w:val="545FA256"/>
    <w:rsid w:val="5462CF95"/>
    <w:rsid w:val="546567B5"/>
    <w:rsid w:val="546B2A4F"/>
    <w:rsid w:val="546C93A6"/>
    <w:rsid w:val="5470EADD"/>
    <w:rsid w:val="547F83BC"/>
    <w:rsid w:val="547FD120"/>
    <w:rsid w:val="54858518"/>
    <w:rsid w:val="5486BED7"/>
    <w:rsid w:val="5492F7AD"/>
    <w:rsid w:val="54992135"/>
    <w:rsid w:val="549A937E"/>
    <w:rsid w:val="549F50F9"/>
    <w:rsid w:val="54A4EBEE"/>
    <w:rsid w:val="54B612E4"/>
    <w:rsid w:val="54BDE0F5"/>
    <w:rsid w:val="54C851DC"/>
    <w:rsid w:val="54CF61AB"/>
    <w:rsid w:val="54DA822A"/>
    <w:rsid w:val="54E24C19"/>
    <w:rsid w:val="54E8B2DA"/>
    <w:rsid w:val="54E9AB45"/>
    <w:rsid w:val="54EA08AB"/>
    <w:rsid w:val="54EBE0C6"/>
    <w:rsid w:val="54EEEC51"/>
    <w:rsid w:val="54F79F6A"/>
    <w:rsid w:val="54F8C41F"/>
    <w:rsid w:val="54FB1EA4"/>
    <w:rsid w:val="550080A4"/>
    <w:rsid w:val="550249A7"/>
    <w:rsid w:val="550B4D01"/>
    <w:rsid w:val="550EB631"/>
    <w:rsid w:val="5519BF52"/>
    <w:rsid w:val="5519C912"/>
    <w:rsid w:val="55284342"/>
    <w:rsid w:val="552B6CA9"/>
    <w:rsid w:val="5530C4A0"/>
    <w:rsid w:val="5532E7AF"/>
    <w:rsid w:val="55338236"/>
    <w:rsid w:val="5534C020"/>
    <w:rsid w:val="5539CE79"/>
    <w:rsid w:val="553AE34E"/>
    <w:rsid w:val="55565079"/>
    <w:rsid w:val="5565B121"/>
    <w:rsid w:val="556899D9"/>
    <w:rsid w:val="556C101B"/>
    <w:rsid w:val="556D2051"/>
    <w:rsid w:val="556DD90D"/>
    <w:rsid w:val="55711B29"/>
    <w:rsid w:val="55784864"/>
    <w:rsid w:val="557BFF5E"/>
    <w:rsid w:val="5589CE4B"/>
    <w:rsid w:val="558AF9F6"/>
    <w:rsid w:val="5590DC73"/>
    <w:rsid w:val="5591311B"/>
    <w:rsid w:val="55927C9E"/>
    <w:rsid w:val="559A90D8"/>
    <w:rsid w:val="55A0215B"/>
    <w:rsid w:val="55A5C405"/>
    <w:rsid w:val="55A81169"/>
    <w:rsid w:val="55A87CD7"/>
    <w:rsid w:val="55AD260D"/>
    <w:rsid w:val="55B8FD6A"/>
    <w:rsid w:val="55B918D3"/>
    <w:rsid w:val="55BD15AB"/>
    <w:rsid w:val="55C0B18C"/>
    <w:rsid w:val="55C530B6"/>
    <w:rsid w:val="55C55431"/>
    <w:rsid w:val="55C57385"/>
    <w:rsid w:val="55C5B5BE"/>
    <w:rsid w:val="55D9C492"/>
    <w:rsid w:val="56018246"/>
    <w:rsid w:val="56096764"/>
    <w:rsid w:val="560BD35A"/>
    <w:rsid w:val="560C8E92"/>
    <w:rsid w:val="5610D13A"/>
    <w:rsid w:val="56152053"/>
    <w:rsid w:val="5616682C"/>
    <w:rsid w:val="561C290F"/>
    <w:rsid w:val="561DD074"/>
    <w:rsid w:val="561EAD11"/>
    <w:rsid w:val="56202D2C"/>
    <w:rsid w:val="562181E8"/>
    <w:rsid w:val="562ADA11"/>
    <w:rsid w:val="562E50A3"/>
    <w:rsid w:val="563ABDB9"/>
    <w:rsid w:val="563ED77A"/>
    <w:rsid w:val="564AEAFE"/>
    <w:rsid w:val="564C6206"/>
    <w:rsid w:val="5653E74B"/>
    <w:rsid w:val="565A6927"/>
    <w:rsid w:val="565CF08C"/>
    <w:rsid w:val="56633F78"/>
    <w:rsid w:val="5664C8E4"/>
    <w:rsid w:val="56697035"/>
    <w:rsid w:val="566DC7D7"/>
    <w:rsid w:val="5679AF44"/>
    <w:rsid w:val="567AC06D"/>
    <w:rsid w:val="567C8436"/>
    <w:rsid w:val="568485E3"/>
    <w:rsid w:val="56857BA6"/>
    <w:rsid w:val="56859B71"/>
    <w:rsid w:val="568B5FD9"/>
    <w:rsid w:val="568D0000"/>
    <w:rsid w:val="568DE3C2"/>
    <w:rsid w:val="569665DA"/>
    <w:rsid w:val="56A11B8D"/>
    <w:rsid w:val="56A84C6E"/>
    <w:rsid w:val="56AB52EC"/>
    <w:rsid w:val="56ACAAA4"/>
    <w:rsid w:val="56AE9538"/>
    <w:rsid w:val="56B537F6"/>
    <w:rsid w:val="56B6379C"/>
    <w:rsid w:val="56C55147"/>
    <w:rsid w:val="56D9543D"/>
    <w:rsid w:val="56DC226C"/>
    <w:rsid w:val="56E034CC"/>
    <w:rsid w:val="56E3FC75"/>
    <w:rsid w:val="56F39972"/>
    <w:rsid w:val="56F8DED1"/>
    <w:rsid w:val="56FE3917"/>
    <w:rsid w:val="5700BA47"/>
    <w:rsid w:val="570A9F21"/>
    <w:rsid w:val="570AB8E2"/>
    <w:rsid w:val="570B4E42"/>
    <w:rsid w:val="57197210"/>
    <w:rsid w:val="5721E4FE"/>
    <w:rsid w:val="57285083"/>
    <w:rsid w:val="572A8E5E"/>
    <w:rsid w:val="572D52A0"/>
    <w:rsid w:val="572DC922"/>
    <w:rsid w:val="5733119B"/>
    <w:rsid w:val="57333635"/>
    <w:rsid w:val="5737E130"/>
    <w:rsid w:val="573836D0"/>
    <w:rsid w:val="573B8E0F"/>
    <w:rsid w:val="573C9743"/>
    <w:rsid w:val="573CEE76"/>
    <w:rsid w:val="57422492"/>
    <w:rsid w:val="574458C4"/>
    <w:rsid w:val="57454561"/>
    <w:rsid w:val="574D34CB"/>
    <w:rsid w:val="574F5EE2"/>
    <w:rsid w:val="57504AEB"/>
    <w:rsid w:val="57569122"/>
    <w:rsid w:val="575BF4C3"/>
    <w:rsid w:val="575D6BD4"/>
    <w:rsid w:val="575F0E99"/>
    <w:rsid w:val="57605821"/>
    <w:rsid w:val="57607FA0"/>
    <w:rsid w:val="57610DD4"/>
    <w:rsid w:val="576A79DA"/>
    <w:rsid w:val="577AE156"/>
    <w:rsid w:val="577CAE4D"/>
    <w:rsid w:val="57845A03"/>
    <w:rsid w:val="578550EC"/>
    <w:rsid w:val="578721D2"/>
    <w:rsid w:val="578DDC13"/>
    <w:rsid w:val="5798D712"/>
    <w:rsid w:val="57A3EB2A"/>
    <w:rsid w:val="57A5A815"/>
    <w:rsid w:val="57A5C6D8"/>
    <w:rsid w:val="57A78671"/>
    <w:rsid w:val="57AEF2C8"/>
    <w:rsid w:val="57B67A18"/>
    <w:rsid w:val="57B9CCE2"/>
    <w:rsid w:val="57BB52A6"/>
    <w:rsid w:val="57BDDE76"/>
    <w:rsid w:val="57C17F7E"/>
    <w:rsid w:val="57C348F7"/>
    <w:rsid w:val="57C3EADD"/>
    <w:rsid w:val="57C991BE"/>
    <w:rsid w:val="57CA619C"/>
    <w:rsid w:val="57CED37F"/>
    <w:rsid w:val="57D14ACA"/>
    <w:rsid w:val="57DB4E6B"/>
    <w:rsid w:val="57DEB820"/>
    <w:rsid w:val="57E2DAD9"/>
    <w:rsid w:val="57E5C752"/>
    <w:rsid w:val="57E6FC79"/>
    <w:rsid w:val="57EA0423"/>
    <w:rsid w:val="57EBB250"/>
    <w:rsid w:val="57EC9032"/>
    <w:rsid w:val="57F50830"/>
    <w:rsid w:val="57FBC298"/>
    <w:rsid w:val="5802443C"/>
    <w:rsid w:val="58062049"/>
    <w:rsid w:val="5808E426"/>
    <w:rsid w:val="581108C8"/>
    <w:rsid w:val="58147556"/>
    <w:rsid w:val="582012BB"/>
    <w:rsid w:val="582A0C9C"/>
    <w:rsid w:val="582BE484"/>
    <w:rsid w:val="582CCC05"/>
    <w:rsid w:val="583418E6"/>
    <w:rsid w:val="58384FEA"/>
    <w:rsid w:val="5844A3BE"/>
    <w:rsid w:val="5855822B"/>
    <w:rsid w:val="5858F103"/>
    <w:rsid w:val="5862C49F"/>
    <w:rsid w:val="586C7D9B"/>
    <w:rsid w:val="586D1766"/>
    <w:rsid w:val="58700C03"/>
    <w:rsid w:val="5873A826"/>
    <w:rsid w:val="587FC543"/>
    <w:rsid w:val="5880F416"/>
    <w:rsid w:val="58A7DBAF"/>
    <w:rsid w:val="58AB3FFE"/>
    <w:rsid w:val="58B1E611"/>
    <w:rsid w:val="58B5D83F"/>
    <w:rsid w:val="58C3F429"/>
    <w:rsid w:val="58CB37E3"/>
    <w:rsid w:val="58CB4341"/>
    <w:rsid w:val="58D1CE23"/>
    <w:rsid w:val="58D61B48"/>
    <w:rsid w:val="58D9B469"/>
    <w:rsid w:val="58DD9647"/>
    <w:rsid w:val="58E3364C"/>
    <w:rsid w:val="58E6DFA4"/>
    <w:rsid w:val="58F126E8"/>
    <w:rsid w:val="58F5F551"/>
    <w:rsid w:val="5900F163"/>
    <w:rsid w:val="59019DE0"/>
    <w:rsid w:val="5907A672"/>
    <w:rsid w:val="59089A55"/>
    <w:rsid w:val="5908A9E6"/>
    <w:rsid w:val="590D0ADF"/>
    <w:rsid w:val="592464F3"/>
    <w:rsid w:val="59341BCF"/>
    <w:rsid w:val="59470C54"/>
    <w:rsid w:val="5948E517"/>
    <w:rsid w:val="5957A78C"/>
    <w:rsid w:val="5964C1F4"/>
    <w:rsid w:val="5968384F"/>
    <w:rsid w:val="597169FC"/>
    <w:rsid w:val="5977C031"/>
    <w:rsid w:val="5989D219"/>
    <w:rsid w:val="598F94E3"/>
    <w:rsid w:val="5990D19F"/>
    <w:rsid w:val="5993BB6E"/>
    <w:rsid w:val="59942E69"/>
    <w:rsid w:val="59960E62"/>
    <w:rsid w:val="599752CB"/>
    <w:rsid w:val="5997A8C2"/>
    <w:rsid w:val="59988A91"/>
    <w:rsid w:val="599EC09B"/>
    <w:rsid w:val="59A02A0B"/>
    <w:rsid w:val="59A9498E"/>
    <w:rsid w:val="59AD749B"/>
    <w:rsid w:val="59AF2D20"/>
    <w:rsid w:val="59B25CB3"/>
    <w:rsid w:val="59BD10DB"/>
    <w:rsid w:val="59BD663A"/>
    <w:rsid w:val="59C0E9CC"/>
    <w:rsid w:val="59C91E2D"/>
    <w:rsid w:val="59CFB651"/>
    <w:rsid w:val="59CFB91F"/>
    <w:rsid w:val="59D3CBAA"/>
    <w:rsid w:val="59D5B11C"/>
    <w:rsid w:val="59DB5FBB"/>
    <w:rsid w:val="59DDB5A4"/>
    <w:rsid w:val="59DDC1FC"/>
    <w:rsid w:val="59E53664"/>
    <w:rsid w:val="59E576B6"/>
    <w:rsid w:val="59E7AD66"/>
    <w:rsid w:val="59E8C2BD"/>
    <w:rsid w:val="59EC3E28"/>
    <w:rsid w:val="59F72266"/>
    <w:rsid w:val="59FF6091"/>
    <w:rsid w:val="59FF977F"/>
    <w:rsid w:val="5A0A05F3"/>
    <w:rsid w:val="5A13496F"/>
    <w:rsid w:val="5A14D823"/>
    <w:rsid w:val="5A15E071"/>
    <w:rsid w:val="5A1814F0"/>
    <w:rsid w:val="5A2018D1"/>
    <w:rsid w:val="5A24C12B"/>
    <w:rsid w:val="5A2F8D9F"/>
    <w:rsid w:val="5A33A449"/>
    <w:rsid w:val="5A36508B"/>
    <w:rsid w:val="5A3710DF"/>
    <w:rsid w:val="5A46541E"/>
    <w:rsid w:val="5A486EEC"/>
    <w:rsid w:val="5A6495A4"/>
    <w:rsid w:val="5A64B62E"/>
    <w:rsid w:val="5A666D9E"/>
    <w:rsid w:val="5A6F70C6"/>
    <w:rsid w:val="5A6F871E"/>
    <w:rsid w:val="5A712A23"/>
    <w:rsid w:val="5A74491E"/>
    <w:rsid w:val="5A89BC80"/>
    <w:rsid w:val="5A8B2057"/>
    <w:rsid w:val="5A8D7A37"/>
    <w:rsid w:val="5A92724D"/>
    <w:rsid w:val="5A97F3BC"/>
    <w:rsid w:val="5A97F49A"/>
    <w:rsid w:val="5A9C76CF"/>
    <w:rsid w:val="5A9CAE54"/>
    <w:rsid w:val="5A9D2B69"/>
    <w:rsid w:val="5A9F3285"/>
    <w:rsid w:val="5AA291F1"/>
    <w:rsid w:val="5AA3E6AD"/>
    <w:rsid w:val="5AAD6A91"/>
    <w:rsid w:val="5AB4425B"/>
    <w:rsid w:val="5AB653C6"/>
    <w:rsid w:val="5AC98E91"/>
    <w:rsid w:val="5AD296DC"/>
    <w:rsid w:val="5AD2F0E2"/>
    <w:rsid w:val="5ADA4AFD"/>
    <w:rsid w:val="5ADE671A"/>
    <w:rsid w:val="5AE8C083"/>
    <w:rsid w:val="5AF42F85"/>
    <w:rsid w:val="5AF55784"/>
    <w:rsid w:val="5AFA9692"/>
    <w:rsid w:val="5B029C18"/>
    <w:rsid w:val="5B176F86"/>
    <w:rsid w:val="5B1C1134"/>
    <w:rsid w:val="5B254795"/>
    <w:rsid w:val="5B2D6FAE"/>
    <w:rsid w:val="5B2F3739"/>
    <w:rsid w:val="5B3D50C8"/>
    <w:rsid w:val="5B4107CB"/>
    <w:rsid w:val="5B422030"/>
    <w:rsid w:val="5B4AFDA3"/>
    <w:rsid w:val="5B4D9B16"/>
    <w:rsid w:val="5B4F40DB"/>
    <w:rsid w:val="5B516FB7"/>
    <w:rsid w:val="5B577367"/>
    <w:rsid w:val="5B58600B"/>
    <w:rsid w:val="5B5AB0AD"/>
    <w:rsid w:val="5B5B5BEC"/>
    <w:rsid w:val="5B5C3A87"/>
    <w:rsid w:val="5B5CF340"/>
    <w:rsid w:val="5B653925"/>
    <w:rsid w:val="5B659FDB"/>
    <w:rsid w:val="5B75EAF8"/>
    <w:rsid w:val="5B7CC2A9"/>
    <w:rsid w:val="5B7E4BD2"/>
    <w:rsid w:val="5B8448F8"/>
    <w:rsid w:val="5B8DA41D"/>
    <w:rsid w:val="5B917CD7"/>
    <w:rsid w:val="5B930609"/>
    <w:rsid w:val="5B96F909"/>
    <w:rsid w:val="5B986719"/>
    <w:rsid w:val="5B9DF652"/>
    <w:rsid w:val="5BA3AB82"/>
    <w:rsid w:val="5BAC76B1"/>
    <w:rsid w:val="5BB03B54"/>
    <w:rsid w:val="5BB2D7FB"/>
    <w:rsid w:val="5BB8F856"/>
    <w:rsid w:val="5BBE89D5"/>
    <w:rsid w:val="5BC2F320"/>
    <w:rsid w:val="5BCA0D05"/>
    <w:rsid w:val="5BCE7889"/>
    <w:rsid w:val="5BD1EA30"/>
    <w:rsid w:val="5BE3B52E"/>
    <w:rsid w:val="5BEAB027"/>
    <w:rsid w:val="5BF1C592"/>
    <w:rsid w:val="5C011153"/>
    <w:rsid w:val="5C02E403"/>
    <w:rsid w:val="5C0472C7"/>
    <w:rsid w:val="5C05BDAF"/>
    <w:rsid w:val="5C0E30A0"/>
    <w:rsid w:val="5C14433D"/>
    <w:rsid w:val="5C14F919"/>
    <w:rsid w:val="5C161DB4"/>
    <w:rsid w:val="5C1C0C60"/>
    <w:rsid w:val="5C27DE8F"/>
    <w:rsid w:val="5C30E2F9"/>
    <w:rsid w:val="5C39804F"/>
    <w:rsid w:val="5C420EA9"/>
    <w:rsid w:val="5C4A1A57"/>
    <w:rsid w:val="5C4BC7E6"/>
    <w:rsid w:val="5C4E5E94"/>
    <w:rsid w:val="5C51EB2C"/>
    <w:rsid w:val="5C52DE80"/>
    <w:rsid w:val="5C6022E3"/>
    <w:rsid w:val="5C60DE38"/>
    <w:rsid w:val="5C64873B"/>
    <w:rsid w:val="5C6878F8"/>
    <w:rsid w:val="5C693F68"/>
    <w:rsid w:val="5C6B04F5"/>
    <w:rsid w:val="5C735C2C"/>
    <w:rsid w:val="5C7A8480"/>
    <w:rsid w:val="5C7B14DE"/>
    <w:rsid w:val="5C7BB6B7"/>
    <w:rsid w:val="5C7ED6AB"/>
    <w:rsid w:val="5C80A897"/>
    <w:rsid w:val="5C8E6A5A"/>
    <w:rsid w:val="5CA4DC1C"/>
    <w:rsid w:val="5CA6D91B"/>
    <w:rsid w:val="5CB04D10"/>
    <w:rsid w:val="5CB9E452"/>
    <w:rsid w:val="5CBE898D"/>
    <w:rsid w:val="5CC02549"/>
    <w:rsid w:val="5CC21CC1"/>
    <w:rsid w:val="5CCB5F48"/>
    <w:rsid w:val="5CCD5AD2"/>
    <w:rsid w:val="5CD35579"/>
    <w:rsid w:val="5CD485DD"/>
    <w:rsid w:val="5CDCBA82"/>
    <w:rsid w:val="5CDE3BE4"/>
    <w:rsid w:val="5CE2411A"/>
    <w:rsid w:val="5CE5F863"/>
    <w:rsid w:val="5CE6B96F"/>
    <w:rsid w:val="5CE95267"/>
    <w:rsid w:val="5CF1ED83"/>
    <w:rsid w:val="5CF2B433"/>
    <w:rsid w:val="5CF96437"/>
    <w:rsid w:val="5CFA0DD8"/>
    <w:rsid w:val="5CFABF42"/>
    <w:rsid w:val="5CFBFA3A"/>
    <w:rsid w:val="5D00B96B"/>
    <w:rsid w:val="5D0231AB"/>
    <w:rsid w:val="5D0769E6"/>
    <w:rsid w:val="5D09EBD9"/>
    <w:rsid w:val="5D1A5B17"/>
    <w:rsid w:val="5D1B72D5"/>
    <w:rsid w:val="5D1ED02A"/>
    <w:rsid w:val="5D1FCBC4"/>
    <w:rsid w:val="5D22D5CC"/>
    <w:rsid w:val="5D26B243"/>
    <w:rsid w:val="5D276625"/>
    <w:rsid w:val="5D2DC41C"/>
    <w:rsid w:val="5D2E7550"/>
    <w:rsid w:val="5D2F5149"/>
    <w:rsid w:val="5D31249E"/>
    <w:rsid w:val="5D31334F"/>
    <w:rsid w:val="5D35E5B5"/>
    <w:rsid w:val="5D37C20C"/>
    <w:rsid w:val="5D479127"/>
    <w:rsid w:val="5D54713A"/>
    <w:rsid w:val="5D56F32A"/>
    <w:rsid w:val="5D593810"/>
    <w:rsid w:val="5D5DC5E3"/>
    <w:rsid w:val="5D609871"/>
    <w:rsid w:val="5D61FC03"/>
    <w:rsid w:val="5D6BCEDE"/>
    <w:rsid w:val="5D70230B"/>
    <w:rsid w:val="5D7911B7"/>
    <w:rsid w:val="5D7A5186"/>
    <w:rsid w:val="5D7DC7B7"/>
    <w:rsid w:val="5D7F981D"/>
    <w:rsid w:val="5D8062EB"/>
    <w:rsid w:val="5D80977D"/>
    <w:rsid w:val="5D80CC77"/>
    <w:rsid w:val="5D8106F4"/>
    <w:rsid w:val="5D83BAE1"/>
    <w:rsid w:val="5D8C2213"/>
    <w:rsid w:val="5D914B79"/>
    <w:rsid w:val="5D918C8E"/>
    <w:rsid w:val="5D9724F8"/>
    <w:rsid w:val="5D980E2D"/>
    <w:rsid w:val="5D9B5498"/>
    <w:rsid w:val="5DA13ADC"/>
    <w:rsid w:val="5DA3A41E"/>
    <w:rsid w:val="5DAE90D0"/>
    <w:rsid w:val="5DB184CA"/>
    <w:rsid w:val="5DB726FB"/>
    <w:rsid w:val="5DBE1F4A"/>
    <w:rsid w:val="5DBFA459"/>
    <w:rsid w:val="5DCB5D4C"/>
    <w:rsid w:val="5DCB8307"/>
    <w:rsid w:val="5DCBC8DD"/>
    <w:rsid w:val="5DD076D6"/>
    <w:rsid w:val="5DD4CC2B"/>
    <w:rsid w:val="5DDE0BCA"/>
    <w:rsid w:val="5DE4235F"/>
    <w:rsid w:val="5DE748EA"/>
    <w:rsid w:val="5DEC8C5F"/>
    <w:rsid w:val="5DECF49E"/>
    <w:rsid w:val="5DEFF16C"/>
    <w:rsid w:val="5DF62033"/>
    <w:rsid w:val="5DF94DA1"/>
    <w:rsid w:val="5DFE6740"/>
    <w:rsid w:val="5E01BF3F"/>
    <w:rsid w:val="5E03526C"/>
    <w:rsid w:val="5E03BF36"/>
    <w:rsid w:val="5E0E516E"/>
    <w:rsid w:val="5E268256"/>
    <w:rsid w:val="5E27E540"/>
    <w:rsid w:val="5E290622"/>
    <w:rsid w:val="5E3AD89A"/>
    <w:rsid w:val="5E3BFB55"/>
    <w:rsid w:val="5E51F709"/>
    <w:rsid w:val="5E52CFC3"/>
    <w:rsid w:val="5E57681C"/>
    <w:rsid w:val="5E58C7A7"/>
    <w:rsid w:val="5E5AD598"/>
    <w:rsid w:val="5E5C556A"/>
    <w:rsid w:val="5E66092A"/>
    <w:rsid w:val="5E6E2ED2"/>
    <w:rsid w:val="5E7596AD"/>
    <w:rsid w:val="5E7B523D"/>
    <w:rsid w:val="5E7C772C"/>
    <w:rsid w:val="5E80490A"/>
    <w:rsid w:val="5E8A03C7"/>
    <w:rsid w:val="5E8F5F72"/>
    <w:rsid w:val="5E994B00"/>
    <w:rsid w:val="5E99D3A0"/>
    <w:rsid w:val="5E9B5690"/>
    <w:rsid w:val="5E9F795E"/>
    <w:rsid w:val="5EA96ACD"/>
    <w:rsid w:val="5EAFAB81"/>
    <w:rsid w:val="5EB39022"/>
    <w:rsid w:val="5EB6F711"/>
    <w:rsid w:val="5EC15807"/>
    <w:rsid w:val="5EC90B1C"/>
    <w:rsid w:val="5ED27A7B"/>
    <w:rsid w:val="5ED4AAC9"/>
    <w:rsid w:val="5EDBF3CB"/>
    <w:rsid w:val="5EE91BA2"/>
    <w:rsid w:val="5EE98B54"/>
    <w:rsid w:val="5EEECB23"/>
    <w:rsid w:val="5EF2F7A5"/>
    <w:rsid w:val="5EF99644"/>
    <w:rsid w:val="5EFAF80D"/>
    <w:rsid w:val="5EFD49A0"/>
    <w:rsid w:val="5F030CDA"/>
    <w:rsid w:val="5F05E197"/>
    <w:rsid w:val="5F0A092F"/>
    <w:rsid w:val="5F11C6B3"/>
    <w:rsid w:val="5F13491E"/>
    <w:rsid w:val="5F135478"/>
    <w:rsid w:val="5F20576D"/>
    <w:rsid w:val="5F209682"/>
    <w:rsid w:val="5F20E0E9"/>
    <w:rsid w:val="5F24409F"/>
    <w:rsid w:val="5F2483F5"/>
    <w:rsid w:val="5F2CB5A5"/>
    <w:rsid w:val="5F3A63EE"/>
    <w:rsid w:val="5F3C30D4"/>
    <w:rsid w:val="5F3DD062"/>
    <w:rsid w:val="5F435A1A"/>
    <w:rsid w:val="5F43D6B5"/>
    <w:rsid w:val="5F460A90"/>
    <w:rsid w:val="5F473D0A"/>
    <w:rsid w:val="5F4C3A1D"/>
    <w:rsid w:val="5F4D62F5"/>
    <w:rsid w:val="5F53E935"/>
    <w:rsid w:val="5F551F2F"/>
    <w:rsid w:val="5F5CA3AA"/>
    <w:rsid w:val="5F674C6F"/>
    <w:rsid w:val="5F6C96DB"/>
    <w:rsid w:val="5F6D47EE"/>
    <w:rsid w:val="5F7A8EEF"/>
    <w:rsid w:val="5F7C9320"/>
    <w:rsid w:val="5F8182E1"/>
    <w:rsid w:val="5F84C2B5"/>
    <w:rsid w:val="5F89A3D7"/>
    <w:rsid w:val="5F89AF71"/>
    <w:rsid w:val="5F89C4E9"/>
    <w:rsid w:val="5F8EC638"/>
    <w:rsid w:val="5F9B4DA3"/>
    <w:rsid w:val="5FA67FB2"/>
    <w:rsid w:val="5FAA6953"/>
    <w:rsid w:val="5FADD19C"/>
    <w:rsid w:val="5FB3A1E4"/>
    <w:rsid w:val="5FB3EC4E"/>
    <w:rsid w:val="5FB9898D"/>
    <w:rsid w:val="5FC0613C"/>
    <w:rsid w:val="5FC89B6F"/>
    <w:rsid w:val="5FCAB424"/>
    <w:rsid w:val="5FD397FA"/>
    <w:rsid w:val="5FD3D460"/>
    <w:rsid w:val="5FD7F28E"/>
    <w:rsid w:val="5FDF6B56"/>
    <w:rsid w:val="5FF0802D"/>
    <w:rsid w:val="5FFA3D68"/>
    <w:rsid w:val="6003338F"/>
    <w:rsid w:val="600EE28A"/>
    <w:rsid w:val="601150E6"/>
    <w:rsid w:val="602367AD"/>
    <w:rsid w:val="6023B015"/>
    <w:rsid w:val="60275BB5"/>
    <w:rsid w:val="602AE691"/>
    <w:rsid w:val="602B4884"/>
    <w:rsid w:val="602D52B4"/>
    <w:rsid w:val="602EB869"/>
    <w:rsid w:val="60316610"/>
    <w:rsid w:val="6032098D"/>
    <w:rsid w:val="603A7222"/>
    <w:rsid w:val="6047B671"/>
    <w:rsid w:val="604CDE31"/>
    <w:rsid w:val="6052FBEE"/>
    <w:rsid w:val="6056CDF9"/>
    <w:rsid w:val="605DE6BE"/>
    <w:rsid w:val="606187DF"/>
    <w:rsid w:val="6061E5D6"/>
    <w:rsid w:val="60640CE1"/>
    <w:rsid w:val="60684EC5"/>
    <w:rsid w:val="60722622"/>
    <w:rsid w:val="6072DABA"/>
    <w:rsid w:val="607C79E1"/>
    <w:rsid w:val="60829B4F"/>
    <w:rsid w:val="608F4032"/>
    <w:rsid w:val="60937D50"/>
    <w:rsid w:val="60965CA0"/>
    <w:rsid w:val="6096CF86"/>
    <w:rsid w:val="6099943D"/>
    <w:rsid w:val="609A0509"/>
    <w:rsid w:val="609C608B"/>
    <w:rsid w:val="609ECF23"/>
    <w:rsid w:val="609F95A6"/>
    <w:rsid w:val="60A10874"/>
    <w:rsid w:val="60A601F1"/>
    <w:rsid w:val="60A67893"/>
    <w:rsid w:val="60AF6827"/>
    <w:rsid w:val="60B83633"/>
    <w:rsid w:val="60C69B0F"/>
    <w:rsid w:val="60CA3654"/>
    <w:rsid w:val="60D90CD5"/>
    <w:rsid w:val="60DB6CDC"/>
    <w:rsid w:val="60DC58E0"/>
    <w:rsid w:val="60DC5B41"/>
    <w:rsid w:val="60E4D4AC"/>
    <w:rsid w:val="60E54FDB"/>
    <w:rsid w:val="60E7C15A"/>
    <w:rsid w:val="60F0C856"/>
    <w:rsid w:val="60F5155B"/>
    <w:rsid w:val="60F8A9D1"/>
    <w:rsid w:val="60FDB937"/>
    <w:rsid w:val="60FE97E8"/>
    <w:rsid w:val="6103FDF6"/>
    <w:rsid w:val="6106DC38"/>
    <w:rsid w:val="61108094"/>
    <w:rsid w:val="611081EA"/>
    <w:rsid w:val="6112EC0F"/>
    <w:rsid w:val="611C1C3A"/>
    <w:rsid w:val="611CCA58"/>
    <w:rsid w:val="611F215D"/>
    <w:rsid w:val="61232F92"/>
    <w:rsid w:val="6136B6F8"/>
    <w:rsid w:val="613FA333"/>
    <w:rsid w:val="6142DE21"/>
    <w:rsid w:val="61462978"/>
    <w:rsid w:val="61468E15"/>
    <w:rsid w:val="61472D6C"/>
    <w:rsid w:val="6148C472"/>
    <w:rsid w:val="614D416A"/>
    <w:rsid w:val="615B4182"/>
    <w:rsid w:val="6162630A"/>
    <w:rsid w:val="6167D9C4"/>
    <w:rsid w:val="616B0034"/>
    <w:rsid w:val="616D1AA0"/>
    <w:rsid w:val="616DE545"/>
    <w:rsid w:val="617AF1EF"/>
    <w:rsid w:val="617B7F72"/>
    <w:rsid w:val="617D3B60"/>
    <w:rsid w:val="617FAC2D"/>
    <w:rsid w:val="6186D33D"/>
    <w:rsid w:val="6187F0DB"/>
    <w:rsid w:val="618DCAFA"/>
    <w:rsid w:val="61912739"/>
    <w:rsid w:val="6191E29A"/>
    <w:rsid w:val="6193766A"/>
    <w:rsid w:val="619B3316"/>
    <w:rsid w:val="61A1137A"/>
    <w:rsid w:val="61A9D9EA"/>
    <w:rsid w:val="61AA6BC6"/>
    <w:rsid w:val="61AC19E5"/>
    <w:rsid w:val="61AD10B2"/>
    <w:rsid w:val="61AE2EC7"/>
    <w:rsid w:val="61AEEE7F"/>
    <w:rsid w:val="61B4A087"/>
    <w:rsid w:val="61B595EE"/>
    <w:rsid w:val="61B84CFB"/>
    <w:rsid w:val="61BA237C"/>
    <w:rsid w:val="61BF1334"/>
    <w:rsid w:val="61D5EA48"/>
    <w:rsid w:val="61D7E471"/>
    <w:rsid w:val="61E7222A"/>
    <w:rsid w:val="61E7F33E"/>
    <w:rsid w:val="61EBE442"/>
    <w:rsid w:val="61ECCC5C"/>
    <w:rsid w:val="61F74A1C"/>
    <w:rsid w:val="61FA000C"/>
    <w:rsid w:val="6208DA23"/>
    <w:rsid w:val="6210F669"/>
    <w:rsid w:val="6210FF0A"/>
    <w:rsid w:val="6213BDB7"/>
    <w:rsid w:val="6224DF0B"/>
    <w:rsid w:val="6226F3D0"/>
    <w:rsid w:val="62282935"/>
    <w:rsid w:val="623642EB"/>
    <w:rsid w:val="6236B50F"/>
    <w:rsid w:val="623D8643"/>
    <w:rsid w:val="6241C262"/>
    <w:rsid w:val="62424B1E"/>
    <w:rsid w:val="624A9A58"/>
    <w:rsid w:val="624DE4FE"/>
    <w:rsid w:val="6250D4D9"/>
    <w:rsid w:val="6252BBAF"/>
    <w:rsid w:val="626335F8"/>
    <w:rsid w:val="626F39D1"/>
    <w:rsid w:val="6273B1B3"/>
    <w:rsid w:val="6273BE5A"/>
    <w:rsid w:val="62763D65"/>
    <w:rsid w:val="627A7F97"/>
    <w:rsid w:val="627D8AA8"/>
    <w:rsid w:val="627F1976"/>
    <w:rsid w:val="628251A6"/>
    <w:rsid w:val="628C75DF"/>
    <w:rsid w:val="6293380B"/>
    <w:rsid w:val="62981E0D"/>
    <w:rsid w:val="629D1597"/>
    <w:rsid w:val="62A2AD2B"/>
    <w:rsid w:val="62A35150"/>
    <w:rsid w:val="62A6F848"/>
    <w:rsid w:val="62A7208E"/>
    <w:rsid w:val="62A9F6DF"/>
    <w:rsid w:val="62BC7BDD"/>
    <w:rsid w:val="62BCCB66"/>
    <w:rsid w:val="62C1AF41"/>
    <w:rsid w:val="62C3F4FF"/>
    <w:rsid w:val="62C47AC6"/>
    <w:rsid w:val="62C95D17"/>
    <w:rsid w:val="62CAD17E"/>
    <w:rsid w:val="62CBAA40"/>
    <w:rsid w:val="62D3235E"/>
    <w:rsid w:val="62D53062"/>
    <w:rsid w:val="62D566AF"/>
    <w:rsid w:val="62D89664"/>
    <w:rsid w:val="62D996BA"/>
    <w:rsid w:val="62DA2631"/>
    <w:rsid w:val="62E3148A"/>
    <w:rsid w:val="62E62CF3"/>
    <w:rsid w:val="62F10C8F"/>
    <w:rsid w:val="62F863CD"/>
    <w:rsid w:val="62FA0AB3"/>
    <w:rsid w:val="62FA9D63"/>
    <w:rsid w:val="62FAB18F"/>
    <w:rsid w:val="62FAFAD0"/>
    <w:rsid w:val="6300A544"/>
    <w:rsid w:val="6300D640"/>
    <w:rsid w:val="63011488"/>
    <w:rsid w:val="6303EC37"/>
    <w:rsid w:val="630DA84E"/>
    <w:rsid w:val="630DFCC1"/>
    <w:rsid w:val="630EE4C3"/>
    <w:rsid w:val="6310CF30"/>
    <w:rsid w:val="63176BBB"/>
    <w:rsid w:val="63192650"/>
    <w:rsid w:val="631E2531"/>
    <w:rsid w:val="6321C9F3"/>
    <w:rsid w:val="6328DD3B"/>
    <w:rsid w:val="632CE410"/>
    <w:rsid w:val="632DA418"/>
    <w:rsid w:val="6336BF4D"/>
    <w:rsid w:val="6337EDE6"/>
    <w:rsid w:val="6344F7BD"/>
    <w:rsid w:val="6349B00A"/>
    <w:rsid w:val="634DCB2C"/>
    <w:rsid w:val="6353BB6F"/>
    <w:rsid w:val="6356D816"/>
    <w:rsid w:val="6367D1F0"/>
    <w:rsid w:val="636D5603"/>
    <w:rsid w:val="637283FC"/>
    <w:rsid w:val="6377421B"/>
    <w:rsid w:val="637C48FF"/>
    <w:rsid w:val="637FD224"/>
    <w:rsid w:val="63806859"/>
    <w:rsid w:val="63822521"/>
    <w:rsid w:val="6383D55F"/>
    <w:rsid w:val="638AF53C"/>
    <w:rsid w:val="638C966A"/>
    <w:rsid w:val="6397B6D6"/>
    <w:rsid w:val="63A4B060"/>
    <w:rsid w:val="63A6F42D"/>
    <w:rsid w:val="63A926DF"/>
    <w:rsid w:val="63D60596"/>
    <w:rsid w:val="63D63D0E"/>
    <w:rsid w:val="63D73598"/>
    <w:rsid w:val="63DBF560"/>
    <w:rsid w:val="63DCC9E5"/>
    <w:rsid w:val="63E8BC7D"/>
    <w:rsid w:val="63EBD4E6"/>
    <w:rsid w:val="63ED3E7F"/>
    <w:rsid w:val="63F07002"/>
    <w:rsid w:val="63F116AF"/>
    <w:rsid w:val="63F69D3B"/>
    <w:rsid w:val="63F7F518"/>
    <w:rsid w:val="63F918FF"/>
    <w:rsid w:val="63F9DB5B"/>
    <w:rsid w:val="63FE0B81"/>
    <w:rsid w:val="64003689"/>
    <w:rsid w:val="641D0BBD"/>
    <w:rsid w:val="641FEDC2"/>
    <w:rsid w:val="64212E28"/>
    <w:rsid w:val="6426687F"/>
    <w:rsid w:val="642A15CF"/>
    <w:rsid w:val="642B14FE"/>
    <w:rsid w:val="642B26C4"/>
    <w:rsid w:val="642D2F42"/>
    <w:rsid w:val="642F963A"/>
    <w:rsid w:val="64316217"/>
    <w:rsid w:val="6437682F"/>
    <w:rsid w:val="6442D5D1"/>
    <w:rsid w:val="6448AC8C"/>
    <w:rsid w:val="644D01EC"/>
    <w:rsid w:val="644D6090"/>
    <w:rsid w:val="6456A3FB"/>
    <w:rsid w:val="645753ED"/>
    <w:rsid w:val="6457AFC4"/>
    <w:rsid w:val="6457C4D3"/>
    <w:rsid w:val="6459767C"/>
    <w:rsid w:val="64616393"/>
    <w:rsid w:val="6475D036"/>
    <w:rsid w:val="64765292"/>
    <w:rsid w:val="647BCFBB"/>
    <w:rsid w:val="647F2E17"/>
    <w:rsid w:val="6483F658"/>
    <w:rsid w:val="64903AE1"/>
    <w:rsid w:val="64931229"/>
    <w:rsid w:val="649DF806"/>
    <w:rsid w:val="64A429B9"/>
    <w:rsid w:val="64A44D00"/>
    <w:rsid w:val="64A4CAD7"/>
    <w:rsid w:val="64A53EB1"/>
    <w:rsid w:val="64A5B6C0"/>
    <w:rsid w:val="64AE9715"/>
    <w:rsid w:val="64BBF07B"/>
    <w:rsid w:val="64BE36C9"/>
    <w:rsid w:val="64C083DA"/>
    <w:rsid w:val="64C253EE"/>
    <w:rsid w:val="64CC3153"/>
    <w:rsid w:val="64CCFE45"/>
    <w:rsid w:val="64D106A7"/>
    <w:rsid w:val="64D1CC2E"/>
    <w:rsid w:val="64E8281F"/>
    <w:rsid w:val="64E91CC2"/>
    <w:rsid w:val="64EFD01F"/>
    <w:rsid w:val="64F05DD5"/>
    <w:rsid w:val="64F404D0"/>
    <w:rsid w:val="64F8AC31"/>
    <w:rsid w:val="64FA444F"/>
    <w:rsid w:val="65057448"/>
    <w:rsid w:val="650D153A"/>
    <w:rsid w:val="6513DF74"/>
    <w:rsid w:val="6527CF3D"/>
    <w:rsid w:val="652FE31C"/>
    <w:rsid w:val="65391E10"/>
    <w:rsid w:val="6539A18C"/>
    <w:rsid w:val="6546FFAF"/>
    <w:rsid w:val="6548DBE2"/>
    <w:rsid w:val="6554EF8A"/>
    <w:rsid w:val="6557BF71"/>
    <w:rsid w:val="6558E9E4"/>
    <w:rsid w:val="655BF0E1"/>
    <w:rsid w:val="65617786"/>
    <w:rsid w:val="65653863"/>
    <w:rsid w:val="65767CB6"/>
    <w:rsid w:val="6579D86E"/>
    <w:rsid w:val="6590276F"/>
    <w:rsid w:val="65958725"/>
    <w:rsid w:val="6597993E"/>
    <w:rsid w:val="659BE688"/>
    <w:rsid w:val="659EA011"/>
    <w:rsid w:val="659FB918"/>
    <w:rsid w:val="65A008A2"/>
    <w:rsid w:val="65A12C7A"/>
    <w:rsid w:val="65A28A80"/>
    <w:rsid w:val="65A344CA"/>
    <w:rsid w:val="65A9C649"/>
    <w:rsid w:val="65AB8FF4"/>
    <w:rsid w:val="65AC60F3"/>
    <w:rsid w:val="65B1D78B"/>
    <w:rsid w:val="65B58C3E"/>
    <w:rsid w:val="65B82E3C"/>
    <w:rsid w:val="65C187D1"/>
    <w:rsid w:val="65C4ACE4"/>
    <w:rsid w:val="65C9D405"/>
    <w:rsid w:val="65C9D8CD"/>
    <w:rsid w:val="65E40D8A"/>
    <w:rsid w:val="65E485E2"/>
    <w:rsid w:val="65F97635"/>
    <w:rsid w:val="65FAC963"/>
    <w:rsid w:val="65FF02A0"/>
    <w:rsid w:val="65FF61F9"/>
    <w:rsid w:val="6600D075"/>
    <w:rsid w:val="6608967D"/>
    <w:rsid w:val="66165EC2"/>
    <w:rsid w:val="66197A3B"/>
    <w:rsid w:val="661B2288"/>
    <w:rsid w:val="662E6004"/>
    <w:rsid w:val="662E8DA1"/>
    <w:rsid w:val="663C91F9"/>
    <w:rsid w:val="663FDAF6"/>
    <w:rsid w:val="6642693B"/>
    <w:rsid w:val="6643B035"/>
    <w:rsid w:val="664520C3"/>
    <w:rsid w:val="664554F5"/>
    <w:rsid w:val="6648BE77"/>
    <w:rsid w:val="6648C744"/>
    <w:rsid w:val="664BB1BE"/>
    <w:rsid w:val="6650ADFF"/>
    <w:rsid w:val="6652DCC9"/>
    <w:rsid w:val="66686D01"/>
    <w:rsid w:val="666AB022"/>
    <w:rsid w:val="666EA439"/>
    <w:rsid w:val="6673B24C"/>
    <w:rsid w:val="6686F991"/>
    <w:rsid w:val="6693F95B"/>
    <w:rsid w:val="66953007"/>
    <w:rsid w:val="669D37F0"/>
    <w:rsid w:val="669D61CE"/>
    <w:rsid w:val="669FD055"/>
    <w:rsid w:val="66A55CDB"/>
    <w:rsid w:val="66A8E8B7"/>
    <w:rsid w:val="66B81284"/>
    <w:rsid w:val="66BB57D7"/>
    <w:rsid w:val="66BC26E4"/>
    <w:rsid w:val="66C43E9D"/>
    <w:rsid w:val="66C76FA9"/>
    <w:rsid w:val="66C9E4AE"/>
    <w:rsid w:val="66CAE993"/>
    <w:rsid w:val="66CBB37D"/>
    <w:rsid w:val="66D324BD"/>
    <w:rsid w:val="66DAF3FB"/>
    <w:rsid w:val="66E820EA"/>
    <w:rsid w:val="66ECA7A5"/>
    <w:rsid w:val="66F15DEC"/>
    <w:rsid w:val="66F25133"/>
    <w:rsid w:val="66F8801F"/>
    <w:rsid w:val="67042CE0"/>
    <w:rsid w:val="6708122F"/>
    <w:rsid w:val="670C4E5C"/>
    <w:rsid w:val="6715BA17"/>
    <w:rsid w:val="6717AFC2"/>
    <w:rsid w:val="6719DE88"/>
    <w:rsid w:val="671A0672"/>
    <w:rsid w:val="671B5574"/>
    <w:rsid w:val="6724B2A8"/>
    <w:rsid w:val="67262BA0"/>
    <w:rsid w:val="6729A787"/>
    <w:rsid w:val="67350932"/>
    <w:rsid w:val="67458257"/>
    <w:rsid w:val="67488768"/>
    <w:rsid w:val="6748D813"/>
    <w:rsid w:val="674C6A1A"/>
    <w:rsid w:val="674FBBE4"/>
    <w:rsid w:val="6759909E"/>
    <w:rsid w:val="6759C31E"/>
    <w:rsid w:val="67622302"/>
    <w:rsid w:val="676B02CF"/>
    <w:rsid w:val="676C707E"/>
    <w:rsid w:val="676D0BBC"/>
    <w:rsid w:val="676DBA9B"/>
    <w:rsid w:val="676E63B0"/>
    <w:rsid w:val="67719EE2"/>
    <w:rsid w:val="6787E735"/>
    <w:rsid w:val="678B01C2"/>
    <w:rsid w:val="678CE948"/>
    <w:rsid w:val="6794FAB8"/>
    <w:rsid w:val="67A1480F"/>
    <w:rsid w:val="67A2AB4D"/>
    <w:rsid w:val="67A70A9D"/>
    <w:rsid w:val="67A7FC51"/>
    <w:rsid w:val="67A83F3B"/>
    <w:rsid w:val="67AF31C6"/>
    <w:rsid w:val="67AFF879"/>
    <w:rsid w:val="67B475BB"/>
    <w:rsid w:val="67B60944"/>
    <w:rsid w:val="67B8F341"/>
    <w:rsid w:val="67BB8CE7"/>
    <w:rsid w:val="67BBA6E6"/>
    <w:rsid w:val="67BF05EF"/>
    <w:rsid w:val="67D20D38"/>
    <w:rsid w:val="67D6B29D"/>
    <w:rsid w:val="67D9E856"/>
    <w:rsid w:val="67DA7CD2"/>
    <w:rsid w:val="67DBEDC2"/>
    <w:rsid w:val="67E2D8F8"/>
    <w:rsid w:val="67E48D16"/>
    <w:rsid w:val="67EB196A"/>
    <w:rsid w:val="67F03A77"/>
    <w:rsid w:val="67F57A1E"/>
    <w:rsid w:val="67F9428C"/>
    <w:rsid w:val="67FD4B4E"/>
    <w:rsid w:val="68026B0B"/>
    <w:rsid w:val="6807D9A7"/>
    <w:rsid w:val="6808C823"/>
    <w:rsid w:val="681AA243"/>
    <w:rsid w:val="681E03C8"/>
    <w:rsid w:val="68244D65"/>
    <w:rsid w:val="682641AB"/>
    <w:rsid w:val="682A45AA"/>
    <w:rsid w:val="682BBB83"/>
    <w:rsid w:val="682CB01C"/>
    <w:rsid w:val="6836F128"/>
    <w:rsid w:val="6838B12F"/>
    <w:rsid w:val="683B4704"/>
    <w:rsid w:val="683FAB69"/>
    <w:rsid w:val="6840915D"/>
    <w:rsid w:val="6840DC04"/>
    <w:rsid w:val="6843D5CF"/>
    <w:rsid w:val="6844151F"/>
    <w:rsid w:val="6848D67D"/>
    <w:rsid w:val="68498EBE"/>
    <w:rsid w:val="684A2013"/>
    <w:rsid w:val="68517770"/>
    <w:rsid w:val="6851E0FE"/>
    <w:rsid w:val="6854C913"/>
    <w:rsid w:val="68596DF1"/>
    <w:rsid w:val="6859F19D"/>
    <w:rsid w:val="685FB3C2"/>
    <w:rsid w:val="6860B023"/>
    <w:rsid w:val="68670F0F"/>
    <w:rsid w:val="6868A224"/>
    <w:rsid w:val="686F14CD"/>
    <w:rsid w:val="6876E604"/>
    <w:rsid w:val="687EC5D0"/>
    <w:rsid w:val="6880FDEB"/>
    <w:rsid w:val="68926FB5"/>
    <w:rsid w:val="68939E3B"/>
    <w:rsid w:val="6893B255"/>
    <w:rsid w:val="689527EC"/>
    <w:rsid w:val="689B7349"/>
    <w:rsid w:val="68A0F86F"/>
    <w:rsid w:val="68A50E2C"/>
    <w:rsid w:val="68C5390E"/>
    <w:rsid w:val="68CB663B"/>
    <w:rsid w:val="68CF85C7"/>
    <w:rsid w:val="68D0BBC6"/>
    <w:rsid w:val="68D353C1"/>
    <w:rsid w:val="68E617AB"/>
    <w:rsid w:val="68E89ECB"/>
    <w:rsid w:val="68EB1981"/>
    <w:rsid w:val="68F1984F"/>
    <w:rsid w:val="68F26F70"/>
    <w:rsid w:val="68F997B1"/>
    <w:rsid w:val="68FA8F68"/>
    <w:rsid w:val="690162DE"/>
    <w:rsid w:val="6903A4D0"/>
    <w:rsid w:val="690D43EF"/>
    <w:rsid w:val="69177ED2"/>
    <w:rsid w:val="69375391"/>
    <w:rsid w:val="694845DE"/>
    <w:rsid w:val="6949AF63"/>
    <w:rsid w:val="694B3D24"/>
    <w:rsid w:val="6955F41F"/>
    <w:rsid w:val="695888ED"/>
    <w:rsid w:val="695A43F8"/>
    <w:rsid w:val="695D8AE1"/>
    <w:rsid w:val="695E95C6"/>
    <w:rsid w:val="6962BBAA"/>
    <w:rsid w:val="6963B849"/>
    <w:rsid w:val="69641B41"/>
    <w:rsid w:val="69647026"/>
    <w:rsid w:val="696ECB54"/>
    <w:rsid w:val="6975735E"/>
    <w:rsid w:val="69802743"/>
    <w:rsid w:val="6982D110"/>
    <w:rsid w:val="6984764F"/>
    <w:rsid w:val="699161FF"/>
    <w:rsid w:val="69966B9C"/>
    <w:rsid w:val="6996F1E3"/>
    <w:rsid w:val="699765B9"/>
    <w:rsid w:val="699AF318"/>
    <w:rsid w:val="69A646A9"/>
    <w:rsid w:val="69A80E37"/>
    <w:rsid w:val="69AA01FF"/>
    <w:rsid w:val="69AABFA2"/>
    <w:rsid w:val="69B04195"/>
    <w:rsid w:val="69B0F3E0"/>
    <w:rsid w:val="69B1AC7F"/>
    <w:rsid w:val="69B1C9BA"/>
    <w:rsid w:val="69B30A59"/>
    <w:rsid w:val="69B8FF82"/>
    <w:rsid w:val="69C2FCF3"/>
    <w:rsid w:val="69CD3C38"/>
    <w:rsid w:val="69D06405"/>
    <w:rsid w:val="69D068B1"/>
    <w:rsid w:val="69D9F973"/>
    <w:rsid w:val="69DD917E"/>
    <w:rsid w:val="69DE7966"/>
    <w:rsid w:val="69DF512E"/>
    <w:rsid w:val="69E26641"/>
    <w:rsid w:val="69EBB2B5"/>
    <w:rsid w:val="69EF7511"/>
    <w:rsid w:val="69EFB691"/>
    <w:rsid w:val="69F04276"/>
    <w:rsid w:val="69FF4006"/>
    <w:rsid w:val="6A0D7FD8"/>
    <w:rsid w:val="6A0F6162"/>
    <w:rsid w:val="6A143602"/>
    <w:rsid w:val="6A146B50"/>
    <w:rsid w:val="6A182D92"/>
    <w:rsid w:val="6A1F1EE3"/>
    <w:rsid w:val="6A21765F"/>
    <w:rsid w:val="6A24EB17"/>
    <w:rsid w:val="6A310093"/>
    <w:rsid w:val="6A35B540"/>
    <w:rsid w:val="6A4400A3"/>
    <w:rsid w:val="6A46ED51"/>
    <w:rsid w:val="6A4B2C4D"/>
    <w:rsid w:val="6A4EAF65"/>
    <w:rsid w:val="6A5807DA"/>
    <w:rsid w:val="6A5830BC"/>
    <w:rsid w:val="6A5AC6C4"/>
    <w:rsid w:val="6A5C6190"/>
    <w:rsid w:val="6A6037F5"/>
    <w:rsid w:val="6A61C138"/>
    <w:rsid w:val="6A61F1DE"/>
    <w:rsid w:val="6A66143C"/>
    <w:rsid w:val="6A67AD4E"/>
    <w:rsid w:val="6A682988"/>
    <w:rsid w:val="6A6A5F01"/>
    <w:rsid w:val="6A6D0872"/>
    <w:rsid w:val="6A6E3D33"/>
    <w:rsid w:val="6A708902"/>
    <w:rsid w:val="6A71B3B7"/>
    <w:rsid w:val="6A77B5A4"/>
    <w:rsid w:val="6A799507"/>
    <w:rsid w:val="6A7E2532"/>
    <w:rsid w:val="6A81D88E"/>
    <w:rsid w:val="6A846F2C"/>
    <w:rsid w:val="6A89A202"/>
    <w:rsid w:val="6A8B9758"/>
    <w:rsid w:val="6A9058AD"/>
    <w:rsid w:val="6A9BA572"/>
    <w:rsid w:val="6A9BF55F"/>
    <w:rsid w:val="6A9D854B"/>
    <w:rsid w:val="6A9E2ABF"/>
    <w:rsid w:val="6AABD3F9"/>
    <w:rsid w:val="6AACA6E9"/>
    <w:rsid w:val="6AACB255"/>
    <w:rsid w:val="6AB01AD4"/>
    <w:rsid w:val="6AB18064"/>
    <w:rsid w:val="6AB1CBFE"/>
    <w:rsid w:val="6ABA9B47"/>
    <w:rsid w:val="6AC842A6"/>
    <w:rsid w:val="6AD2C217"/>
    <w:rsid w:val="6ADAD458"/>
    <w:rsid w:val="6ADBD4E8"/>
    <w:rsid w:val="6ADD923E"/>
    <w:rsid w:val="6AE2A993"/>
    <w:rsid w:val="6AE2CFA7"/>
    <w:rsid w:val="6AE70289"/>
    <w:rsid w:val="6AEE4520"/>
    <w:rsid w:val="6AF0A8C4"/>
    <w:rsid w:val="6B0BCCE3"/>
    <w:rsid w:val="6B0BF217"/>
    <w:rsid w:val="6B0BF43A"/>
    <w:rsid w:val="6B0E9534"/>
    <w:rsid w:val="6B1FFC8B"/>
    <w:rsid w:val="6B215B50"/>
    <w:rsid w:val="6B29AA37"/>
    <w:rsid w:val="6B2C9172"/>
    <w:rsid w:val="6B2CF4CB"/>
    <w:rsid w:val="6B2DACEF"/>
    <w:rsid w:val="6B30969C"/>
    <w:rsid w:val="6B31CAE4"/>
    <w:rsid w:val="6B340D83"/>
    <w:rsid w:val="6B395E37"/>
    <w:rsid w:val="6B3E3AC5"/>
    <w:rsid w:val="6B411FA0"/>
    <w:rsid w:val="6B42155C"/>
    <w:rsid w:val="6B42F406"/>
    <w:rsid w:val="6B43174F"/>
    <w:rsid w:val="6B4ED904"/>
    <w:rsid w:val="6B4F0B5F"/>
    <w:rsid w:val="6B60032C"/>
    <w:rsid w:val="6B74F522"/>
    <w:rsid w:val="6B788E8C"/>
    <w:rsid w:val="6B7A5981"/>
    <w:rsid w:val="6B8117D1"/>
    <w:rsid w:val="6B860DC4"/>
    <w:rsid w:val="6B88B09E"/>
    <w:rsid w:val="6B8BC50B"/>
    <w:rsid w:val="6B8FFCAB"/>
    <w:rsid w:val="6B970BEE"/>
    <w:rsid w:val="6B9BA2D2"/>
    <w:rsid w:val="6B9CE8C6"/>
    <w:rsid w:val="6B9D6557"/>
    <w:rsid w:val="6BA4ABE1"/>
    <w:rsid w:val="6BA5E639"/>
    <w:rsid w:val="6BAA4A9A"/>
    <w:rsid w:val="6BAF198A"/>
    <w:rsid w:val="6BAFD0D1"/>
    <w:rsid w:val="6BB25DFD"/>
    <w:rsid w:val="6BB4328D"/>
    <w:rsid w:val="6BB593B2"/>
    <w:rsid w:val="6BC01D51"/>
    <w:rsid w:val="6BC819D4"/>
    <w:rsid w:val="6BCF3EA1"/>
    <w:rsid w:val="6BD13CD1"/>
    <w:rsid w:val="6BD20FB6"/>
    <w:rsid w:val="6BD85441"/>
    <w:rsid w:val="6BDE1DCD"/>
    <w:rsid w:val="6BE181CA"/>
    <w:rsid w:val="6BE7EBDE"/>
    <w:rsid w:val="6BE884B1"/>
    <w:rsid w:val="6BECE0A4"/>
    <w:rsid w:val="6BED9973"/>
    <w:rsid w:val="6BF04E06"/>
    <w:rsid w:val="6BF1E82D"/>
    <w:rsid w:val="6BF20D35"/>
    <w:rsid w:val="6BF2D86D"/>
    <w:rsid w:val="6BF3671A"/>
    <w:rsid w:val="6BF76F45"/>
    <w:rsid w:val="6BFBF80E"/>
    <w:rsid w:val="6BFC389B"/>
    <w:rsid w:val="6BFC515F"/>
    <w:rsid w:val="6BFD8015"/>
    <w:rsid w:val="6BFECB59"/>
    <w:rsid w:val="6C0BFDA0"/>
    <w:rsid w:val="6C0E916D"/>
    <w:rsid w:val="6C139C30"/>
    <w:rsid w:val="6C149B24"/>
    <w:rsid w:val="6C181599"/>
    <w:rsid w:val="6C1D6359"/>
    <w:rsid w:val="6C277043"/>
    <w:rsid w:val="6C279DAB"/>
    <w:rsid w:val="6C2E2F92"/>
    <w:rsid w:val="6C31C360"/>
    <w:rsid w:val="6C3D26F5"/>
    <w:rsid w:val="6C4E7DCA"/>
    <w:rsid w:val="6C4F692A"/>
    <w:rsid w:val="6C5243D1"/>
    <w:rsid w:val="6C56C988"/>
    <w:rsid w:val="6C584F29"/>
    <w:rsid w:val="6C5B9C49"/>
    <w:rsid w:val="6C622CAE"/>
    <w:rsid w:val="6C64078C"/>
    <w:rsid w:val="6C6DDC54"/>
    <w:rsid w:val="6C740CCE"/>
    <w:rsid w:val="6C79CF45"/>
    <w:rsid w:val="6C7E8261"/>
    <w:rsid w:val="6C824665"/>
    <w:rsid w:val="6C84E5B0"/>
    <w:rsid w:val="6C8589B0"/>
    <w:rsid w:val="6C897B09"/>
    <w:rsid w:val="6C8E650B"/>
    <w:rsid w:val="6C92EC7E"/>
    <w:rsid w:val="6C992DD9"/>
    <w:rsid w:val="6CA11771"/>
    <w:rsid w:val="6CA43894"/>
    <w:rsid w:val="6CB3A8A1"/>
    <w:rsid w:val="6CB970D5"/>
    <w:rsid w:val="6CB9A819"/>
    <w:rsid w:val="6CBFFADC"/>
    <w:rsid w:val="6CC1A58B"/>
    <w:rsid w:val="6CC8E5D0"/>
    <w:rsid w:val="6CD0DC18"/>
    <w:rsid w:val="6CD6F0AF"/>
    <w:rsid w:val="6CD8D2AB"/>
    <w:rsid w:val="6CE29840"/>
    <w:rsid w:val="6CE9110C"/>
    <w:rsid w:val="6CF1B3CE"/>
    <w:rsid w:val="6CF1F85F"/>
    <w:rsid w:val="6CF4E838"/>
    <w:rsid w:val="6CFB19F8"/>
    <w:rsid w:val="6D029428"/>
    <w:rsid w:val="6D053AB9"/>
    <w:rsid w:val="6D0A85C2"/>
    <w:rsid w:val="6D0E2C67"/>
    <w:rsid w:val="6D1AC456"/>
    <w:rsid w:val="6D27D802"/>
    <w:rsid w:val="6D349247"/>
    <w:rsid w:val="6D3EAD86"/>
    <w:rsid w:val="6D454C85"/>
    <w:rsid w:val="6D4935F8"/>
    <w:rsid w:val="6D4B8BE2"/>
    <w:rsid w:val="6D5D119B"/>
    <w:rsid w:val="6D65DE31"/>
    <w:rsid w:val="6D6C2016"/>
    <w:rsid w:val="6D6FD59B"/>
    <w:rsid w:val="6D6FD5DB"/>
    <w:rsid w:val="6D7732F0"/>
    <w:rsid w:val="6D779CF1"/>
    <w:rsid w:val="6D8C628F"/>
    <w:rsid w:val="6D8F9EC3"/>
    <w:rsid w:val="6D9DB4D9"/>
    <w:rsid w:val="6DA7D9A6"/>
    <w:rsid w:val="6DAB9A4E"/>
    <w:rsid w:val="6DAF21A0"/>
    <w:rsid w:val="6DAF3D52"/>
    <w:rsid w:val="6DAF7673"/>
    <w:rsid w:val="6DB2F7DA"/>
    <w:rsid w:val="6DB3B0FA"/>
    <w:rsid w:val="6DB7FCA5"/>
    <w:rsid w:val="6DB8AF4A"/>
    <w:rsid w:val="6DBA33CD"/>
    <w:rsid w:val="6DBA7445"/>
    <w:rsid w:val="6DBFEC35"/>
    <w:rsid w:val="6DC3D72A"/>
    <w:rsid w:val="6DC7576B"/>
    <w:rsid w:val="6DCD2CB7"/>
    <w:rsid w:val="6DCE1C92"/>
    <w:rsid w:val="6DD0BDD1"/>
    <w:rsid w:val="6DD75A45"/>
    <w:rsid w:val="6DD96A46"/>
    <w:rsid w:val="6DDABBD5"/>
    <w:rsid w:val="6DE2A991"/>
    <w:rsid w:val="6DE3A8FA"/>
    <w:rsid w:val="6DE80A2C"/>
    <w:rsid w:val="6DEDFCA0"/>
    <w:rsid w:val="6DEE51F0"/>
    <w:rsid w:val="6DF5CF00"/>
    <w:rsid w:val="6DF8F8EE"/>
    <w:rsid w:val="6E085047"/>
    <w:rsid w:val="6E0E42F0"/>
    <w:rsid w:val="6E0E8A17"/>
    <w:rsid w:val="6E15AA3E"/>
    <w:rsid w:val="6E175DF8"/>
    <w:rsid w:val="6E29F310"/>
    <w:rsid w:val="6E2A0821"/>
    <w:rsid w:val="6E33937B"/>
    <w:rsid w:val="6E39F46F"/>
    <w:rsid w:val="6E3A1F45"/>
    <w:rsid w:val="6E5089B7"/>
    <w:rsid w:val="6E684BE3"/>
    <w:rsid w:val="6E68DD87"/>
    <w:rsid w:val="6E6F1870"/>
    <w:rsid w:val="6E76E5DD"/>
    <w:rsid w:val="6E7FE27D"/>
    <w:rsid w:val="6E883EA4"/>
    <w:rsid w:val="6E900810"/>
    <w:rsid w:val="6E9A6A3E"/>
    <w:rsid w:val="6EA9A46A"/>
    <w:rsid w:val="6EB8501D"/>
    <w:rsid w:val="6EC1D812"/>
    <w:rsid w:val="6EC3DA7A"/>
    <w:rsid w:val="6EC860E3"/>
    <w:rsid w:val="6EC8FB3E"/>
    <w:rsid w:val="6ED5964C"/>
    <w:rsid w:val="6EDB57AF"/>
    <w:rsid w:val="6EDCE0FC"/>
    <w:rsid w:val="6EDDCAEF"/>
    <w:rsid w:val="6EDE5651"/>
    <w:rsid w:val="6EDEC6F2"/>
    <w:rsid w:val="6EDEDA56"/>
    <w:rsid w:val="6EE11F0E"/>
    <w:rsid w:val="6EE97FE9"/>
    <w:rsid w:val="6EEA6A97"/>
    <w:rsid w:val="6EF22B5A"/>
    <w:rsid w:val="6EF22CC8"/>
    <w:rsid w:val="6EFA008D"/>
    <w:rsid w:val="6F06B921"/>
    <w:rsid w:val="6F0BFCAD"/>
    <w:rsid w:val="6F119E4E"/>
    <w:rsid w:val="6F1899DE"/>
    <w:rsid w:val="6F1DDDA7"/>
    <w:rsid w:val="6F1EEDCC"/>
    <w:rsid w:val="6F268E82"/>
    <w:rsid w:val="6F29C90B"/>
    <w:rsid w:val="6F2C0D46"/>
    <w:rsid w:val="6F2CD639"/>
    <w:rsid w:val="6F327780"/>
    <w:rsid w:val="6F328757"/>
    <w:rsid w:val="6F368B49"/>
    <w:rsid w:val="6F36D492"/>
    <w:rsid w:val="6F3949AB"/>
    <w:rsid w:val="6F3BDA80"/>
    <w:rsid w:val="6F48D99E"/>
    <w:rsid w:val="6F4D264E"/>
    <w:rsid w:val="6F4FEBC9"/>
    <w:rsid w:val="6F54824C"/>
    <w:rsid w:val="6F5549B1"/>
    <w:rsid w:val="6F633D20"/>
    <w:rsid w:val="6F652526"/>
    <w:rsid w:val="6F6612FB"/>
    <w:rsid w:val="6F661681"/>
    <w:rsid w:val="6F6BD3AA"/>
    <w:rsid w:val="6F738654"/>
    <w:rsid w:val="6F73B6B3"/>
    <w:rsid w:val="6F8A2090"/>
    <w:rsid w:val="6F8CA9ED"/>
    <w:rsid w:val="6F91208A"/>
    <w:rsid w:val="6F939DA7"/>
    <w:rsid w:val="6F9F1BA6"/>
    <w:rsid w:val="6FA1B512"/>
    <w:rsid w:val="6FB24F65"/>
    <w:rsid w:val="6FB36AE1"/>
    <w:rsid w:val="6FB3AE62"/>
    <w:rsid w:val="6FB59394"/>
    <w:rsid w:val="6FB840EC"/>
    <w:rsid w:val="6FB8DC0E"/>
    <w:rsid w:val="6FBF1892"/>
    <w:rsid w:val="6FC90015"/>
    <w:rsid w:val="6FD419DA"/>
    <w:rsid w:val="6FD4C706"/>
    <w:rsid w:val="6FD55236"/>
    <w:rsid w:val="6FD66521"/>
    <w:rsid w:val="6FD9714A"/>
    <w:rsid w:val="6FDB604E"/>
    <w:rsid w:val="6FDC97EF"/>
    <w:rsid w:val="6FE171F2"/>
    <w:rsid w:val="6FE6BB50"/>
    <w:rsid w:val="6FE76CF1"/>
    <w:rsid w:val="6FF1BEF8"/>
    <w:rsid w:val="6FF4B7D6"/>
    <w:rsid w:val="6FFA3E5A"/>
    <w:rsid w:val="70004BBF"/>
    <w:rsid w:val="7002CD0D"/>
    <w:rsid w:val="7003EA95"/>
    <w:rsid w:val="70075352"/>
    <w:rsid w:val="700B1DBD"/>
    <w:rsid w:val="700FA642"/>
    <w:rsid w:val="701008FD"/>
    <w:rsid w:val="701CB1B5"/>
    <w:rsid w:val="701DFF7E"/>
    <w:rsid w:val="7023D056"/>
    <w:rsid w:val="703119C0"/>
    <w:rsid w:val="70355B1E"/>
    <w:rsid w:val="704DC0B4"/>
    <w:rsid w:val="704E868C"/>
    <w:rsid w:val="70579E97"/>
    <w:rsid w:val="705C1166"/>
    <w:rsid w:val="706725D3"/>
    <w:rsid w:val="706BFD41"/>
    <w:rsid w:val="706CD937"/>
    <w:rsid w:val="707AE32F"/>
    <w:rsid w:val="707B2A67"/>
    <w:rsid w:val="708333AB"/>
    <w:rsid w:val="708A2D2B"/>
    <w:rsid w:val="7093BEAD"/>
    <w:rsid w:val="709F7D39"/>
    <w:rsid w:val="70A718DB"/>
    <w:rsid w:val="70A91427"/>
    <w:rsid w:val="70B06E5C"/>
    <w:rsid w:val="70B4E5F1"/>
    <w:rsid w:val="70C36129"/>
    <w:rsid w:val="70C6595A"/>
    <w:rsid w:val="70CC2042"/>
    <w:rsid w:val="70D70339"/>
    <w:rsid w:val="70D949B7"/>
    <w:rsid w:val="70DB9D1C"/>
    <w:rsid w:val="70DD46EF"/>
    <w:rsid w:val="70EC9F81"/>
    <w:rsid w:val="70EF3423"/>
    <w:rsid w:val="70EFA3DE"/>
    <w:rsid w:val="70F211E2"/>
    <w:rsid w:val="70F45AA3"/>
    <w:rsid w:val="70F57898"/>
    <w:rsid w:val="70FDAABD"/>
    <w:rsid w:val="7104744D"/>
    <w:rsid w:val="71125C97"/>
    <w:rsid w:val="71128116"/>
    <w:rsid w:val="71226A82"/>
    <w:rsid w:val="7125585E"/>
    <w:rsid w:val="713258B1"/>
    <w:rsid w:val="71345964"/>
    <w:rsid w:val="713651A2"/>
    <w:rsid w:val="713A1907"/>
    <w:rsid w:val="7140A473"/>
    <w:rsid w:val="714A65C6"/>
    <w:rsid w:val="714EDE97"/>
    <w:rsid w:val="7153DE87"/>
    <w:rsid w:val="7160520D"/>
    <w:rsid w:val="71694721"/>
    <w:rsid w:val="717663B4"/>
    <w:rsid w:val="7189D367"/>
    <w:rsid w:val="718A220F"/>
    <w:rsid w:val="718F91A0"/>
    <w:rsid w:val="71942B76"/>
    <w:rsid w:val="719828BD"/>
    <w:rsid w:val="719AA3F3"/>
    <w:rsid w:val="719AAD3C"/>
    <w:rsid w:val="719D6F67"/>
    <w:rsid w:val="71A1E287"/>
    <w:rsid w:val="71A6D450"/>
    <w:rsid w:val="71A770EF"/>
    <w:rsid w:val="71A9D3C2"/>
    <w:rsid w:val="71AE42CC"/>
    <w:rsid w:val="71B337D5"/>
    <w:rsid w:val="71B3FB1D"/>
    <w:rsid w:val="71BEE1C0"/>
    <w:rsid w:val="71C24E88"/>
    <w:rsid w:val="71C2EA1A"/>
    <w:rsid w:val="71C99798"/>
    <w:rsid w:val="71D0FBF0"/>
    <w:rsid w:val="71D6C32C"/>
    <w:rsid w:val="71DA74A2"/>
    <w:rsid w:val="71E2DF15"/>
    <w:rsid w:val="71E3C891"/>
    <w:rsid w:val="71E3F3C0"/>
    <w:rsid w:val="71EC472F"/>
    <w:rsid w:val="71EC6F81"/>
    <w:rsid w:val="71ED9B55"/>
    <w:rsid w:val="71F20F7B"/>
    <w:rsid w:val="7202F58B"/>
    <w:rsid w:val="72061D55"/>
    <w:rsid w:val="720625EC"/>
    <w:rsid w:val="72070D10"/>
    <w:rsid w:val="720E3FA2"/>
    <w:rsid w:val="7215C2A3"/>
    <w:rsid w:val="7219E311"/>
    <w:rsid w:val="721C7245"/>
    <w:rsid w:val="721E02DD"/>
    <w:rsid w:val="721FAAF9"/>
    <w:rsid w:val="7231848C"/>
    <w:rsid w:val="7236CDF3"/>
    <w:rsid w:val="7259E6F8"/>
    <w:rsid w:val="726CF683"/>
    <w:rsid w:val="726DF9C0"/>
    <w:rsid w:val="727E5086"/>
    <w:rsid w:val="7281FAA1"/>
    <w:rsid w:val="72831F19"/>
    <w:rsid w:val="728A0854"/>
    <w:rsid w:val="728B40DB"/>
    <w:rsid w:val="728FEEB0"/>
    <w:rsid w:val="729036D7"/>
    <w:rsid w:val="729DD8D7"/>
    <w:rsid w:val="729E5F76"/>
    <w:rsid w:val="72AA27E6"/>
    <w:rsid w:val="72AAB861"/>
    <w:rsid w:val="72AC5996"/>
    <w:rsid w:val="72B67315"/>
    <w:rsid w:val="72B9E445"/>
    <w:rsid w:val="72C196E7"/>
    <w:rsid w:val="72C38761"/>
    <w:rsid w:val="72CA7621"/>
    <w:rsid w:val="72CC67BF"/>
    <w:rsid w:val="72CD948A"/>
    <w:rsid w:val="72CF47C0"/>
    <w:rsid w:val="72D04208"/>
    <w:rsid w:val="72D8F8D8"/>
    <w:rsid w:val="72D9247D"/>
    <w:rsid w:val="72D9EE3D"/>
    <w:rsid w:val="72E0A9F5"/>
    <w:rsid w:val="72E11847"/>
    <w:rsid w:val="72E3BE03"/>
    <w:rsid w:val="72E8E6BF"/>
    <w:rsid w:val="72EC2D35"/>
    <w:rsid w:val="72ED5DB7"/>
    <w:rsid w:val="72EF9BBA"/>
    <w:rsid w:val="72F4832F"/>
    <w:rsid w:val="72F646DA"/>
    <w:rsid w:val="72F791C4"/>
    <w:rsid w:val="7302E6D5"/>
    <w:rsid w:val="730B1762"/>
    <w:rsid w:val="731411A9"/>
    <w:rsid w:val="73171C9E"/>
    <w:rsid w:val="731BD9B1"/>
    <w:rsid w:val="731D431A"/>
    <w:rsid w:val="731E0B2A"/>
    <w:rsid w:val="7323AC34"/>
    <w:rsid w:val="7330C728"/>
    <w:rsid w:val="73338D1C"/>
    <w:rsid w:val="7336CCE6"/>
    <w:rsid w:val="733CFB0C"/>
    <w:rsid w:val="7346C96E"/>
    <w:rsid w:val="734E1BFB"/>
    <w:rsid w:val="734FF476"/>
    <w:rsid w:val="73504987"/>
    <w:rsid w:val="735A69D3"/>
    <w:rsid w:val="735BB570"/>
    <w:rsid w:val="735DFFAA"/>
    <w:rsid w:val="7361F1B3"/>
    <w:rsid w:val="73663D39"/>
    <w:rsid w:val="736ACD9A"/>
    <w:rsid w:val="736E2B5F"/>
    <w:rsid w:val="7371B9CA"/>
    <w:rsid w:val="73751B98"/>
    <w:rsid w:val="7376DDE6"/>
    <w:rsid w:val="737F018D"/>
    <w:rsid w:val="73837497"/>
    <w:rsid w:val="73866F53"/>
    <w:rsid w:val="738983D5"/>
    <w:rsid w:val="738BA49E"/>
    <w:rsid w:val="7399BEC0"/>
    <w:rsid w:val="739CDF5A"/>
    <w:rsid w:val="73A41F76"/>
    <w:rsid w:val="73AF037B"/>
    <w:rsid w:val="73AFFB7E"/>
    <w:rsid w:val="73B32213"/>
    <w:rsid w:val="73BAD8AE"/>
    <w:rsid w:val="73BB39D0"/>
    <w:rsid w:val="73BDB835"/>
    <w:rsid w:val="73C0E10C"/>
    <w:rsid w:val="73C4A485"/>
    <w:rsid w:val="73CF16DC"/>
    <w:rsid w:val="73D64F22"/>
    <w:rsid w:val="73DB14C2"/>
    <w:rsid w:val="73DED68F"/>
    <w:rsid w:val="73DFF955"/>
    <w:rsid w:val="73E3EDCB"/>
    <w:rsid w:val="73E41491"/>
    <w:rsid w:val="73EAE2E9"/>
    <w:rsid w:val="73F1762A"/>
    <w:rsid w:val="73F32D8C"/>
    <w:rsid w:val="73F4D19C"/>
    <w:rsid w:val="73F53904"/>
    <w:rsid w:val="73FF19F1"/>
    <w:rsid w:val="74009CB1"/>
    <w:rsid w:val="7405CFCB"/>
    <w:rsid w:val="740E18E2"/>
    <w:rsid w:val="7411ED8F"/>
    <w:rsid w:val="7412CB14"/>
    <w:rsid w:val="74176392"/>
    <w:rsid w:val="74189258"/>
    <w:rsid w:val="74245879"/>
    <w:rsid w:val="74251B14"/>
    <w:rsid w:val="742EA469"/>
    <w:rsid w:val="742F1699"/>
    <w:rsid w:val="7430CB7A"/>
    <w:rsid w:val="744B1F8E"/>
    <w:rsid w:val="744DA815"/>
    <w:rsid w:val="744DCBC7"/>
    <w:rsid w:val="745AC81D"/>
    <w:rsid w:val="74666108"/>
    <w:rsid w:val="74672936"/>
    <w:rsid w:val="74718717"/>
    <w:rsid w:val="74735D87"/>
    <w:rsid w:val="74829948"/>
    <w:rsid w:val="74847484"/>
    <w:rsid w:val="748AFD22"/>
    <w:rsid w:val="74902BC1"/>
    <w:rsid w:val="7490303D"/>
    <w:rsid w:val="7493D4E2"/>
    <w:rsid w:val="74A770B0"/>
    <w:rsid w:val="74A8EDA7"/>
    <w:rsid w:val="74AED55E"/>
    <w:rsid w:val="74B6BE64"/>
    <w:rsid w:val="74BBE9EA"/>
    <w:rsid w:val="74C59331"/>
    <w:rsid w:val="74C68C0E"/>
    <w:rsid w:val="74C9A145"/>
    <w:rsid w:val="74C9D97B"/>
    <w:rsid w:val="74CAFBD9"/>
    <w:rsid w:val="74D09082"/>
    <w:rsid w:val="74D5F103"/>
    <w:rsid w:val="74D5F46C"/>
    <w:rsid w:val="74D80970"/>
    <w:rsid w:val="74DF11B1"/>
    <w:rsid w:val="74F795F0"/>
    <w:rsid w:val="74FA8638"/>
    <w:rsid w:val="750367CB"/>
    <w:rsid w:val="750C0BCC"/>
    <w:rsid w:val="750D5D2A"/>
    <w:rsid w:val="750E7F07"/>
    <w:rsid w:val="75195FDF"/>
    <w:rsid w:val="751A5BA2"/>
    <w:rsid w:val="7521A19F"/>
    <w:rsid w:val="753954B6"/>
    <w:rsid w:val="753D22B8"/>
    <w:rsid w:val="7548B3A5"/>
    <w:rsid w:val="754994EC"/>
    <w:rsid w:val="75595892"/>
    <w:rsid w:val="755AD508"/>
    <w:rsid w:val="755E3764"/>
    <w:rsid w:val="7562E6C2"/>
    <w:rsid w:val="75632756"/>
    <w:rsid w:val="7567DC75"/>
    <w:rsid w:val="757456A5"/>
    <w:rsid w:val="757E05F7"/>
    <w:rsid w:val="757E4C17"/>
    <w:rsid w:val="757EC3FF"/>
    <w:rsid w:val="7583DDC2"/>
    <w:rsid w:val="75974F04"/>
    <w:rsid w:val="75A4181A"/>
    <w:rsid w:val="75A66E61"/>
    <w:rsid w:val="75B02136"/>
    <w:rsid w:val="75B18A59"/>
    <w:rsid w:val="75B1D6C9"/>
    <w:rsid w:val="75B51D62"/>
    <w:rsid w:val="75BB614F"/>
    <w:rsid w:val="75BE7C37"/>
    <w:rsid w:val="75D3E157"/>
    <w:rsid w:val="75D844C0"/>
    <w:rsid w:val="75E1B557"/>
    <w:rsid w:val="75E5D626"/>
    <w:rsid w:val="75EB25B0"/>
    <w:rsid w:val="75EEA74C"/>
    <w:rsid w:val="75F1CA43"/>
    <w:rsid w:val="75F1D0CE"/>
    <w:rsid w:val="75F44F94"/>
    <w:rsid w:val="75F57549"/>
    <w:rsid w:val="75FDB95B"/>
    <w:rsid w:val="761B6A05"/>
    <w:rsid w:val="7637CDA3"/>
    <w:rsid w:val="763D7C71"/>
    <w:rsid w:val="763E4A39"/>
    <w:rsid w:val="76445A70"/>
    <w:rsid w:val="764E9750"/>
    <w:rsid w:val="765CFE5C"/>
    <w:rsid w:val="7660F41D"/>
    <w:rsid w:val="7665AD12"/>
    <w:rsid w:val="7666B83D"/>
    <w:rsid w:val="766B6E84"/>
    <w:rsid w:val="7672F97A"/>
    <w:rsid w:val="7673BC23"/>
    <w:rsid w:val="76781727"/>
    <w:rsid w:val="768535CC"/>
    <w:rsid w:val="76880B06"/>
    <w:rsid w:val="7688A3A8"/>
    <w:rsid w:val="768F9FFB"/>
    <w:rsid w:val="7696BA73"/>
    <w:rsid w:val="769F7BAD"/>
    <w:rsid w:val="76A03FCC"/>
    <w:rsid w:val="76A2A8EE"/>
    <w:rsid w:val="76A2B234"/>
    <w:rsid w:val="76A482EF"/>
    <w:rsid w:val="76C18B40"/>
    <w:rsid w:val="76C62029"/>
    <w:rsid w:val="76CBB35F"/>
    <w:rsid w:val="76CC2445"/>
    <w:rsid w:val="76CF8507"/>
    <w:rsid w:val="76CFCAA8"/>
    <w:rsid w:val="76D00F5F"/>
    <w:rsid w:val="76DB5525"/>
    <w:rsid w:val="76DE167A"/>
    <w:rsid w:val="76E099F1"/>
    <w:rsid w:val="76E1A5FA"/>
    <w:rsid w:val="76E251A7"/>
    <w:rsid w:val="76E3B79D"/>
    <w:rsid w:val="76E5365C"/>
    <w:rsid w:val="76EA71D2"/>
    <w:rsid w:val="76EC22D7"/>
    <w:rsid w:val="76FD620E"/>
    <w:rsid w:val="76FEEAAB"/>
    <w:rsid w:val="7704EF4C"/>
    <w:rsid w:val="77074E6F"/>
    <w:rsid w:val="77077879"/>
    <w:rsid w:val="7708C1D2"/>
    <w:rsid w:val="7708C4B4"/>
    <w:rsid w:val="771687BC"/>
    <w:rsid w:val="77188E66"/>
    <w:rsid w:val="771F5E28"/>
    <w:rsid w:val="7722EC38"/>
    <w:rsid w:val="77261C64"/>
    <w:rsid w:val="7728DE80"/>
    <w:rsid w:val="772C793C"/>
    <w:rsid w:val="772F9BE3"/>
    <w:rsid w:val="772FF7DC"/>
    <w:rsid w:val="77333182"/>
    <w:rsid w:val="7733F2A1"/>
    <w:rsid w:val="77415BFF"/>
    <w:rsid w:val="77528F82"/>
    <w:rsid w:val="7754C487"/>
    <w:rsid w:val="775D5B3B"/>
    <w:rsid w:val="775EEE87"/>
    <w:rsid w:val="775F8184"/>
    <w:rsid w:val="7763D2E6"/>
    <w:rsid w:val="7767973C"/>
    <w:rsid w:val="77782A52"/>
    <w:rsid w:val="778239E4"/>
    <w:rsid w:val="7782D187"/>
    <w:rsid w:val="779BF1B8"/>
    <w:rsid w:val="779C1806"/>
    <w:rsid w:val="779C18BF"/>
    <w:rsid w:val="77A4A132"/>
    <w:rsid w:val="77A8BE2D"/>
    <w:rsid w:val="77AB0030"/>
    <w:rsid w:val="77B6FAF6"/>
    <w:rsid w:val="77B88CF2"/>
    <w:rsid w:val="77B8FDCB"/>
    <w:rsid w:val="77B92697"/>
    <w:rsid w:val="77BACB99"/>
    <w:rsid w:val="77BCD8E4"/>
    <w:rsid w:val="77C2BCE5"/>
    <w:rsid w:val="77C2E35D"/>
    <w:rsid w:val="77D38867"/>
    <w:rsid w:val="77D3C1DC"/>
    <w:rsid w:val="77D43810"/>
    <w:rsid w:val="77D7F2B4"/>
    <w:rsid w:val="77E185C1"/>
    <w:rsid w:val="77E39827"/>
    <w:rsid w:val="77E67FB0"/>
    <w:rsid w:val="77E736B2"/>
    <w:rsid w:val="77EDD00F"/>
    <w:rsid w:val="77EE67AA"/>
    <w:rsid w:val="77F0A658"/>
    <w:rsid w:val="77F5B2CD"/>
    <w:rsid w:val="77F70DD7"/>
    <w:rsid w:val="77F9608E"/>
    <w:rsid w:val="77FF1C8A"/>
    <w:rsid w:val="78057F07"/>
    <w:rsid w:val="7808BA94"/>
    <w:rsid w:val="780ADA8C"/>
    <w:rsid w:val="780C56A1"/>
    <w:rsid w:val="780EBF8D"/>
    <w:rsid w:val="781E9BB9"/>
    <w:rsid w:val="78297F9B"/>
    <w:rsid w:val="7832D1EC"/>
    <w:rsid w:val="783446F6"/>
    <w:rsid w:val="78351EF2"/>
    <w:rsid w:val="7836EFC8"/>
    <w:rsid w:val="783CF06E"/>
    <w:rsid w:val="783EC574"/>
    <w:rsid w:val="783FCDE3"/>
    <w:rsid w:val="7841F119"/>
    <w:rsid w:val="784253B5"/>
    <w:rsid w:val="7847CED0"/>
    <w:rsid w:val="78559219"/>
    <w:rsid w:val="785E7019"/>
    <w:rsid w:val="78620153"/>
    <w:rsid w:val="7864085F"/>
    <w:rsid w:val="78682200"/>
    <w:rsid w:val="786AB8C7"/>
    <w:rsid w:val="787BD314"/>
    <w:rsid w:val="78800766"/>
    <w:rsid w:val="7889511F"/>
    <w:rsid w:val="788AD266"/>
    <w:rsid w:val="78926ACB"/>
    <w:rsid w:val="78A42C6F"/>
    <w:rsid w:val="78B63417"/>
    <w:rsid w:val="78B6C4C5"/>
    <w:rsid w:val="78C219A2"/>
    <w:rsid w:val="78CC0DEF"/>
    <w:rsid w:val="78D07A7A"/>
    <w:rsid w:val="78D4FA16"/>
    <w:rsid w:val="78DE5460"/>
    <w:rsid w:val="78DEC973"/>
    <w:rsid w:val="78E89773"/>
    <w:rsid w:val="78EF2319"/>
    <w:rsid w:val="78EF7FE4"/>
    <w:rsid w:val="78F1F8E4"/>
    <w:rsid w:val="79004684"/>
    <w:rsid w:val="7901AF92"/>
    <w:rsid w:val="7906B01B"/>
    <w:rsid w:val="79139D71"/>
    <w:rsid w:val="791A3F2D"/>
    <w:rsid w:val="79239CD7"/>
    <w:rsid w:val="79246295"/>
    <w:rsid w:val="792A9911"/>
    <w:rsid w:val="793982E3"/>
    <w:rsid w:val="793F9FD0"/>
    <w:rsid w:val="79428A94"/>
    <w:rsid w:val="7946CAF9"/>
    <w:rsid w:val="79496CF2"/>
    <w:rsid w:val="794C4626"/>
    <w:rsid w:val="794D1566"/>
    <w:rsid w:val="794DA67A"/>
    <w:rsid w:val="7955D26F"/>
    <w:rsid w:val="7957F557"/>
    <w:rsid w:val="79587E27"/>
    <w:rsid w:val="795BB799"/>
    <w:rsid w:val="796626B8"/>
    <w:rsid w:val="79669B25"/>
    <w:rsid w:val="796E81BF"/>
    <w:rsid w:val="796ED26C"/>
    <w:rsid w:val="797367CB"/>
    <w:rsid w:val="797CA716"/>
    <w:rsid w:val="797F3603"/>
    <w:rsid w:val="7980C15B"/>
    <w:rsid w:val="798E17C8"/>
    <w:rsid w:val="7992CCD6"/>
    <w:rsid w:val="79968C2D"/>
    <w:rsid w:val="799C9309"/>
    <w:rsid w:val="79A0965F"/>
    <w:rsid w:val="79AE96DF"/>
    <w:rsid w:val="79B52E99"/>
    <w:rsid w:val="79C648EE"/>
    <w:rsid w:val="79C93B0D"/>
    <w:rsid w:val="79CCE2C0"/>
    <w:rsid w:val="79D121CA"/>
    <w:rsid w:val="79D4E23E"/>
    <w:rsid w:val="79DA09E7"/>
    <w:rsid w:val="79E6D37C"/>
    <w:rsid w:val="79EC109F"/>
    <w:rsid w:val="79F4ED74"/>
    <w:rsid w:val="79F58267"/>
    <w:rsid w:val="79FBEDC0"/>
    <w:rsid w:val="79FC0A36"/>
    <w:rsid w:val="79FCF76C"/>
    <w:rsid w:val="7A0272D6"/>
    <w:rsid w:val="7A02C450"/>
    <w:rsid w:val="7A04980D"/>
    <w:rsid w:val="7A0C18E0"/>
    <w:rsid w:val="7A0C6729"/>
    <w:rsid w:val="7A0EA375"/>
    <w:rsid w:val="7A161D52"/>
    <w:rsid w:val="7A1C7599"/>
    <w:rsid w:val="7A1D5FDE"/>
    <w:rsid w:val="7A1E87E6"/>
    <w:rsid w:val="7A22FA73"/>
    <w:rsid w:val="7A2A96D7"/>
    <w:rsid w:val="7A3397BA"/>
    <w:rsid w:val="7A352654"/>
    <w:rsid w:val="7A38613D"/>
    <w:rsid w:val="7A39BAB1"/>
    <w:rsid w:val="7A42D92C"/>
    <w:rsid w:val="7A449B88"/>
    <w:rsid w:val="7A48408D"/>
    <w:rsid w:val="7A5C1309"/>
    <w:rsid w:val="7A5F5654"/>
    <w:rsid w:val="7A5F9BC0"/>
    <w:rsid w:val="7A670C58"/>
    <w:rsid w:val="7A6ABB2A"/>
    <w:rsid w:val="7A711F8A"/>
    <w:rsid w:val="7A76F312"/>
    <w:rsid w:val="7A7E65EF"/>
    <w:rsid w:val="7A84A471"/>
    <w:rsid w:val="7A850D94"/>
    <w:rsid w:val="7A8A333A"/>
    <w:rsid w:val="7A8AC628"/>
    <w:rsid w:val="7A94B70B"/>
    <w:rsid w:val="7AA6E643"/>
    <w:rsid w:val="7AAA1F21"/>
    <w:rsid w:val="7AAD800C"/>
    <w:rsid w:val="7AAE9585"/>
    <w:rsid w:val="7AB455C3"/>
    <w:rsid w:val="7AB61679"/>
    <w:rsid w:val="7AC0ED4D"/>
    <w:rsid w:val="7AC559B1"/>
    <w:rsid w:val="7AC68543"/>
    <w:rsid w:val="7AC82ED1"/>
    <w:rsid w:val="7AC9D32B"/>
    <w:rsid w:val="7ACC78BD"/>
    <w:rsid w:val="7AD00057"/>
    <w:rsid w:val="7AD76DB3"/>
    <w:rsid w:val="7AD9A176"/>
    <w:rsid w:val="7ADC8FED"/>
    <w:rsid w:val="7AE5AC91"/>
    <w:rsid w:val="7AF2AE44"/>
    <w:rsid w:val="7B02A4B1"/>
    <w:rsid w:val="7B0F3D7E"/>
    <w:rsid w:val="7B1440D7"/>
    <w:rsid w:val="7B156732"/>
    <w:rsid w:val="7B1C82C6"/>
    <w:rsid w:val="7B1D476C"/>
    <w:rsid w:val="7B21A955"/>
    <w:rsid w:val="7B236027"/>
    <w:rsid w:val="7B24947D"/>
    <w:rsid w:val="7B2BE95D"/>
    <w:rsid w:val="7B2E19D8"/>
    <w:rsid w:val="7B2F92CE"/>
    <w:rsid w:val="7B35BB2C"/>
    <w:rsid w:val="7B36559C"/>
    <w:rsid w:val="7B38D89F"/>
    <w:rsid w:val="7B3917B0"/>
    <w:rsid w:val="7B3E0385"/>
    <w:rsid w:val="7B490EBE"/>
    <w:rsid w:val="7B4DC303"/>
    <w:rsid w:val="7B5876A5"/>
    <w:rsid w:val="7B5EDFA4"/>
    <w:rsid w:val="7B6D0398"/>
    <w:rsid w:val="7B6DB95E"/>
    <w:rsid w:val="7B6EF45C"/>
    <w:rsid w:val="7B71433B"/>
    <w:rsid w:val="7B73A851"/>
    <w:rsid w:val="7B7450A5"/>
    <w:rsid w:val="7B74869A"/>
    <w:rsid w:val="7B763134"/>
    <w:rsid w:val="7B7975FE"/>
    <w:rsid w:val="7B7DD49E"/>
    <w:rsid w:val="7B827807"/>
    <w:rsid w:val="7B8BBF84"/>
    <w:rsid w:val="7B912200"/>
    <w:rsid w:val="7B920281"/>
    <w:rsid w:val="7B94C6F9"/>
    <w:rsid w:val="7B98A3C1"/>
    <w:rsid w:val="7B9CB47F"/>
    <w:rsid w:val="7B9D3D1D"/>
    <w:rsid w:val="7BA12225"/>
    <w:rsid w:val="7BAE1866"/>
    <w:rsid w:val="7BB3DE7F"/>
    <w:rsid w:val="7BC29809"/>
    <w:rsid w:val="7BC5E9FF"/>
    <w:rsid w:val="7BC9556E"/>
    <w:rsid w:val="7BCBED4F"/>
    <w:rsid w:val="7BD156DC"/>
    <w:rsid w:val="7BD6D1EB"/>
    <w:rsid w:val="7BE3A163"/>
    <w:rsid w:val="7BF37ADD"/>
    <w:rsid w:val="7BF4F10B"/>
    <w:rsid w:val="7BFBA1A6"/>
    <w:rsid w:val="7BFE99AA"/>
    <w:rsid w:val="7C03F627"/>
    <w:rsid w:val="7C0BD3B1"/>
    <w:rsid w:val="7C0DCF76"/>
    <w:rsid w:val="7C1142C4"/>
    <w:rsid w:val="7C1B7F45"/>
    <w:rsid w:val="7C1E719E"/>
    <w:rsid w:val="7C21878E"/>
    <w:rsid w:val="7C250176"/>
    <w:rsid w:val="7C271F98"/>
    <w:rsid w:val="7C287861"/>
    <w:rsid w:val="7C2C788C"/>
    <w:rsid w:val="7C2CEC6B"/>
    <w:rsid w:val="7C31482D"/>
    <w:rsid w:val="7C32B501"/>
    <w:rsid w:val="7C32C157"/>
    <w:rsid w:val="7C3B8488"/>
    <w:rsid w:val="7C3FAEA1"/>
    <w:rsid w:val="7C445EBC"/>
    <w:rsid w:val="7C46AE0B"/>
    <w:rsid w:val="7C482182"/>
    <w:rsid w:val="7C4DFA27"/>
    <w:rsid w:val="7C510A2C"/>
    <w:rsid w:val="7C550F3E"/>
    <w:rsid w:val="7C5AD43D"/>
    <w:rsid w:val="7C5BC16A"/>
    <w:rsid w:val="7C612CFD"/>
    <w:rsid w:val="7C68F07F"/>
    <w:rsid w:val="7C6FF3B4"/>
    <w:rsid w:val="7C73DF58"/>
    <w:rsid w:val="7C7A933E"/>
    <w:rsid w:val="7C7B490D"/>
    <w:rsid w:val="7C891BC3"/>
    <w:rsid w:val="7C8A74E1"/>
    <w:rsid w:val="7C8F4691"/>
    <w:rsid w:val="7C975D49"/>
    <w:rsid w:val="7C9D8F4D"/>
    <w:rsid w:val="7CAB712E"/>
    <w:rsid w:val="7CAC6433"/>
    <w:rsid w:val="7CAD15B2"/>
    <w:rsid w:val="7CB917CD"/>
    <w:rsid w:val="7CC8BF18"/>
    <w:rsid w:val="7CCE59AF"/>
    <w:rsid w:val="7CCE5B02"/>
    <w:rsid w:val="7CE85E29"/>
    <w:rsid w:val="7CEC7AD3"/>
    <w:rsid w:val="7CF6FCE0"/>
    <w:rsid w:val="7D002848"/>
    <w:rsid w:val="7D005737"/>
    <w:rsid w:val="7D027599"/>
    <w:rsid w:val="7D0A74AB"/>
    <w:rsid w:val="7D0DC853"/>
    <w:rsid w:val="7D1077FA"/>
    <w:rsid w:val="7D10A129"/>
    <w:rsid w:val="7D126791"/>
    <w:rsid w:val="7D1376CC"/>
    <w:rsid w:val="7D13FCC0"/>
    <w:rsid w:val="7D14E8F4"/>
    <w:rsid w:val="7D15AF63"/>
    <w:rsid w:val="7D27844C"/>
    <w:rsid w:val="7D282A6A"/>
    <w:rsid w:val="7D2A8F39"/>
    <w:rsid w:val="7D2E2157"/>
    <w:rsid w:val="7D2F3545"/>
    <w:rsid w:val="7D3C4307"/>
    <w:rsid w:val="7D3D0A44"/>
    <w:rsid w:val="7D3E997C"/>
    <w:rsid w:val="7D5FC573"/>
    <w:rsid w:val="7D63379B"/>
    <w:rsid w:val="7D6754D8"/>
    <w:rsid w:val="7D68BD13"/>
    <w:rsid w:val="7D6CCEB3"/>
    <w:rsid w:val="7D70A22F"/>
    <w:rsid w:val="7D7461F4"/>
    <w:rsid w:val="7D7CB1A2"/>
    <w:rsid w:val="7D81FD78"/>
    <w:rsid w:val="7D82E607"/>
    <w:rsid w:val="7D84AB2C"/>
    <w:rsid w:val="7D84FB60"/>
    <w:rsid w:val="7D8C952D"/>
    <w:rsid w:val="7D8D44AC"/>
    <w:rsid w:val="7D9C1367"/>
    <w:rsid w:val="7DA1C128"/>
    <w:rsid w:val="7DA254A8"/>
    <w:rsid w:val="7DA49068"/>
    <w:rsid w:val="7DA94677"/>
    <w:rsid w:val="7DB03997"/>
    <w:rsid w:val="7DB08575"/>
    <w:rsid w:val="7DB27CED"/>
    <w:rsid w:val="7DB323E9"/>
    <w:rsid w:val="7DB701A4"/>
    <w:rsid w:val="7DC419FB"/>
    <w:rsid w:val="7DC50C49"/>
    <w:rsid w:val="7DD1699A"/>
    <w:rsid w:val="7DD5ACE0"/>
    <w:rsid w:val="7DD64400"/>
    <w:rsid w:val="7DD85EB5"/>
    <w:rsid w:val="7DE4257C"/>
    <w:rsid w:val="7DEEB39D"/>
    <w:rsid w:val="7DF0F357"/>
    <w:rsid w:val="7DF949B2"/>
    <w:rsid w:val="7DFA40EF"/>
    <w:rsid w:val="7E09710D"/>
    <w:rsid w:val="7E0998E2"/>
    <w:rsid w:val="7E109B32"/>
    <w:rsid w:val="7E1788B1"/>
    <w:rsid w:val="7E191601"/>
    <w:rsid w:val="7E195206"/>
    <w:rsid w:val="7E19FF05"/>
    <w:rsid w:val="7E2235C4"/>
    <w:rsid w:val="7E26F7DE"/>
    <w:rsid w:val="7E2C373E"/>
    <w:rsid w:val="7E31B82D"/>
    <w:rsid w:val="7E33A0E7"/>
    <w:rsid w:val="7E4A6DCB"/>
    <w:rsid w:val="7E56D5F8"/>
    <w:rsid w:val="7E5B6A6A"/>
    <w:rsid w:val="7E5BEF1E"/>
    <w:rsid w:val="7E5D993D"/>
    <w:rsid w:val="7E5F828D"/>
    <w:rsid w:val="7E619CE3"/>
    <w:rsid w:val="7E71AE43"/>
    <w:rsid w:val="7E7ACB61"/>
    <w:rsid w:val="7E856855"/>
    <w:rsid w:val="7E85A184"/>
    <w:rsid w:val="7E88A400"/>
    <w:rsid w:val="7E8964AE"/>
    <w:rsid w:val="7E8ACFF1"/>
    <w:rsid w:val="7E8FBD58"/>
    <w:rsid w:val="7E9108EE"/>
    <w:rsid w:val="7E941376"/>
    <w:rsid w:val="7E97C76E"/>
    <w:rsid w:val="7E97E3AB"/>
    <w:rsid w:val="7E9945CE"/>
    <w:rsid w:val="7E9E9DD5"/>
    <w:rsid w:val="7EA4A45A"/>
    <w:rsid w:val="7EA568AC"/>
    <w:rsid w:val="7EA7BC48"/>
    <w:rsid w:val="7EA91AA1"/>
    <w:rsid w:val="7EA97C5B"/>
    <w:rsid w:val="7EA99151"/>
    <w:rsid w:val="7EA9DCA0"/>
    <w:rsid w:val="7EB82740"/>
    <w:rsid w:val="7EBB2B37"/>
    <w:rsid w:val="7EC76D4F"/>
    <w:rsid w:val="7ECCC06E"/>
    <w:rsid w:val="7ECF5D13"/>
    <w:rsid w:val="7ED86617"/>
    <w:rsid w:val="7EE8B1A5"/>
    <w:rsid w:val="7EEA4BB7"/>
    <w:rsid w:val="7EF040E9"/>
    <w:rsid w:val="7EF5A05F"/>
    <w:rsid w:val="7EF69BD0"/>
    <w:rsid w:val="7EF833A9"/>
    <w:rsid w:val="7EF93E05"/>
    <w:rsid w:val="7EFA6A73"/>
    <w:rsid w:val="7EFEE4AA"/>
    <w:rsid w:val="7EFFF052"/>
    <w:rsid w:val="7F0BEFA1"/>
    <w:rsid w:val="7F0E84C1"/>
    <w:rsid w:val="7F101F16"/>
    <w:rsid w:val="7F11DF6B"/>
    <w:rsid w:val="7F187E0F"/>
    <w:rsid w:val="7F224682"/>
    <w:rsid w:val="7F26A1FD"/>
    <w:rsid w:val="7F2967DA"/>
    <w:rsid w:val="7F322200"/>
    <w:rsid w:val="7F394198"/>
    <w:rsid w:val="7F4006C8"/>
    <w:rsid w:val="7F5098A7"/>
    <w:rsid w:val="7F5AFC35"/>
    <w:rsid w:val="7F6083E6"/>
    <w:rsid w:val="7F6B703A"/>
    <w:rsid w:val="7F750918"/>
    <w:rsid w:val="7F7C842E"/>
    <w:rsid w:val="7F7E2836"/>
    <w:rsid w:val="7F7EA37A"/>
    <w:rsid w:val="7F836805"/>
    <w:rsid w:val="7F85BA6F"/>
    <w:rsid w:val="7F89EE15"/>
    <w:rsid w:val="7F8CB000"/>
    <w:rsid w:val="7F8D17FF"/>
    <w:rsid w:val="7F8FFDDC"/>
    <w:rsid w:val="7F986BF5"/>
    <w:rsid w:val="7FA10F94"/>
    <w:rsid w:val="7FA31E18"/>
    <w:rsid w:val="7FAB801A"/>
    <w:rsid w:val="7FAC37CF"/>
    <w:rsid w:val="7FAD0993"/>
    <w:rsid w:val="7FAD8559"/>
    <w:rsid w:val="7FAE6F17"/>
    <w:rsid w:val="7FAE92B2"/>
    <w:rsid w:val="7FB29E68"/>
    <w:rsid w:val="7FBBC9B8"/>
    <w:rsid w:val="7FBD16AB"/>
    <w:rsid w:val="7FC054FD"/>
    <w:rsid w:val="7FC139AD"/>
    <w:rsid w:val="7FCA76C7"/>
    <w:rsid w:val="7FCE3F1A"/>
    <w:rsid w:val="7FD3C4A3"/>
    <w:rsid w:val="7FD5BCC1"/>
    <w:rsid w:val="7FDA33F3"/>
    <w:rsid w:val="7FDC2510"/>
    <w:rsid w:val="7FE22F9C"/>
    <w:rsid w:val="7FE9265B"/>
    <w:rsid w:val="7FEBE89A"/>
    <w:rsid w:val="7FED4E2B"/>
    <w:rsid w:val="7FEDECD8"/>
    <w:rsid w:val="7FFF5491"/>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4B64FC"/>
  <w15:chartTrackingRefBased/>
  <w15:docId w15:val="{E82292F7-D6B2-41B4-8CA9-1BD56E03F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 w:eastAsia="en-I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5873"/>
  </w:style>
  <w:style w:type="paragraph" w:styleId="Heading1">
    <w:name w:val="heading 1"/>
    <w:basedOn w:val="Normal"/>
    <w:next w:val="Normal"/>
    <w:link w:val="Heading1Char"/>
    <w:uiPriority w:val="9"/>
    <w:qFormat/>
    <w:rsid w:val="003B5873"/>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unhideWhenUsed/>
    <w:qFormat/>
    <w:rsid w:val="003B5873"/>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3B5873"/>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3B5873"/>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semiHidden/>
    <w:unhideWhenUsed/>
    <w:qFormat/>
    <w:rsid w:val="003B5873"/>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3B5873"/>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3B5873"/>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DC139C"/>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DC139C"/>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5873"/>
    <w:pPr>
      <w:tabs>
        <w:tab w:val="right" w:pos="9638"/>
      </w:tabs>
    </w:pPr>
  </w:style>
  <w:style w:type="character" w:customStyle="1" w:styleId="HeaderChar">
    <w:name w:val="Header Char"/>
    <w:basedOn w:val="DefaultParagraphFont"/>
    <w:link w:val="Header"/>
    <w:uiPriority w:val="99"/>
    <w:rsid w:val="00AA79E8"/>
  </w:style>
  <w:style w:type="paragraph" w:styleId="Footer">
    <w:name w:val="footer"/>
    <w:basedOn w:val="Normal"/>
    <w:link w:val="FooterChar"/>
    <w:uiPriority w:val="99"/>
    <w:unhideWhenUsed/>
    <w:rsid w:val="003B5873"/>
    <w:pPr>
      <w:tabs>
        <w:tab w:val="center" w:pos="4819"/>
        <w:tab w:val="center" w:pos="7370"/>
        <w:tab w:val="right" w:pos="9638"/>
      </w:tabs>
      <w:spacing w:after="0" w:line="240" w:lineRule="auto"/>
    </w:pPr>
  </w:style>
  <w:style w:type="character" w:customStyle="1" w:styleId="FooterChar">
    <w:name w:val="Footer Char"/>
    <w:basedOn w:val="DefaultParagraphFont"/>
    <w:link w:val="Footer"/>
    <w:uiPriority w:val="99"/>
    <w:rsid w:val="00AA79E8"/>
  </w:style>
  <w:style w:type="paragraph" w:styleId="FootnoteText">
    <w:name w:val="footnote text"/>
    <w:basedOn w:val="Normal"/>
    <w:link w:val="FootnoteTextChar"/>
    <w:uiPriority w:val="99"/>
    <w:unhideWhenUsed/>
    <w:rsid w:val="003B5873"/>
    <w:pPr>
      <w:spacing w:after="0" w:line="240" w:lineRule="auto"/>
      <w:ind w:left="720" w:hanging="720"/>
    </w:pPr>
    <w:rPr>
      <w:szCs w:val="20"/>
    </w:rPr>
  </w:style>
  <w:style w:type="character" w:customStyle="1" w:styleId="FootnoteTextChar">
    <w:name w:val="Footnote Text Char"/>
    <w:basedOn w:val="DefaultParagraphFont"/>
    <w:link w:val="FootnoteText"/>
    <w:uiPriority w:val="99"/>
    <w:rsid w:val="00AA79E8"/>
    <w:rPr>
      <w:szCs w:val="20"/>
    </w:rPr>
  </w:style>
  <w:style w:type="paragraph" w:customStyle="1" w:styleId="HeaderLandscape">
    <w:name w:val="HeaderLandscape"/>
    <w:basedOn w:val="Normal"/>
    <w:rsid w:val="003B5873"/>
    <w:pPr>
      <w:tabs>
        <w:tab w:val="right" w:pos="14570"/>
      </w:tabs>
    </w:pPr>
  </w:style>
  <w:style w:type="paragraph" w:customStyle="1" w:styleId="FooterLandscape">
    <w:name w:val="FooterLandscape"/>
    <w:basedOn w:val="Normal"/>
    <w:rsid w:val="003B5873"/>
    <w:pPr>
      <w:tabs>
        <w:tab w:val="center" w:pos="7285"/>
        <w:tab w:val="center" w:pos="10930"/>
        <w:tab w:val="right" w:pos="14570"/>
      </w:tabs>
      <w:spacing w:after="0" w:line="240" w:lineRule="auto"/>
    </w:pPr>
  </w:style>
  <w:style w:type="character" w:styleId="FootnoteReference">
    <w:name w:val="footnote reference"/>
    <w:basedOn w:val="DefaultParagraphFont"/>
    <w:uiPriority w:val="99"/>
    <w:unhideWhenUsed/>
    <w:rsid w:val="003B5873"/>
    <w:rPr>
      <w:b/>
      <w:bdr w:val="none" w:sz="0" w:space="0" w:color="auto"/>
      <w:shd w:val="clear" w:color="auto" w:fill="auto"/>
      <w:vertAlign w:val="superscript"/>
    </w:rPr>
  </w:style>
  <w:style w:type="paragraph" w:customStyle="1" w:styleId="HeaderCouncil">
    <w:name w:val="Header Council"/>
    <w:basedOn w:val="Normal"/>
    <w:link w:val="HeaderCouncilChar"/>
    <w:rsid w:val="003B5873"/>
    <w:pPr>
      <w:spacing w:after="0" w:line="240" w:lineRule="auto"/>
    </w:pPr>
    <w:rPr>
      <w:sz w:val="2"/>
    </w:rPr>
  </w:style>
  <w:style w:type="paragraph" w:customStyle="1" w:styleId="FooterCouncil">
    <w:name w:val="Footer Council"/>
    <w:basedOn w:val="Normal"/>
    <w:link w:val="FooterCouncilChar"/>
    <w:rsid w:val="003B5873"/>
    <w:pPr>
      <w:spacing w:after="0" w:line="240" w:lineRule="auto"/>
    </w:pPr>
    <w:rPr>
      <w:sz w:val="2"/>
    </w:rPr>
  </w:style>
  <w:style w:type="paragraph" w:customStyle="1" w:styleId="TechnicalBlock">
    <w:name w:val="Technical Block"/>
    <w:basedOn w:val="Normal"/>
    <w:next w:val="Normal"/>
    <w:link w:val="TechnicalBlockChar"/>
    <w:rsid w:val="003B5873"/>
    <w:pPr>
      <w:spacing w:after="240" w:line="240" w:lineRule="auto"/>
      <w:jc w:val="center"/>
    </w:pPr>
  </w:style>
  <w:style w:type="character" w:customStyle="1" w:styleId="Marker">
    <w:name w:val="Marker"/>
    <w:basedOn w:val="DefaultParagraphFont"/>
    <w:rsid w:val="00AA79E8"/>
    <w:rPr>
      <w:color w:val="0000FF"/>
      <w:bdr w:val="none" w:sz="0" w:space="0" w:color="auto"/>
      <w:shd w:val="clear" w:color="auto" w:fill="auto"/>
    </w:rPr>
  </w:style>
  <w:style w:type="character" w:customStyle="1" w:styleId="Marker1">
    <w:name w:val="Marker1"/>
    <w:basedOn w:val="DefaultParagraphFont"/>
    <w:rsid w:val="00AA79E8"/>
    <w:rPr>
      <w:color w:val="008000"/>
      <w:bdr w:val="none" w:sz="0" w:space="0" w:color="auto"/>
      <w:shd w:val="clear" w:color="auto" w:fill="auto"/>
    </w:rPr>
  </w:style>
  <w:style w:type="paragraph" w:customStyle="1" w:styleId="FinalLine">
    <w:name w:val="Final Line"/>
    <w:basedOn w:val="Normal"/>
    <w:next w:val="Normal"/>
    <w:rsid w:val="00AA79E8"/>
    <w:pPr>
      <w:pBdr>
        <w:bottom w:val="single" w:sz="4" w:space="0" w:color="000000"/>
      </w:pBdr>
      <w:spacing w:before="360"/>
      <w:ind w:left="3400" w:right="3400"/>
      <w:jc w:val="center"/>
    </w:pPr>
    <w:rPr>
      <w:b/>
    </w:rPr>
  </w:style>
  <w:style w:type="paragraph" w:customStyle="1" w:styleId="FinalLineLandscape">
    <w:name w:val="Final Line (Landscape)"/>
    <w:basedOn w:val="Normal"/>
    <w:next w:val="Normal"/>
    <w:rsid w:val="00AA79E8"/>
    <w:pPr>
      <w:pBdr>
        <w:bottom w:val="single" w:sz="4" w:space="0" w:color="000000"/>
      </w:pBdr>
      <w:spacing w:before="360"/>
      <w:ind w:left="5868" w:right="5868"/>
      <w:jc w:val="center"/>
    </w:pPr>
    <w:rPr>
      <w:b/>
    </w:rPr>
  </w:style>
  <w:style w:type="paragraph" w:customStyle="1" w:styleId="EntLogo">
    <w:name w:val="EntLogo"/>
    <w:basedOn w:val="Normal"/>
    <w:rsid w:val="00AA79E8"/>
    <w:pPr>
      <w:tabs>
        <w:tab w:val="right" w:pos="9639"/>
      </w:tabs>
      <w:spacing w:after="0"/>
    </w:pPr>
    <w:rPr>
      <w:b/>
    </w:rPr>
  </w:style>
  <w:style w:type="paragraph" w:customStyle="1" w:styleId="EntEmet">
    <w:name w:val="EntEmet"/>
    <w:basedOn w:val="Normal"/>
    <w:rsid w:val="00AA79E8"/>
    <w:pPr>
      <w:spacing w:before="40" w:after="0" w:line="240" w:lineRule="auto"/>
    </w:pPr>
  </w:style>
  <w:style w:type="paragraph" w:customStyle="1" w:styleId="EntInstit">
    <w:name w:val="EntInstit"/>
    <w:basedOn w:val="Normal"/>
    <w:rsid w:val="00AA79E8"/>
    <w:pPr>
      <w:spacing w:after="0" w:line="240" w:lineRule="auto"/>
      <w:jc w:val="right"/>
    </w:pPr>
    <w:rPr>
      <w:b/>
    </w:rPr>
  </w:style>
  <w:style w:type="paragraph" w:customStyle="1" w:styleId="EntRefer">
    <w:name w:val="EntRefer"/>
    <w:basedOn w:val="Normal"/>
    <w:rsid w:val="00AA79E8"/>
    <w:pPr>
      <w:spacing w:after="0" w:line="240" w:lineRule="auto"/>
    </w:pPr>
    <w:rPr>
      <w:b/>
    </w:rPr>
  </w:style>
  <w:style w:type="paragraph" w:customStyle="1" w:styleId="Genredudocument">
    <w:name w:val="Genre du document"/>
    <w:basedOn w:val="EntRefer"/>
    <w:next w:val="EntRefer"/>
    <w:rsid w:val="00AA79E8"/>
    <w:pPr>
      <w:spacing w:before="240"/>
    </w:pPr>
  </w:style>
  <w:style w:type="paragraph" w:customStyle="1" w:styleId="Languagesconcerned">
    <w:name w:val="Languages concerned"/>
    <w:basedOn w:val="Normal"/>
    <w:next w:val="Procedureapplicable"/>
    <w:rsid w:val="00AA79E8"/>
    <w:pPr>
      <w:spacing w:before="240"/>
    </w:pPr>
  </w:style>
  <w:style w:type="paragraph" w:customStyle="1" w:styleId="Procedureapplicable">
    <w:name w:val="Procedure applicable"/>
    <w:basedOn w:val="Normal"/>
    <w:next w:val="Proceduretype"/>
    <w:rsid w:val="00AA79E8"/>
    <w:pPr>
      <w:spacing w:before="240"/>
    </w:pPr>
  </w:style>
  <w:style w:type="paragraph" w:customStyle="1" w:styleId="Proceduretype">
    <w:name w:val="Procedure type"/>
    <w:basedOn w:val="Normal"/>
    <w:next w:val="Normal"/>
    <w:rsid w:val="00AA79E8"/>
    <w:pPr>
      <w:spacing w:before="240" w:after="0"/>
    </w:pPr>
  </w:style>
  <w:style w:type="paragraph" w:customStyle="1" w:styleId="Agreement">
    <w:name w:val="Agreement"/>
    <w:basedOn w:val="Normal"/>
    <w:next w:val="Normal"/>
    <w:rsid w:val="00AA79E8"/>
  </w:style>
  <w:style w:type="paragraph" w:customStyle="1" w:styleId="Timelimit">
    <w:name w:val="Time limit"/>
    <w:basedOn w:val="Normal"/>
    <w:next w:val="Normal"/>
    <w:rsid w:val="00AA79E8"/>
    <w:pPr>
      <w:spacing w:before="240"/>
    </w:pPr>
  </w:style>
  <w:style w:type="paragraph" w:customStyle="1" w:styleId="Remarks">
    <w:name w:val="Remarks"/>
    <w:basedOn w:val="Normal"/>
    <w:rsid w:val="00AA79E8"/>
    <w:pPr>
      <w:spacing w:before="240"/>
    </w:pPr>
  </w:style>
  <w:style w:type="paragraph" w:customStyle="1" w:styleId="Correctionnewlanguages">
    <w:name w:val="Correction new languages"/>
    <w:basedOn w:val="Normal"/>
    <w:next w:val="Normal"/>
    <w:rsid w:val="00AA79E8"/>
    <w:pPr>
      <w:spacing w:before="240"/>
    </w:pPr>
  </w:style>
  <w:style w:type="paragraph" w:customStyle="1" w:styleId="Anyobservations">
    <w:name w:val="Any observations"/>
    <w:basedOn w:val="Normal"/>
    <w:next w:val="Normal"/>
    <w:rsid w:val="00AA79E8"/>
    <w:pPr>
      <w:spacing w:before="240"/>
    </w:pPr>
    <w:rPr>
      <w:b/>
    </w:rPr>
  </w:style>
  <w:style w:type="paragraph" w:customStyle="1" w:styleId="Annextitle">
    <w:name w:val="Annex title"/>
    <w:basedOn w:val="Normal"/>
    <w:next w:val="Corrigendumtitle"/>
    <w:rsid w:val="00AA79E8"/>
    <w:pPr>
      <w:spacing w:after="0"/>
      <w:jc w:val="right"/>
    </w:pPr>
    <w:rPr>
      <w:b/>
      <w:u w:val="single"/>
    </w:rPr>
  </w:style>
  <w:style w:type="paragraph" w:customStyle="1" w:styleId="Corrigendumtitle">
    <w:name w:val="Corrigendum title"/>
    <w:basedOn w:val="Normal"/>
    <w:next w:val="Corrigendumto"/>
    <w:rsid w:val="00AA79E8"/>
    <w:pPr>
      <w:spacing w:before="240"/>
      <w:jc w:val="center"/>
    </w:pPr>
    <w:rPr>
      <w:b/>
    </w:rPr>
  </w:style>
  <w:style w:type="paragraph" w:customStyle="1" w:styleId="Corrigendumto">
    <w:name w:val="Corrigendum to"/>
    <w:basedOn w:val="Normal"/>
    <w:next w:val="Referencedocument"/>
    <w:rsid w:val="00AA79E8"/>
    <w:pPr>
      <w:spacing w:after="240"/>
      <w:jc w:val="center"/>
    </w:pPr>
    <w:rPr>
      <w:b/>
    </w:rPr>
  </w:style>
  <w:style w:type="paragraph" w:customStyle="1" w:styleId="Referencedocument">
    <w:name w:val="Reference document"/>
    <w:basedOn w:val="Normal"/>
    <w:rsid w:val="00AA79E8"/>
    <w:pPr>
      <w:spacing w:after="0"/>
      <w:jc w:val="center"/>
    </w:pPr>
  </w:style>
  <w:style w:type="paragraph" w:customStyle="1" w:styleId="Correctionpage">
    <w:name w:val="Correction page"/>
    <w:basedOn w:val="Normal"/>
    <w:next w:val="Correctionfortitle"/>
    <w:rsid w:val="00AA79E8"/>
    <w:pPr>
      <w:keepNext/>
      <w:spacing w:before="240"/>
    </w:pPr>
  </w:style>
  <w:style w:type="paragraph" w:customStyle="1" w:styleId="Correctionfortitle">
    <w:name w:val="Correction for title"/>
    <w:basedOn w:val="Normal"/>
    <w:next w:val="Correctionfortext"/>
    <w:rsid w:val="00AA79E8"/>
    <w:pPr>
      <w:keepNext/>
      <w:spacing w:after="240"/>
    </w:pPr>
    <w:rPr>
      <w:i/>
    </w:rPr>
  </w:style>
  <w:style w:type="paragraph" w:customStyle="1" w:styleId="Correctionfortext">
    <w:name w:val="Correction for text"/>
    <w:basedOn w:val="Normal"/>
    <w:rsid w:val="00AA79E8"/>
    <w:pPr>
      <w:spacing w:after="0"/>
    </w:pPr>
  </w:style>
  <w:style w:type="paragraph" w:customStyle="1" w:styleId="Correctionreadtitle">
    <w:name w:val="Correction read title"/>
    <w:basedOn w:val="Normal"/>
    <w:next w:val="Correctionreadtext"/>
    <w:rsid w:val="00AA79E8"/>
    <w:pPr>
      <w:keepNext/>
      <w:spacing w:after="240"/>
    </w:pPr>
    <w:rPr>
      <w:i/>
    </w:rPr>
  </w:style>
  <w:style w:type="paragraph" w:customStyle="1" w:styleId="Correctionreadtext">
    <w:name w:val="Correction read text"/>
    <w:basedOn w:val="Normal"/>
    <w:rsid w:val="00AA79E8"/>
    <w:pPr>
      <w:spacing w:after="0"/>
    </w:pPr>
  </w:style>
  <w:style w:type="paragraph" w:customStyle="1" w:styleId="Phraseofsignature">
    <w:name w:val="Phrase of signature"/>
    <w:basedOn w:val="Normal"/>
    <w:next w:val="Correctionpage"/>
    <w:rsid w:val="00AA79E8"/>
    <w:pPr>
      <w:spacing w:before="240"/>
    </w:pPr>
  </w:style>
  <w:style w:type="paragraph" w:customStyle="1" w:styleId="HeaderCouncilLarge">
    <w:name w:val="Header Council Large"/>
    <w:basedOn w:val="Normal"/>
    <w:link w:val="HeaderCouncilLargeChar"/>
    <w:rsid w:val="003B5873"/>
    <w:pPr>
      <w:spacing w:after="440"/>
      <w:ind w:left="-1134" w:right="-1134"/>
    </w:pPr>
    <w:rPr>
      <w:sz w:val="2"/>
    </w:rPr>
  </w:style>
  <w:style w:type="character" w:customStyle="1" w:styleId="TechnicalBlockChar">
    <w:name w:val="Technical Block Char"/>
    <w:basedOn w:val="DefaultParagraphFont"/>
    <w:link w:val="TechnicalBlock"/>
    <w:rsid w:val="00CB1843"/>
  </w:style>
  <w:style w:type="character" w:customStyle="1" w:styleId="HeaderCouncilLargeChar">
    <w:name w:val="Header Council Large Char"/>
    <w:basedOn w:val="TechnicalBlockChar"/>
    <w:link w:val="HeaderCouncilLarge"/>
    <w:rsid w:val="00CB1843"/>
    <w:rPr>
      <w:sz w:val="2"/>
    </w:rPr>
  </w:style>
  <w:style w:type="paragraph" w:customStyle="1" w:styleId="FooterText">
    <w:name w:val="Footer Text"/>
    <w:basedOn w:val="Normal"/>
    <w:rsid w:val="003B5873"/>
    <w:pPr>
      <w:spacing w:after="0" w:line="240" w:lineRule="auto"/>
    </w:pPr>
    <w:rPr>
      <w:rFonts w:eastAsia="Times New Roman"/>
      <w:szCs w:val="24"/>
    </w:rPr>
  </w:style>
  <w:style w:type="character" w:styleId="PlaceholderText">
    <w:name w:val="Placeholder Text"/>
    <w:basedOn w:val="DefaultParagraphFont"/>
    <w:uiPriority w:val="99"/>
    <w:semiHidden/>
    <w:rsid w:val="00CB1843"/>
    <w:rPr>
      <w:color w:val="808080"/>
    </w:rPr>
  </w:style>
  <w:style w:type="character" w:customStyle="1" w:styleId="Heading1Char">
    <w:name w:val="Heading 1 Char"/>
    <w:basedOn w:val="DefaultParagraphFont"/>
    <w:link w:val="Heading1"/>
    <w:uiPriority w:val="9"/>
    <w:rsid w:val="00DC139C"/>
    <w:rPr>
      <w:rFonts w:asciiTheme="majorHAnsi" w:eastAsiaTheme="majorEastAsia" w:hAnsiTheme="majorHAnsi" w:cstheme="majorBidi"/>
      <w:color w:val="1F3864" w:themeColor="accent1" w:themeShade="80"/>
      <w:sz w:val="36"/>
      <w:szCs w:val="36"/>
    </w:rPr>
  </w:style>
  <w:style w:type="character" w:customStyle="1" w:styleId="Heading2Char">
    <w:name w:val="Heading 2 Char"/>
    <w:basedOn w:val="DefaultParagraphFont"/>
    <w:link w:val="Heading2"/>
    <w:uiPriority w:val="9"/>
    <w:rsid w:val="00DC139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DC139C"/>
    <w:rPr>
      <w:rFonts w:asciiTheme="majorHAnsi" w:eastAsiaTheme="majorEastAsia" w:hAnsiTheme="majorHAnsi" w:cstheme="majorBidi"/>
      <w:color w:val="2F5496" w:themeColor="accent1" w:themeShade="BF"/>
      <w:sz w:val="28"/>
      <w:szCs w:val="28"/>
    </w:rPr>
  </w:style>
  <w:style w:type="character" w:customStyle="1" w:styleId="Heading4Char">
    <w:name w:val="Heading 4 Char"/>
    <w:basedOn w:val="DefaultParagraphFont"/>
    <w:link w:val="Heading4"/>
    <w:uiPriority w:val="9"/>
    <w:rsid w:val="00DC139C"/>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DC139C"/>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DC139C"/>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DC139C"/>
    <w:rPr>
      <w:rFonts w:asciiTheme="majorHAnsi" w:eastAsiaTheme="majorEastAsia" w:hAnsiTheme="majorHAnsi" w:cstheme="majorBidi"/>
      <w:b/>
      <w:bCs/>
      <w:color w:val="1F3864" w:themeColor="accent1" w:themeShade="80"/>
    </w:rPr>
  </w:style>
  <w:style w:type="character" w:styleId="CommentReference">
    <w:name w:val="annotation reference"/>
    <w:basedOn w:val="DefaultParagraphFont"/>
    <w:uiPriority w:val="99"/>
    <w:unhideWhenUsed/>
    <w:qFormat/>
    <w:rsid w:val="00220ABB"/>
    <w:rPr>
      <w:sz w:val="16"/>
    </w:rPr>
  </w:style>
  <w:style w:type="paragraph" w:styleId="CommentText">
    <w:name w:val="annotation text"/>
    <w:basedOn w:val="Normal"/>
    <w:link w:val="CommentTextChar"/>
    <w:uiPriority w:val="99"/>
    <w:unhideWhenUsed/>
    <w:qFormat/>
    <w:rsid w:val="003B5873"/>
    <w:pPr>
      <w:spacing w:line="240" w:lineRule="auto"/>
      <w:jc w:val="both"/>
    </w:pPr>
    <w:rPr>
      <w:sz w:val="20"/>
      <w:szCs w:val="20"/>
    </w:rPr>
  </w:style>
  <w:style w:type="character" w:customStyle="1" w:styleId="CommentTextChar">
    <w:name w:val="Comment Text Char"/>
    <w:basedOn w:val="DefaultParagraphFont"/>
    <w:link w:val="CommentText"/>
    <w:uiPriority w:val="99"/>
    <w:qFormat/>
    <w:rsid w:val="00220ABB"/>
    <w:rPr>
      <w:sz w:val="20"/>
      <w:szCs w:val="20"/>
    </w:rPr>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Welt L,b1,L,EC"/>
    <w:basedOn w:val="Normal"/>
    <w:link w:val="ListParagraphChar"/>
    <w:uiPriority w:val="34"/>
    <w:qFormat/>
    <w:rsid w:val="003B5873"/>
    <w:pPr>
      <w:ind w:left="720"/>
      <w:contextualSpacing/>
    </w:p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b1 Char"/>
    <w:basedOn w:val="DefaultParagraphFont"/>
    <w:link w:val="ListParagraph"/>
    <w:uiPriority w:val="34"/>
    <w:qFormat/>
    <w:locked/>
    <w:rsid w:val="00220ABB"/>
  </w:style>
  <w:style w:type="paragraph" w:styleId="BalloonText">
    <w:name w:val="Balloon Text"/>
    <w:basedOn w:val="Normal"/>
    <w:link w:val="BalloonTextChar"/>
    <w:uiPriority w:val="99"/>
    <w:semiHidden/>
    <w:unhideWhenUsed/>
    <w:rsid w:val="003B5873"/>
    <w:pPr>
      <w:spacing w:after="0" w:line="240" w:lineRule="auto"/>
    </w:pPr>
    <w:rPr>
      <w:rFonts w:ascii="Segoe UI" w:hAnsi="Segoe UI" w:cs="Segoe UI"/>
      <w:sz w:val="18"/>
      <w:szCs w:val="20"/>
    </w:rPr>
  </w:style>
  <w:style w:type="character" w:customStyle="1" w:styleId="BalloonTextChar">
    <w:name w:val="Balloon Text Char"/>
    <w:basedOn w:val="DefaultParagraphFont"/>
    <w:link w:val="BalloonText"/>
    <w:uiPriority w:val="99"/>
    <w:semiHidden/>
    <w:rsid w:val="00220ABB"/>
    <w:rPr>
      <w:rFonts w:ascii="Segoe UI" w:hAnsi="Segoe UI" w:cs="Segoe UI"/>
      <w:sz w:val="18"/>
      <w:szCs w:val="20"/>
    </w:rPr>
  </w:style>
  <w:style w:type="paragraph" w:styleId="CommentSubject">
    <w:name w:val="annotation subject"/>
    <w:basedOn w:val="CommentText"/>
    <w:next w:val="CommentText"/>
    <w:link w:val="CommentSubjectChar"/>
    <w:uiPriority w:val="99"/>
    <w:semiHidden/>
    <w:unhideWhenUsed/>
    <w:rsid w:val="003B5873"/>
    <w:pPr>
      <w:spacing w:after="200"/>
      <w:jc w:val="left"/>
    </w:pPr>
    <w:rPr>
      <w:b/>
    </w:rPr>
  </w:style>
  <w:style w:type="character" w:customStyle="1" w:styleId="CommentSubjectChar">
    <w:name w:val="Comment Subject Char"/>
    <w:basedOn w:val="CommentTextChar"/>
    <w:link w:val="CommentSubject"/>
    <w:uiPriority w:val="99"/>
    <w:semiHidden/>
    <w:rsid w:val="00220ABB"/>
    <w:rPr>
      <w:b/>
      <w:sz w:val="20"/>
      <w:szCs w:val="20"/>
    </w:rPr>
  </w:style>
  <w:style w:type="paragraph" w:styleId="Revision">
    <w:name w:val="Revision"/>
    <w:hidden/>
    <w:uiPriority w:val="99"/>
    <w:semiHidden/>
    <w:rsid w:val="003B5873"/>
    <w:pPr>
      <w:spacing w:after="0" w:line="240" w:lineRule="auto"/>
    </w:pPr>
    <w:rPr>
      <w:szCs w:val="20"/>
    </w:rPr>
  </w:style>
  <w:style w:type="character" w:styleId="Emphasis">
    <w:name w:val="Emphasis"/>
    <w:basedOn w:val="DefaultParagraphFont"/>
    <w:uiPriority w:val="20"/>
    <w:qFormat/>
    <w:rsid w:val="00DC139C"/>
    <w:rPr>
      <w:i/>
      <w:iCs/>
    </w:rPr>
  </w:style>
  <w:style w:type="character" w:customStyle="1" w:styleId="normaltextrun">
    <w:name w:val="normaltextrun"/>
    <w:basedOn w:val="DefaultParagraphFont"/>
    <w:rsid w:val="00220ABB"/>
  </w:style>
  <w:style w:type="character" w:customStyle="1" w:styleId="findhit">
    <w:name w:val="findhit"/>
    <w:basedOn w:val="DefaultParagraphFont"/>
    <w:rsid w:val="00220ABB"/>
  </w:style>
  <w:style w:type="character" w:customStyle="1" w:styleId="eop">
    <w:name w:val="eop"/>
    <w:basedOn w:val="DefaultParagraphFont"/>
    <w:rsid w:val="00220ABB"/>
  </w:style>
  <w:style w:type="table" w:styleId="GridTable1Light-Accent1">
    <w:name w:val="Grid Table 1 Light Accent 1"/>
    <w:basedOn w:val="TableNormal"/>
    <w:uiPriority w:val="46"/>
    <w:rsid w:val="00220ABB"/>
    <w:pPr>
      <w:spacing w:after="0" w:line="240" w:lineRule="auto"/>
    </w:pPr>
    <w:rPr>
      <w:szCs w:val="20"/>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customStyle="1" w:styleId="Text1">
    <w:name w:val="Text 1"/>
    <w:basedOn w:val="Normal"/>
    <w:rsid w:val="003B5873"/>
    <w:pPr>
      <w:keepNext/>
      <w:spacing w:before="40" w:after="0"/>
      <w:jc w:val="both"/>
    </w:pPr>
    <w:rPr>
      <w:szCs w:val="20"/>
    </w:rPr>
  </w:style>
  <w:style w:type="character" w:styleId="IntenseEmphasis">
    <w:name w:val="Intense Emphasis"/>
    <w:basedOn w:val="DefaultParagraphFont"/>
    <w:uiPriority w:val="21"/>
    <w:qFormat/>
    <w:rsid w:val="003B5873"/>
    <w:rPr>
      <w:b/>
      <w:bCs/>
      <w:i/>
      <w:iCs/>
    </w:rPr>
  </w:style>
  <w:style w:type="paragraph" w:customStyle="1" w:styleId="ManualHeading1">
    <w:name w:val="Manual Heading 1"/>
    <w:basedOn w:val="Normal"/>
    <w:next w:val="Text1"/>
    <w:rsid w:val="003B5873"/>
    <w:pPr>
      <w:keepNext/>
      <w:tabs>
        <w:tab w:val="left" w:pos="850"/>
      </w:tabs>
      <w:spacing w:before="360" w:line="240" w:lineRule="auto"/>
      <w:ind w:left="850" w:hanging="850"/>
      <w:jc w:val="both"/>
      <w:outlineLvl w:val="0"/>
    </w:pPr>
    <w:rPr>
      <w:b/>
      <w:smallCaps/>
      <w:szCs w:val="20"/>
    </w:rPr>
  </w:style>
  <w:style w:type="table" w:styleId="TableGrid">
    <w:name w:val="Table Grid"/>
    <w:basedOn w:val="TableNormal"/>
    <w:uiPriority w:val="39"/>
    <w:rsid w:val="00220ABB"/>
    <w:pPr>
      <w:spacing w:after="0" w:line="240" w:lineRule="auto"/>
    </w:pPr>
    <w:rPr>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Par1">
    <w:name w:val="NumPar 1"/>
    <w:basedOn w:val="Normal"/>
    <w:next w:val="Normal"/>
    <w:rsid w:val="003B5873"/>
    <w:pPr>
      <w:numPr>
        <w:numId w:val="8"/>
      </w:numPr>
      <w:spacing w:line="240" w:lineRule="auto"/>
      <w:jc w:val="both"/>
    </w:pPr>
    <w:rPr>
      <w:szCs w:val="20"/>
    </w:rPr>
  </w:style>
  <w:style w:type="paragraph" w:customStyle="1" w:styleId="NumPar2">
    <w:name w:val="NumPar 2"/>
    <w:basedOn w:val="Normal"/>
    <w:next w:val="Normal"/>
    <w:rsid w:val="003B5873"/>
    <w:pPr>
      <w:numPr>
        <w:ilvl w:val="1"/>
        <w:numId w:val="8"/>
      </w:numPr>
      <w:spacing w:line="240" w:lineRule="auto"/>
      <w:jc w:val="both"/>
    </w:pPr>
    <w:rPr>
      <w:szCs w:val="20"/>
    </w:rPr>
  </w:style>
  <w:style w:type="paragraph" w:customStyle="1" w:styleId="NumPar3">
    <w:name w:val="NumPar 3"/>
    <w:basedOn w:val="Normal"/>
    <w:next w:val="Normal"/>
    <w:rsid w:val="003B5873"/>
    <w:pPr>
      <w:numPr>
        <w:ilvl w:val="2"/>
        <w:numId w:val="8"/>
      </w:numPr>
      <w:spacing w:line="240" w:lineRule="auto"/>
      <w:jc w:val="both"/>
    </w:pPr>
    <w:rPr>
      <w:szCs w:val="20"/>
    </w:rPr>
  </w:style>
  <w:style w:type="paragraph" w:customStyle="1" w:styleId="NumPar4">
    <w:name w:val="NumPar 4"/>
    <w:basedOn w:val="Normal"/>
    <w:next w:val="Normal"/>
    <w:rsid w:val="003B5873"/>
    <w:pPr>
      <w:numPr>
        <w:ilvl w:val="3"/>
        <w:numId w:val="8"/>
      </w:numPr>
      <w:spacing w:line="240" w:lineRule="auto"/>
      <w:jc w:val="both"/>
    </w:pPr>
    <w:rPr>
      <w:szCs w:val="20"/>
    </w:rPr>
  </w:style>
  <w:style w:type="paragraph" w:customStyle="1" w:styleId="paragraph">
    <w:name w:val="paragraph"/>
    <w:basedOn w:val="Normal"/>
    <w:rsid w:val="003B5873"/>
    <w:pPr>
      <w:spacing w:before="100" w:beforeAutospacing="1" w:after="100" w:afterAutospacing="1" w:line="240" w:lineRule="auto"/>
    </w:pPr>
    <w:rPr>
      <w:rFonts w:eastAsia="Times New Roman"/>
      <w:szCs w:val="20"/>
    </w:rPr>
  </w:style>
  <w:style w:type="paragraph" w:customStyle="1" w:styleId="Pagedecouverture">
    <w:name w:val="Page de couverture"/>
    <w:basedOn w:val="Normal"/>
    <w:next w:val="Normal"/>
    <w:rsid w:val="003B5873"/>
    <w:pPr>
      <w:spacing w:after="0" w:line="240" w:lineRule="auto"/>
      <w:jc w:val="both"/>
    </w:pPr>
    <w:rPr>
      <w:szCs w:val="20"/>
    </w:rPr>
  </w:style>
  <w:style w:type="paragraph" w:customStyle="1" w:styleId="FooterCoverPage">
    <w:name w:val="Footer Cover Page"/>
    <w:basedOn w:val="Normal"/>
    <w:link w:val="FooterCoverPageChar"/>
    <w:rsid w:val="003B5873"/>
    <w:pPr>
      <w:keepNext/>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220ABB"/>
    <w:rPr>
      <w:rFonts w:ascii="Times New Roman" w:hAnsi="Times New Roman" w:cs="Times New Roman"/>
      <w:sz w:val="24"/>
    </w:rPr>
  </w:style>
  <w:style w:type="paragraph" w:customStyle="1" w:styleId="FooterSensitivity">
    <w:name w:val="Footer Sensitivity"/>
    <w:basedOn w:val="Normal"/>
    <w:link w:val="FooterSensitivityChar"/>
    <w:rsid w:val="003B5873"/>
    <w:pPr>
      <w:keepNext/>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220ABB"/>
    <w:rPr>
      <w:rFonts w:ascii="Times New Roman" w:hAnsi="Times New Roman" w:cs="Times New Roman"/>
      <w:b/>
      <w:sz w:val="32"/>
    </w:rPr>
  </w:style>
  <w:style w:type="paragraph" w:customStyle="1" w:styleId="HeaderCoverPage">
    <w:name w:val="Header Cover Page"/>
    <w:basedOn w:val="Normal"/>
    <w:link w:val="HeaderCoverPageChar"/>
    <w:rsid w:val="003B5873"/>
    <w:pPr>
      <w:keepNext/>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220ABB"/>
    <w:rPr>
      <w:rFonts w:ascii="Times New Roman" w:hAnsi="Times New Roman" w:cs="Times New Roman"/>
      <w:sz w:val="24"/>
    </w:rPr>
  </w:style>
  <w:style w:type="paragraph" w:customStyle="1" w:styleId="HeaderSensitivity">
    <w:name w:val="Header Sensitivity"/>
    <w:basedOn w:val="Normal"/>
    <w:link w:val="HeaderSensitivityChar"/>
    <w:rsid w:val="003B5873"/>
    <w:pPr>
      <w:keepNext/>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220ABB"/>
    <w:rPr>
      <w:rFonts w:ascii="Times New Roman" w:hAnsi="Times New Roman" w:cs="Times New Roman"/>
      <w:b/>
      <w:sz w:val="32"/>
    </w:rPr>
  </w:style>
  <w:style w:type="paragraph" w:customStyle="1" w:styleId="HeaderSensitivityRight">
    <w:name w:val="Header Sensitivity Right"/>
    <w:basedOn w:val="Normal"/>
    <w:link w:val="HeaderSensitivityRightChar"/>
    <w:rsid w:val="003B5873"/>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220ABB"/>
    <w:rPr>
      <w:rFonts w:ascii="Times New Roman" w:hAnsi="Times New Roman" w:cs="Times New Roman"/>
      <w:sz w:val="28"/>
    </w:rPr>
  </w:style>
  <w:style w:type="table" w:customStyle="1" w:styleId="GridTable1Light-Accent11">
    <w:name w:val="Grid Table 1 Light - Accent 11"/>
    <w:basedOn w:val="TableNormal"/>
    <w:uiPriority w:val="46"/>
    <w:rsid w:val="00220ABB"/>
    <w:pPr>
      <w:spacing w:after="0" w:line="240" w:lineRule="auto"/>
    </w:pPr>
    <w:rPr>
      <w:szCs w:val="20"/>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customStyle="1" w:styleId="P68B1DB1-Norml5">
    <w:name w:val="P68B1DB1-Norml5"/>
    <w:basedOn w:val="Normal"/>
    <w:rsid w:val="003B5873"/>
    <w:pPr>
      <w:spacing w:after="200" w:line="276" w:lineRule="auto"/>
    </w:pPr>
    <w:rPr>
      <w:rFonts w:eastAsia="Calibri"/>
      <w:szCs w:val="20"/>
    </w:rPr>
  </w:style>
  <w:style w:type="paragraph" w:customStyle="1" w:styleId="P1szvegSTPF">
    <w:name w:val="P1_szöveg_STPF"/>
    <w:basedOn w:val="Normal"/>
    <w:link w:val="P1szvegSTPFChar"/>
    <w:autoRedefine/>
    <w:qFormat/>
    <w:rsid w:val="003B5873"/>
    <w:pPr>
      <w:spacing w:line="240" w:lineRule="auto"/>
      <w:jc w:val="both"/>
    </w:pPr>
    <w:rPr>
      <w:rFonts w:cstheme="minorHAnsi"/>
      <w:smallCaps/>
      <w:szCs w:val="20"/>
    </w:rPr>
  </w:style>
  <w:style w:type="character" w:customStyle="1" w:styleId="P1szvegSTPFChar">
    <w:name w:val="P1_szöveg_STPF Char"/>
    <w:basedOn w:val="DefaultParagraphFont"/>
    <w:link w:val="P1szvegSTPF"/>
    <w:rsid w:val="00220ABB"/>
    <w:rPr>
      <w:rFonts w:cstheme="minorHAnsi"/>
      <w:smallCaps/>
      <w:szCs w:val="20"/>
    </w:rPr>
  </w:style>
  <w:style w:type="character" w:styleId="Hyperlink">
    <w:name w:val="Hyperlink"/>
    <w:basedOn w:val="DefaultParagraphFont"/>
    <w:uiPriority w:val="99"/>
    <w:unhideWhenUsed/>
    <w:rsid w:val="00220ABB"/>
    <w:rPr>
      <w:color w:val="0563C1" w:themeColor="hyperlink"/>
      <w:u w:val="single"/>
    </w:rPr>
  </w:style>
  <w:style w:type="character" w:customStyle="1" w:styleId="Bodytext1">
    <w:name w:val="Body text|1_"/>
    <w:basedOn w:val="DefaultParagraphFont"/>
    <w:link w:val="Bodytext10"/>
    <w:rsid w:val="00220ABB"/>
  </w:style>
  <w:style w:type="paragraph" w:customStyle="1" w:styleId="Bodytext10">
    <w:name w:val="Body text|1"/>
    <w:basedOn w:val="Normal"/>
    <w:link w:val="Bodytext1"/>
    <w:rsid w:val="003B5873"/>
    <w:pPr>
      <w:widowControl w:val="0"/>
      <w:spacing w:after="300" w:line="276" w:lineRule="auto"/>
    </w:pPr>
  </w:style>
  <w:style w:type="paragraph" w:customStyle="1" w:styleId="p3">
    <w:name w:val="p3"/>
    <w:basedOn w:val="Normal"/>
    <w:rsid w:val="003B5873"/>
    <w:pPr>
      <w:spacing w:before="100" w:beforeAutospacing="1" w:after="100" w:afterAutospacing="1" w:line="240" w:lineRule="auto"/>
    </w:pPr>
    <w:rPr>
      <w:szCs w:val="20"/>
    </w:rPr>
  </w:style>
  <w:style w:type="character" w:customStyle="1" w:styleId="s2">
    <w:name w:val="s2"/>
    <w:basedOn w:val="DefaultParagraphFont"/>
    <w:rsid w:val="00220ABB"/>
  </w:style>
  <w:style w:type="paragraph" w:styleId="NormalWeb">
    <w:name w:val="Normal (Web)"/>
    <w:basedOn w:val="Normal"/>
    <w:uiPriority w:val="99"/>
    <w:unhideWhenUsed/>
    <w:qFormat/>
    <w:rsid w:val="003B5873"/>
    <w:pPr>
      <w:spacing w:after="0" w:line="240" w:lineRule="auto"/>
    </w:pPr>
    <w:rPr>
      <w:szCs w:val="20"/>
    </w:rPr>
  </w:style>
  <w:style w:type="paragraph" w:styleId="TOCHeading">
    <w:name w:val="TOC Heading"/>
    <w:basedOn w:val="Heading1"/>
    <w:next w:val="Normal"/>
    <w:uiPriority w:val="39"/>
    <w:unhideWhenUsed/>
    <w:qFormat/>
    <w:rsid w:val="003B5873"/>
    <w:pPr>
      <w:outlineLvl w:val="9"/>
    </w:pPr>
  </w:style>
  <w:style w:type="paragraph" w:styleId="TOC1">
    <w:name w:val="toc 1"/>
    <w:basedOn w:val="Normal"/>
    <w:next w:val="Normal"/>
    <w:autoRedefine/>
    <w:uiPriority w:val="39"/>
    <w:unhideWhenUsed/>
    <w:rsid w:val="003B5873"/>
    <w:pPr>
      <w:spacing w:after="100" w:line="240" w:lineRule="auto"/>
    </w:pPr>
    <w:rPr>
      <w:szCs w:val="20"/>
    </w:rPr>
  </w:style>
  <w:style w:type="paragraph" w:customStyle="1" w:styleId="msonormal0">
    <w:name w:val="msonormal"/>
    <w:basedOn w:val="Normal"/>
    <w:rsid w:val="003B5873"/>
    <w:pPr>
      <w:spacing w:before="100" w:beforeAutospacing="1" w:after="100" w:afterAutospacing="1" w:line="240" w:lineRule="auto"/>
    </w:pPr>
    <w:rPr>
      <w:rFonts w:eastAsia="Times New Roman"/>
      <w:szCs w:val="20"/>
    </w:rPr>
  </w:style>
  <w:style w:type="character" w:customStyle="1" w:styleId="textrun">
    <w:name w:val="textrun"/>
    <w:basedOn w:val="DefaultParagraphFont"/>
    <w:rsid w:val="00220ABB"/>
  </w:style>
  <w:style w:type="character" w:customStyle="1" w:styleId="trackchangetextinsertion">
    <w:name w:val="trackchangetextinsertion"/>
    <w:basedOn w:val="DefaultParagraphFont"/>
    <w:rsid w:val="00220ABB"/>
  </w:style>
  <w:style w:type="character" w:customStyle="1" w:styleId="trackchangetextdeletionmarker">
    <w:name w:val="trackchangetextdeletionmarker"/>
    <w:basedOn w:val="DefaultParagraphFont"/>
    <w:rsid w:val="00220ABB"/>
  </w:style>
  <w:style w:type="character" w:customStyle="1" w:styleId="trackedchange">
    <w:name w:val="trackedchange"/>
    <w:basedOn w:val="DefaultParagraphFont"/>
    <w:rsid w:val="00220ABB"/>
  </w:style>
  <w:style w:type="character" w:customStyle="1" w:styleId="tabrun">
    <w:name w:val="tabrun"/>
    <w:basedOn w:val="DefaultParagraphFont"/>
    <w:rsid w:val="00220ABB"/>
  </w:style>
  <w:style w:type="character" w:customStyle="1" w:styleId="tabchar">
    <w:name w:val="tabchar"/>
    <w:basedOn w:val="DefaultParagraphFont"/>
    <w:rsid w:val="00220ABB"/>
  </w:style>
  <w:style w:type="paragraph" w:customStyle="1" w:styleId="outlineelement">
    <w:name w:val="outlineelement"/>
    <w:basedOn w:val="Normal"/>
    <w:rsid w:val="003B5873"/>
    <w:pPr>
      <w:spacing w:before="100" w:beforeAutospacing="1" w:after="100" w:afterAutospacing="1" w:line="240" w:lineRule="auto"/>
    </w:pPr>
    <w:rPr>
      <w:rFonts w:eastAsia="Times New Roman"/>
      <w:szCs w:val="20"/>
    </w:rPr>
  </w:style>
  <w:style w:type="numbering" w:customStyle="1" w:styleId="NoList1">
    <w:name w:val="No List1"/>
    <w:next w:val="NoList"/>
    <w:uiPriority w:val="99"/>
    <w:semiHidden/>
    <w:unhideWhenUsed/>
    <w:rsid w:val="00220ABB"/>
  </w:style>
  <w:style w:type="paragraph" w:customStyle="1" w:styleId="LegalNumPar">
    <w:name w:val="LegalNumPar"/>
    <w:basedOn w:val="Normal"/>
    <w:rsid w:val="003B5873"/>
    <w:pPr>
      <w:numPr>
        <w:numId w:val="11"/>
      </w:numPr>
      <w:ind w:left="720"/>
    </w:pPr>
    <w:rPr>
      <w:rFonts w:ascii="Calibri" w:hAnsi="Calibri"/>
      <w:szCs w:val="20"/>
    </w:rPr>
  </w:style>
  <w:style w:type="paragraph" w:customStyle="1" w:styleId="LegalNumPar2">
    <w:name w:val="LegalNumPar2"/>
    <w:basedOn w:val="Normal"/>
    <w:rsid w:val="003B5873"/>
    <w:pPr>
      <w:numPr>
        <w:ilvl w:val="1"/>
        <w:numId w:val="11"/>
      </w:numPr>
      <w:ind w:left="1440" w:hanging="360"/>
    </w:pPr>
    <w:rPr>
      <w:rFonts w:ascii="Calibri" w:hAnsi="Calibri"/>
      <w:szCs w:val="20"/>
    </w:rPr>
  </w:style>
  <w:style w:type="paragraph" w:customStyle="1" w:styleId="LegalNumPar3">
    <w:name w:val="LegalNumPar3"/>
    <w:basedOn w:val="Normal"/>
    <w:rsid w:val="003B5873"/>
    <w:pPr>
      <w:numPr>
        <w:ilvl w:val="2"/>
        <w:numId w:val="11"/>
      </w:numPr>
      <w:ind w:left="2160" w:hanging="360"/>
    </w:pPr>
    <w:rPr>
      <w:rFonts w:ascii="Calibri" w:hAnsi="Calibri"/>
      <w:szCs w:val="20"/>
    </w:rPr>
  </w:style>
  <w:style w:type="character" w:customStyle="1" w:styleId="Mention1">
    <w:name w:val="Mention1"/>
    <w:basedOn w:val="DefaultParagraphFont"/>
    <w:uiPriority w:val="99"/>
    <w:unhideWhenUsed/>
    <w:rsid w:val="00220ABB"/>
    <w:rPr>
      <w:color w:val="2B579A"/>
      <w:shd w:val="clear" w:color="auto" w:fill="E6E6E6"/>
    </w:rPr>
  </w:style>
  <w:style w:type="character" w:customStyle="1" w:styleId="Mention2">
    <w:name w:val="Mention2"/>
    <w:basedOn w:val="DefaultParagraphFont"/>
    <w:uiPriority w:val="99"/>
    <w:unhideWhenUsed/>
    <w:rsid w:val="00220ABB"/>
    <w:rPr>
      <w:color w:val="2B579A"/>
      <w:shd w:val="clear" w:color="auto" w:fill="E6E6E6"/>
    </w:rPr>
  </w:style>
  <w:style w:type="character" w:customStyle="1" w:styleId="superscript">
    <w:name w:val="superscript"/>
    <w:basedOn w:val="DefaultParagraphFont"/>
    <w:rsid w:val="00220ABB"/>
  </w:style>
  <w:style w:type="paragraph" w:customStyle="1" w:styleId="font5">
    <w:name w:val="font5"/>
    <w:basedOn w:val="Normal"/>
    <w:rsid w:val="003B5873"/>
    <w:pPr>
      <w:spacing w:before="100" w:beforeAutospacing="1" w:after="100" w:afterAutospacing="1" w:line="240" w:lineRule="auto"/>
    </w:pPr>
    <w:rPr>
      <w:rFonts w:eastAsia="Times New Roman"/>
      <w:color w:val="000000"/>
      <w:szCs w:val="20"/>
    </w:rPr>
  </w:style>
  <w:style w:type="paragraph" w:customStyle="1" w:styleId="font6">
    <w:name w:val="font6"/>
    <w:basedOn w:val="Normal"/>
    <w:rsid w:val="003B5873"/>
    <w:pPr>
      <w:spacing w:before="100" w:beforeAutospacing="1" w:after="100" w:afterAutospacing="1" w:line="240" w:lineRule="auto"/>
    </w:pPr>
    <w:rPr>
      <w:rFonts w:eastAsia="Times New Roman"/>
      <w:color w:val="000000"/>
      <w:szCs w:val="20"/>
    </w:rPr>
  </w:style>
  <w:style w:type="paragraph" w:customStyle="1" w:styleId="font7">
    <w:name w:val="font7"/>
    <w:basedOn w:val="Normal"/>
    <w:rsid w:val="003B5873"/>
    <w:pPr>
      <w:spacing w:before="100" w:beforeAutospacing="1" w:after="100" w:afterAutospacing="1" w:line="240" w:lineRule="auto"/>
    </w:pPr>
    <w:rPr>
      <w:rFonts w:eastAsia="Times New Roman"/>
      <w:color w:val="006100"/>
      <w:szCs w:val="20"/>
    </w:rPr>
  </w:style>
  <w:style w:type="paragraph" w:customStyle="1" w:styleId="font8">
    <w:name w:val="font8"/>
    <w:basedOn w:val="Normal"/>
    <w:rsid w:val="003B5873"/>
    <w:pPr>
      <w:spacing w:before="100" w:beforeAutospacing="1" w:after="100" w:afterAutospacing="1" w:line="240" w:lineRule="auto"/>
    </w:pPr>
    <w:rPr>
      <w:rFonts w:eastAsia="Times New Roman"/>
      <w:color w:val="006100"/>
      <w:szCs w:val="20"/>
    </w:rPr>
  </w:style>
  <w:style w:type="paragraph" w:customStyle="1" w:styleId="xl17">
    <w:name w:val="xl17"/>
    <w:basedOn w:val="Normal"/>
    <w:rsid w:val="003B5873"/>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top"/>
    </w:pPr>
    <w:rPr>
      <w:rFonts w:eastAsia="Times New Roman"/>
      <w:b/>
      <w:szCs w:val="20"/>
    </w:rPr>
  </w:style>
  <w:style w:type="paragraph" w:customStyle="1" w:styleId="xl18">
    <w:name w:val="xl18"/>
    <w:basedOn w:val="Normal"/>
    <w:rsid w:val="003B5873"/>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textAlignment w:val="center"/>
    </w:pPr>
    <w:rPr>
      <w:rFonts w:eastAsia="Times New Roman"/>
      <w:color w:val="000000"/>
      <w:szCs w:val="20"/>
    </w:rPr>
  </w:style>
  <w:style w:type="paragraph" w:customStyle="1" w:styleId="xl19">
    <w:name w:val="xl19"/>
    <w:basedOn w:val="Normal"/>
    <w:rsid w:val="003B5873"/>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center"/>
    </w:pPr>
    <w:rPr>
      <w:rFonts w:eastAsia="Times New Roman"/>
      <w:color w:val="000000"/>
      <w:szCs w:val="20"/>
    </w:rPr>
  </w:style>
  <w:style w:type="paragraph" w:customStyle="1" w:styleId="xl21">
    <w:name w:val="xl21"/>
    <w:basedOn w:val="Normal"/>
    <w:rsid w:val="003B58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olor w:val="000000"/>
      <w:szCs w:val="20"/>
    </w:rPr>
  </w:style>
  <w:style w:type="paragraph" w:customStyle="1" w:styleId="xl22">
    <w:name w:val="xl22"/>
    <w:basedOn w:val="Normal"/>
    <w:rsid w:val="003B58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olor w:val="000000"/>
      <w:szCs w:val="20"/>
    </w:rPr>
  </w:style>
  <w:style w:type="paragraph" w:customStyle="1" w:styleId="xl23">
    <w:name w:val="xl23"/>
    <w:basedOn w:val="Normal"/>
    <w:rsid w:val="003B5873"/>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eastAsia="Times New Roman"/>
      <w:color w:val="000000"/>
      <w:szCs w:val="20"/>
    </w:rPr>
  </w:style>
  <w:style w:type="paragraph" w:customStyle="1" w:styleId="xl24">
    <w:name w:val="xl24"/>
    <w:basedOn w:val="Normal"/>
    <w:rsid w:val="003B5873"/>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textAlignment w:val="center"/>
    </w:pPr>
    <w:rPr>
      <w:rFonts w:eastAsia="Times New Roman"/>
      <w:color w:val="000000"/>
      <w:szCs w:val="20"/>
    </w:rPr>
  </w:style>
  <w:style w:type="paragraph" w:customStyle="1" w:styleId="xl71">
    <w:name w:val="xl71"/>
    <w:basedOn w:val="Normal"/>
    <w:rsid w:val="003B5873"/>
    <w:pPr>
      <w:pBdr>
        <w:top w:val="single" w:sz="4" w:space="0" w:color="auto"/>
        <w:left w:val="single" w:sz="4" w:space="0" w:color="auto"/>
        <w:bottom w:val="single" w:sz="4" w:space="0" w:color="auto"/>
      </w:pBdr>
      <w:shd w:val="clear" w:color="000000" w:fill="BDD7EE"/>
      <w:spacing w:before="100" w:beforeAutospacing="1" w:after="100" w:afterAutospacing="1" w:line="240" w:lineRule="auto"/>
      <w:jc w:val="center"/>
      <w:textAlignment w:val="center"/>
    </w:pPr>
    <w:rPr>
      <w:rFonts w:eastAsia="Times New Roman"/>
      <w:b/>
      <w:szCs w:val="20"/>
    </w:rPr>
  </w:style>
  <w:style w:type="paragraph" w:customStyle="1" w:styleId="xl72">
    <w:name w:val="xl72"/>
    <w:basedOn w:val="Normal"/>
    <w:rsid w:val="003B5873"/>
    <w:pPr>
      <w:pBdr>
        <w:top w:val="single" w:sz="4" w:space="0" w:color="auto"/>
        <w:bottom w:val="single" w:sz="4" w:space="0" w:color="auto"/>
      </w:pBdr>
      <w:shd w:val="clear" w:color="000000" w:fill="BDD7EE"/>
      <w:spacing w:before="100" w:beforeAutospacing="1" w:after="100" w:afterAutospacing="1" w:line="240" w:lineRule="auto"/>
      <w:jc w:val="center"/>
      <w:textAlignment w:val="center"/>
    </w:pPr>
    <w:rPr>
      <w:rFonts w:eastAsia="Times New Roman"/>
      <w:b/>
      <w:szCs w:val="20"/>
    </w:rPr>
  </w:style>
  <w:style w:type="paragraph" w:customStyle="1" w:styleId="xl73">
    <w:name w:val="xl73"/>
    <w:basedOn w:val="Normal"/>
    <w:rsid w:val="003B5873"/>
    <w:pPr>
      <w:pBdr>
        <w:top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eastAsia="Times New Roman"/>
      <w:b/>
      <w:szCs w:val="20"/>
    </w:rPr>
  </w:style>
  <w:style w:type="character" w:styleId="FollowedHyperlink">
    <w:name w:val="FollowedHyperlink"/>
    <w:basedOn w:val="DefaultParagraphFont"/>
    <w:uiPriority w:val="99"/>
    <w:semiHidden/>
    <w:unhideWhenUsed/>
    <w:rsid w:val="00220ABB"/>
    <w:rPr>
      <w:color w:val="954F72"/>
      <w:u w:val="single"/>
    </w:rPr>
  </w:style>
  <w:style w:type="character" w:customStyle="1" w:styleId="font71">
    <w:name w:val="font71"/>
    <w:basedOn w:val="DefaultParagraphFont"/>
    <w:rsid w:val="00220ABB"/>
    <w:rPr>
      <w:rFonts w:ascii="Times New Roman" w:hAnsi="Times New Roman" w:cs="Times New Roman" w:hint="default"/>
      <w:b w:val="0"/>
      <w:i w:val="0"/>
      <w:strike w:val="0"/>
      <w:dstrike w:val="0"/>
      <w:color w:val="006100"/>
      <w:sz w:val="24"/>
      <w:u w:val="none"/>
      <w:effect w:val="none"/>
    </w:rPr>
  </w:style>
  <w:style w:type="character" w:customStyle="1" w:styleId="font61">
    <w:name w:val="font61"/>
    <w:basedOn w:val="DefaultParagraphFont"/>
    <w:rsid w:val="00220ABB"/>
    <w:rPr>
      <w:rFonts w:ascii="Times New Roman" w:hAnsi="Times New Roman" w:cs="Times New Roman" w:hint="default"/>
      <w:b w:val="0"/>
      <w:i w:val="0"/>
      <w:strike w:val="0"/>
      <w:dstrike w:val="0"/>
      <w:color w:val="000000"/>
      <w:sz w:val="24"/>
      <w:u w:val="none"/>
      <w:effect w:val="none"/>
    </w:rPr>
  </w:style>
  <w:style w:type="character" w:customStyle="1" w:styleId="font81">
    <w:name w:val="font81"/>
    <w:basedOn w:val="DefaultParagraphFont"/>
    <w:rsid w:val="00220ABB"/>
    <w:rPr>
      <w:rFonts w:ascii="Times New Roman" w:hAnsi="Times New Roman" w:cs="Times New Roman" w:hint="default"/>
      <w:b w:val="0"/>
      <w:i w:val="0"/>
      <w:strike w:val="0"/>
      <w:dstrike w:val="0"/>
      <w:color w:val="006100"/>
      <w:sz w:val="24"/>
      <w:u w:val="none"/>
      <w:effect w:val="none"/>
    </w:rPr>
  </w:style>
  <w:style w:type="character" w:customStyle="1" w:styleId="font51">
    <w:name w:val="font51"/>
    <w:basedOn w:val="DefaultParagraphFont"/>
    <w:rsid w:val="00220ABB"/>
    <w:rPr>
      <w:rFonts w:ascii="Times New Roman" w:hAnsi="Times New Roman" w:cs="Times New Roman" w:hint="default"/>
      <w:b w:val="0"/>
      <w:i w:val="0"/>
      <w:strike w:val="0"/>
      <w:dstrike w:val="0"/>
      <w:color w:val="000000"/>
      <w:sz w:val="24"/>
      <w:u w:val="none"/>
      <w:effect w:val="none"/>
    </w:rPr>
  </w:style>
  <w:style w:type="character" w:customStyle="1" w:styleId="scxw131614104">
    <w:name w:val="scxw131614104"/>
    <w:basedOn w:val="DefaultParagraphFont"/>
    <w:rsid w:val="00220ABB"/>
  </w:style>
  <w:style w:type="character" w:customStyle="1" w:styleId="Mention3">
    <w:name w:val="Mention3"/>
    <w:basedOn w:val="DefaultParagraphFont"/>
    <w:uiPriority w:val="99"/>
    <w:unhideWhenUsed/>
    <w:rsid w:val="00220ABB"/>
    <w:rPr>
      <w:color w:val="2B579A"/>
      <w:shd w:val="clear" w:color="auto" w:fill="E6E6E6"/>
    </w:rPr>
  </w:style>
  <w:style w:type="character" w:customStyle="1" w:styleId="Mention4">
    <w:name w:val="Mention4"/>
    <w:basedOn w:val="DefaultParagraphFont"/>
    <w:uiPriority w:val="99"/>
    <w:unhideWhenUsed/>
    <w:rsid w:val="00220ABB"/>
    <w:rPr>
      <w:color w:val="2B579A"/>
      <w:shd w:val="clear" w:color="auto" w:fill="E1DFDD"/>
    </w:rPr>
  </w:style>
  <w:style w:type="paragraph" w:customStyle="1" w:styleId="Heading41">
    <w:name w:val="Heading 41"/>
    <w:basedOn w:val="Normal"/>
    <w:next w:val="Text1"/>
    <w:uiPriority w:val="9"/>
    <w:semiHidden/>
    <w:unhideWhenUsed/>
    <w:qFormat/>
    <w:rsid w:val="003B5873"/>
    <w:pPr>
      <w:keepNext/>
      <w:spacing w:line="240" w:lineRule="auto"/>
      <w:ind w:left="2520" w:hanging="360"/>
      <w:jc w:val="both"/>
      <w:outlineLvl w:val="3"/>
    </w:pPr>
    <w:rPr>
      <w:rFonts w:eastAsia="MS Gothic"/>
      <w:szCs w:val="20"/>
    </w:rPr>
  </w:style>
  <w:style w:type="paragraph" w:customStyle="1" w:styleId="Heading51">
    <w:name w:val="Heading 51"/>
    <w:basedOn w:val="Normal"/>
    <w:next w:val="Text2"/>
    <w:uiPriority w:val="9"/>
    <w:semiHidden/>
    <w:unhideWhenUsed/>
    <w:qFormat/>
    <w:rsid w:val="003B5873"/>
    <w:pPr>
      <w:keepNext/>
      <w:spacing w:line="240" w:lineRule="auto"/>
      <w:ind w:left="3240" w:hanging="360"/>
      <w:jc w:val="both"/>
      <w:outlineLvl w:val="4"/>
    </w:pPr>
    <w:rPr>
      <w:rFonts w:eastAsia="MS Gothic"/>
      <w:szCs w:val="20"/>
    </w:rPr>
  </w:style>
  <w:style w:type="paragraph" w:customStyle="1" w:styleId="Heading61">
    <w:name w:val="Heading 61"/>
    <w:basedOn w:val="Normal"/>
    <w:next w:val="Text2"/>
    <w:uiPriority w:val="9"/>
    <w:semiHidden/>
    <w:unhideWhenUsed/>
    <w:qFormat/>
    <w:rsid w:val="003B5873"/>
    <w:pPr>
      <w:keepNext/>
      <w:spacing w:line="240" w:lineRule="auto"/>
      <w:ind w:left="3960" w:hanging="360"/>
      <w:jc w:val="both"/>
      <w:outlineLvl w:val="5"/>
    </w:pPr>
    <w:rPr>
      <w:rFonts w:eastAsia="MS Gothic"/>
      <w:szCs w:val="20"/>
    </w:rPr>
  </w:style>
  <w:style w:type="paragraph" w:customStyle="1" w:styleId="Heading71">
    <w:name w:val="Heading 71"/>
    <w:basedOn w:val="Normal"/>
    <w:next w:val="Text2"/>
    <w:uiPriority w:val="9"/>
    <w:semiHidden/>
    <w:unhideWhenUsed/>
    <w:qFormat/>
    <w:rsid w:val="003B5873"/>
    <w:pPr>
      <w:keepNext/>
      <w:spacing w:line="240" w:lineRule="auto"/>
      <w:ind w:left="4680" w:hanging="360"/>
      <w:jc w:val="both"/>
      <w:outlineLvl w:val="6"/>
    </w:pPr>
    <w:rPr>
      <w:rFonts w:eastAsia="MS Gothic"/>
      <w:szCs w:val="20"/>
    </w:rPr>
  </w:style>
  <w:style w:type="numbering" w:customStyle="1" w:styleId="NoList2">
    <w:name w:val="No List2"/>
    <w:next w:val="NoList"/>
    <w:uiPriority w:val="99"/>
    <w:semiHidden/>
    <w:unhideWhenUsed/>
    <w:rsid w:val="00220ABB"/>
  </w:style>
  <w:style w:type="paragraph" w:styleId="TOC2">
    <w:name w:val="toc 2"/>
    <w:basedOn w:val="Normal"/>
    <w:next w:val="Normal"/>
    <w:uiPriority w:val="39"/>
    <w:semiHidden/>
    <w:unhideWhenUsed/>
    <w:rsid w:val="003B5873"/>
    <w:pPr>
      <w:tabs>
        <w:tab w:val="right" w:leader="dot" w:pos="9071"/>
      </w:tabs>
      <w:spacing w:before="60" w:line="240" w:lineRule="auto"/>
      <w:ind w:left="850" w:hanging="850"/>
    </w:pPr>
    <w:rPr>
      <w:szCs w:val="20"/>
    </w:rPr>
  </w:style>
  <w:style w:type="paragraph" w:styleId="TOC3">
    <w:name w:val="toc 3"/>
    <w:basedOn w:val="Normal"/>
    <w:next w:val="Normal"/>
    <w:uiPriority w:val="39"/>
    <w:semiHidden/>
    <w:unhideWhenUsed/>
    <w:rsid w:val="003B5873"/>
    <w:pPr>
      <w:tabs>
        <w:tab w:val="right" w:leader="dot" w:pos="9071"/>
      </w:tabs>
      <w:spacing w:before="60" w:line="240" w:lineRule="auto"/>
      <w:ind w:left="850" w:hanging="850"/>
    </w:pPr>
    <w:rPr>
      <w:szCs w:val="20"/>
    </w:rPr>
  </w:style>
  <w:style w:type="paragraph" w:styleId="TOC4">
    <w:name w:val="toc 4"/>
    <w:basedOn w:val="Normal"/>
    <w:next w:val="Normal"/>
    <w:uiPriority w:val="39"/>
    <w:semiHidden/>
    <w:unhideWhenUsed/>
    <w:rsid w:val="003B5873"/>
    <w:pPr>
      <w:tabs>
        <w:tab w:val="right" w:leader="dot" w:pos="9071"/>
      </w:tabs>
      <w:spacing w:before="60" w:line="240" w:lineRule="auto"/>
      <w:ind w:left="850" w:hanging="850"/>
    </w:pPr>
    <w:rPr>
      <w:szCs w:val="20"/>
    </w:rPr>
  </w:style>
  <w:style w:type="paragraph" w:styleId="TOC5">
    <w:name w:val="toc 5"/>
    <w:basedOn w:val="Normal"/>
    <w:next w:val="Normal"/>
    <w:uiPriority w:val="39"/>
    <w:semiHidden/>
    <w:unhideWhenUsed/>
    <w:rsid w:val="003B5873"/>
    <w:pPr>
      <w:tabs>
        <w:tab w:val="right" w:leader="dot" w:pos="9071"/>
      </w:tabs>
      <w:spacing w:before="300" w:line="240" w:lineRule="auto"/>
    </w:pPr>
    <w:rPr>
      <w:szCs w:val="20"/>
    </w:rPr>
  </w:style>
  <w:style w:type="paragraph" w:styleId="TOC6">
    <w:name w:val="toc 6"/>
    <w:basedOn w:val="Normal"/>
    <w:next w:val="Normal"/>
    <w:uiPriority w:val="39"/>
    <w:semiHidden/>
    <w:unhideWhenUsed/>
    <w:rsid w:val="003B5873"/>
    <w:pPr>
      <w:tabs>
        <w:tab w:val="right" w:leader="dot" w:pos="9071"/>
      </w:tabs>
      <w:spacing w:before="240" w:line="240" w:lineRule="auto"/>
    </w:pPr>
    <w:rPr>
      <w:szCs w:val="20"/>
    </w:rPr>
  </w:style>
  <w:style w:type="paragraph" w:styleId="TOC7">
    <w:name w:val="toc 7"/>
    <w:basedOn w:val="Normal"/>
    <w:next w:val="Normal"/>
    <w:uiPriority w:val="39"/>
    <w:semiHidden/>
    <w:unhideWhenUsed/>
    <w:rsid w:val="003B5873"/>
    <w:pPr>
      <w:tabs>
        <w:tab w:val="right" w:leader="dot" w:pos="9071"/>
      </w:tabs>
      <w:spacing w:before="180" w:line="240" w:lineRule="auto"/>
    </w:pPr>
    <w:rPr>
      <w:szCs w:val="20"/>
    </w:rPr>
  </w:style>
  <w:style w:type="paragraph" w:styleId="TOC8">
    <w:name w:val="toc 8"/>
    <w:basedOn w:val="Normal"/>
    <w:next w:val="Normal"/>
    <w:uiPriority w:val="39"/>
    <w:semiHidden/>
    <w:unhideWhenUsed/>
    <w:rsid w:val="003B5873"/>
    <w:pPr>
      <w:tabs>
        <w:tab w:val="right" w:leader="dot" w:pos="9071"/>
      </w:tabs>
      <w:spacing w:line="240" w:lineRule="auto"/>
    </w:pPr>
    <w:rPr>
      <w:szCs w:val="20"/>
    </w:rPr>
  </w:style>
  <w:style w:type="paragraph" w:styleId="TOC9">
    <w:name w:val="toc 9"/>
    <w:basedOn w:val="Normal"/>
    <w:next w:val="Normal"/>
    <w:uiPriority w:val="39"/>
    <w:semiHidden/>
    <w:unhideWhenUsed/>
    <w:rsid w:val="003B5873"/>
    <w:pPr>
      <w:tabs>
        <w:tab w:val="right" w:leader="dot" w:pos="9071"/>
      </w:tabs>
      <w:spacing w:line="240" w:lineRule="auto"/>
      <w:ind w:left="1417" w:hanging="1417"/>
    </w:pPr>
    <w:rPr>
      <w:szCs w:val="20"/>
    </w:rPr>
  </w:style>
  <w:style w:type="paragraph" w:customStyle="1" w:styleId="Text2">
    <w:name w:val="Text 2"/>
    <w:basedOn w:val="Normal"/>
    <w:rsid w:val="003B5873"/>
    <w:pPr>
      <w:spacing w:line="240" w:lineRule="auto"/>
      <w:ind w:left="1417"/>
      <w:jc w:val="both"/>
    </w:pPr>
    <w:rPr>
      <w:szCs w:val="20"/>
    </w:rPr>
  </w:style>
  <w:style w:type="paragraph" w:customStyle="1" w:styleId="Text3">
    <w:name w:val="Text 3"/>
    <w:basedOn w:val="Normal"/>
    <w:rsid w:val="003B5873"/>
    <w:pPr>
      <w:spacing w:line="240" w:lineRule="auto"/>
      <w:ind w:left="1984"/>
      <w:jc w:val="both"/>
    </w:pPr>
    <w:rPr>
      <w:szCs w:val="20"/>
    </w:rPr>
  </w:style>
  <w:style w:type="paragraph" w:customStyle="1" w:styleId="Text4">
    <w:name w:val="Text 4"/>
    <w:basedOn w:val="Normal"/>
    <w:rsid w:val="003B5873"/>
    <w:pPr>
      <w:spacing w:line="240" w:lineRule="auto"/>
      <w:ind w:left="2551"/>
      <w:jc w:val="both"/>
    </w:pPr>
    <w:rPr>
      <w:szCs w:val="20"/>
    </w:rPr>
  </w:style>
  <w:style w:type="paragraph" w:customStyle="1" w:styleId="Text5">
    <w:name w:val="Text 5"/>
    <w:basedOn w:val="Normal"/>
    <w:rsid w:val="003B5873"/>
    <w:pPr>
      <w:spacing w:line="240" w:lineRule="auto"/>
      <w:ind w:left="3118"/>
      <w:jc w:val="both"/>
    </w:pPr>
    <w:rPr>
      <w:szCs w:val="20"/>
    </w:rPr>
  </w:style>
  <w:style w:type="paragraph" w:customStyle="1" w:styleId="Text6">
    <w:name w:val="Text 6"/>
    <w:basedOn w:val="Normal"/>
    <w:rsid w:val="003B5873"/>
    <w:pPr>
      <w:spacing w:line="240" w:lineRule="auto"/>
      <w:ind w:left="3685"/>
      <w:jc w:val="both"/>
    </w:pPr>
    <w:rPr>
      <w:szCs w:val="20"/>
    </w:rPr>
  </w:style>
  <w:style w:type="paragraph" w:customStyle="1" w:styleId="NormalCentered">
    <w:name w:val="Normal Centered"/>
    <w:basedOn w:val="Normal"/>
    <w:rsid w:val="003B5873"/>
    <w:pPr>
      <w:spacing w:line="240" w:lineRule="auto"/>
      <w:jc w:val="center"/>
    </w:pPr>
    <w:rPr>
      <w:szCs w:val="20"/>
    </w:rPr>
  </w:style>
  <w:style w:type="paragraph" w:customStyle="1" w:styleId="NormalLeft">
    <w:name w:val="Normal Left"/>
    <w:basedOn w:val="Normal"/>
    <w:rsid w:val="003B5873"/>
    <w:pPr>
      <w:spacing w:line="240" w:lineRule="auto"/>
    </w:pPr>
    <w:rPr>
      <w:szCs w:val="20"/>
    </w:rPr>
  </w:style>
  <w:style w:type="paragraph" w:customStyle="1" w:styleId="NormalRight">
    <w:name w:val="Normal Right"/>
    <w:basedOn w:val="Normal"/>
    <w:rsid w:val="003B5873"/>
    <w:pPr>
      <w:spacing w:line="240" w:lineRule="auto"/>
      <w:jc w:val="right"/>
    </w:pPr>
    <w:rPr>
      <w:szCs w:val="20"/>
    </w:rPr>
  </w:style>
  <w:style w:type="paragraph" w:customStyle="1" w:styleId="QuotedText">
    <w:name w:val="Quoted Text"/>
    <w:basedOn w:val="Normal"/>
    <w:rsid w:val="003B5873"/>
    <w:pPr>
      <w:spacing w:line="240" w:lineRule="auto"/>
      <w:ind w:left="1417"/>
      <w:jc w:val="both"/>
    </w:pPr>
    <w:rPr>
      <w:szCs w:val="20"/>
    </w:rPr>
  </w:style>
  <w:style w:type="paragraph" w:customStyle="1" w:styleId="Point0">
    <w:name w:val="Point 0"/>
    <w:basedOn w:val="Normal"/>
    <w:rsid w:val="003B5873"/>
    <w:pPr>
      <w:spacing w:line="240" w:lineRule="auto"/>
      <w:ind w:left="850" w:hanging="850"/>
      <w:jc w:val="both"/>
    </w:pPr>
    <w:rPr>
      <w:szCs w:val="20"/>
    </w:rPr>
  </w:style>
  <w:style w:type="paragraph" w:customStyle="1" w:styleId="Point1">
    <w:name w:val="Point 1"/>
    <w:basedOn w:val="Normal"/>
    <w:rsid w:val="003B5873"/>
    <w:pPr>
      <w:spacing w:line="240" w:lineRule="auto"/>
      <w:ind w:left="1417" w:hanging="567"/>
      <w:jc w:val="both"/>
    </w:pPr>
    <w:rPr>
      <w:szCs w:val="20"/>
    </w:rPr>
  </w:style>
  <w:style w:type="paragraph" w:customStyle="1" w:styleId="Point2">
    <w:name w:val="Point 2"/>
    <w:basedOn w:val="Normal"/>
    <w:rsid w:val="003B5873"/>
    <w:pPr>
      <w:spacing w:line="240" w:lineRule="auto"/>
      <w:ind w:left="1984" w:hanging="567"/>
      <w:jc w:val="both"/>
    </w:pPr>
    <w:rPr>
      <w:szCs w:val="20"/>
    </w:rPr>
  </w:style>
  <w:style w:type="paragraph" w:customStyle="1" w:styleId="Point3">
    <w:name w:val="Point 3"/>
    <w:basedOn w:val="Normal"/>
    <w:rsid w:val="003B5873"/>
    <w:pPr>
      <w:spacing w:line="240" w:lineRule="auto"/>
      <w:ind w:left="2551" w:hanging="567"/>
      <w:jc w:val="both"/>
    </w:pPr>
    <w:rPr>
      <w:szCs w:val="20"/>
    </w:rPr>
  </w:style>
  <w:style w:type="paragraph" w:customStyle="1" w:styleId="Point4">
    <w:name w:val="Point 4"/>
    <w:basedOn w:val="Normal"/>
    <w:rsid w:val="003B5873"/>
    <w:pPr>
      <w:spacing w:line="240" w:lineRule="auto"/>
      <w:ind w:left="3118" w:hanging="567"/>
      <w:jc w:val="both"/>
    </w:pPr>
    <w:rPr>
      <w:szCs w:val="20"/>
    </w:rPr>
  </w:style>
  <w:style w:type="paragraph" w:customStyle="1" w:styleId="Point5">
    <w:name w:val="Point 5"/>
    <w:basedOn w:val="Normal"/>
    <w:rsid w:val="003B5873"/>
    <w:pPr>
      <w:spacing w:line="240" w:lineRule="auto"/>
      <w:ind w:left="3685" w:hanging="567"/>
      <w:jc w:val="both"/>
    </w:pPr>
    <w:rPr>
      <w:szCs w:val="20"/>
    </w:rPr>
  </w:style>
  <w:style w:type="paragraph" w:customStyle="1" w:styleId="Tiret0">
    <w:name w:val="Tiret 0"/>
    <w:basedOn w:val="Point0"/>
    <w:rsid w:val="00220ABB"/>
    <w:pPr>
      <w:numPr>
        <w:numId w:val="29"/>
      </w:numPr>
      <w:tabs>
        <w:tab w:val="clear" w:pos="850"/>
      </w:tabs>
    </w:pPr>
  </w:style>
  <w:style w:type="paragraph" w:customStyle="1" w:styleId="Tiret1">
    <w:name w:val="Tiret 1"/>
    <w:basedOn w:val="Point1"/>
    <w:rsid w:val="00220ABB"/>
    <w:pPr>
      <w:numPr>
        <w:numId w:val="30"/>
      </w:numPr>
      <w:tabs>
        <w:tab w:val="clear" w:pos="1417"/>
      </w:tabs>
      <w:ind w:left="1440" w:hanging="360"/>
    </w:pPr>
  </w:style>
  <w:style w:type="paragraph" w:customStyle="1" w:styleId="Tiret2">
    <w:name w:val="Tiret 2"/>
    <w:basedOn w:val="Point2"/>
    <w:rsid w:val="00220ABB"/>
    <w:pPr>
      <w:numPr>
        <w:numId w:val="31"/>
      </w:numPr>
      <w:tabs>
        <w:tab w:val="clear" w:pos="1984"/>
      </w:tabs>
    </w:pPr>
  </w:style>
  <w:style w:type="paragraph" w:customStyle="1" w:styleId="Tiret3">
    <w:name w:val="Tiret 3"/>
    <w:basedOn w:val="Point3"/>
    <w:rsid w:val="00220ABB"/>
    <w:pPr>
      <w:numPr>
        <w:numId w:val="32"/>
      </w:numPr>
      <w:tabs>
        <w:tab w:val="clear" w:pos="2551"/>
      </w:tabs>
      <w:ind w:left="1440" w:hanging="360"/>
    </w:pPr>
  </w:style>
  <w:style w:type="paragraph" w:customStyle="1" w:styleId="Tiret4">
    <w:name w:val="Tiret 4"/>
    <w:basedOn w:val="Point4"/>
    <w:rsid w:val="00220ABB"/>
    <w:pPr>
      <w:numPr>
        <w:numId w:val="33"/>
      </w:numPr>
      <w:tabs>
        <w:tab w:val="clear" w:pos="3118"/>
      </w:tabs>
      <w:ind w:left="1440" w:hanging="360"/>
    </w:pPr>
  </w:style>
  <w:style w:type="paragraph" w:customStyle="1" w:styleId="Tiret5">
    <w:name w:val="Tiret 5"/>
    <w:basedOn w:val="Point5"/>
    <w:rsid w:val="00220ABB"/>
    <w:pPr>
      <w:numPr>
        <w:numId w:val="45"/>
      </w:numPr>
      <w:ind w:left="785"/>
    </w:pPr>
  </w:style>
  <w:style w:type="paragraph" w:customStyle="1" w:styleId="PointDouble0">
    <w:name w:val="PointDouble 0"/>
    <w:basedOn w:val="Normal"/>
    <w:rsid w:val="003B5873"/>
    <w:pPr>
      <w:tabs>
        <w:tab w:val="left" w:pos="850"/>
      </w:tabs>
      <w:spacing w:line="240" w:lineRule="auto"/>
      <w:ind w:left="1417" w:hanging="1417"/>
      <w:jc w:val="both"/>
    </w:pPr>
    <w:rPr>
      <w:szCs w:val="20"/>
    </w:rPr>
  </w:style>
  <w:style w:type="paragraph" w:customStyle="1" w:styleId="PointDouble1">
    <w:name w:val="PointDouble 1"/>
    <w:basedOn w:val="Normal"/>
    <w:rsid w:val="003B5873"/>
    <w:pPr>
      <w:tabs>
        <w:tab w:val="left" w:pos="1417"/>
      </w:tabs>
      <w:spacing w:line="240" w:lineRule="auto"/>
      <w:ind w:left="1984" w:hanging="1134"/>
      <w:jc w:val="both"/>
    </w:pPr>
    <w:rPr>
      <w:szCs w:val="20"/>
    </w:rPr>
  </w:style>
  <w:style w:type="paragraph" w:customStyle="1" w:styleId="PointDouble2">
    <w:name w:val="PointDouble 2"/>
    <w:basedOn w:val="Normal"/>
    <w:rsid w:val="003B5873"/>
    <w:pPr>
      <w:tabs>
        <w:tab w:val="left" w:pos="1984"/>
      </w:tabs>
      <w:spacing w:line="240" w:lineRule="auto"/>
      <w:ind w:left="2551" w:hanging="1134"/>
      <w:jc w:val="both"/>
    </w:pPr>
    <w:rPr>
      <w:szCs w:val="20"/>
    </w:rPr>
  </w:style>
  <w:style w:type="paragraph" w:customStyle="1" w:styleId="PointDouble3">
    <w:name w:val="PointDouble 3"/>
    <w:basedOn w:val="Normal"/>
    <w:rsid w:val="003B5873"/>
    <w:pPr>
      <w:tabs>
        <w:tab w:val="left" w:pos="2551"/>
      </w:tabs>
      <w:spacing w:line="240" w:lineRule="auto"/>
      <w:ind w:left="3118" w:hanging="1134"/>
      <w:jc w:val="both"/>
    </w:pPr>
    <w:rPr>
      <w:szCs w:val="20"/>
    </w:rPr>
  </w:style>
  <w:style w:type="paragraph" w:customStyle="1" w:styleId="PointDouble4">
    <w:name w:val="PointDouble 4"/>
    <w:basedOn w:val="Normal"/>
    <w:rsid w:val="003B5873"/>
    <w:pPr>
      <w:tabs>
        <w:tab w:val="left" w:pos="3118"/>
      </w:tabs>
      <w:spacing w:line="240" w:lineRule="auto"/>
      <w:ind w:left="3685" w:hanging="1134"/>
      <w:jc w:val="both"/>
    </w:pPr>
    <w:rPr>
      <w:szCs w:val="20"/>
    </w:rPr>
  </w:style>
  <w:style w:type="paragraph" w:customStyle="1" w:styleId="PointTriple0">
    <w:name w:val="PointTriple 0"/>
    <w:basedOn w:val="Normal"/>
    <w:rsid w:val="003B5873"/>
    <w:pPr>
      <w:tabs>
        <w:tab w:val="left" w:pos="850"/>
        <w:tab w:val="left" w:pos="1417"/>
      </w:tabs>
      <w:spacing w:line="240" w:lineRule="auto"/>
      <w:ind w:left="1984" w:hanging="1984"/>
      <w:jc w:val="both"/>
    </w:pPr>
    <w:rPr>
      <w:szCs w:val="20"/>
    </w:rPr>
  </w:style>
  <w:style w:type="paragraph" w:customStyle="1" w:styleId="PointTriple1">
    <w:name w:val="PointTriple 1"/>
    <w:basedOn w:val="Normal"/>
    <w:rsid w:val="003B5873"/>
    <w:pPr>
      <w:tabs>
        <w:tab w:val="left" w:pos="1417"/>
        <w:tab w:val="left" w:pos="1984"/>
      </w:tabs>
      <w:spacing w:line="240" w:lineRule="auto"/>
      <w:ind w:left="2551" w:hanging="1701"/>
      <w:jc w:val="both"/>
    </w:pPr>
    <w:rPr>
      <w:szCs w:val="20"/>
    </w:rPr>
  </w:style>
  <w:style w:type="paragraph" w:customStyle="1" w:styleId="PointTriple2">
    <w:name w:val="PointTriple 2"/>
    <w:basedOn w:val="Normal"/>
    <w:rsid w:val="003B5873"/>
    <w:pPr>
      <w:tabs>
        <w:tab w:val="left" w:pos="1984"/>
        <w:tab w:val="left" w:pos="2551"/>
      </w:tabs>
      <w:spacing w:line="240" w:lineRule="auto"/>
      <w:ind w:left="3118" w:hanging="1701"/>
      <w:jc w:val="both"/>
    </w:pPr>
    <w:rPr>
      <w:szCs w:val="20"/>
    </w:rPr>
  </w:style>
  <w:style w:type="paragraph" w:customStyle="1" w:styleId="PointTriple3">
    <w:name w:val="PointTriple 3"/>
    <w:basedOn w:val="Normal"/>
    <w:rsid w:val="003B5873"/>
    <w:pPr>
      <w:tabs>
        <w:tab w:val="left" w:pos="2551"/>
        <w:tab w:val="left" w:pos="3118"/>
      </w:tabs>
      <w:spacing w:line="240" w:lineRule="auto"/>
      <w:ind w:left="3685" w:hanging="1701"/>
      <w:jc w:val="both"/>
    </w:pPr>
    <w:rPr>
      <w:szCs w:val="20"/>
    </w:rPr>
  </w:style>
  <w:style w:type="paragraph" w:customStyle="1" w:styleId="PointTriple4">
    <w:name w:val="PointTriple 4"/>
    <w:basedOn w:val="Normal"/>
    <w:rsid w:val="003B5873"/>
    <w:pPr>
      <w:tabs>
        <w:tab w:val="left" w:pos="3118"/>
        <w:tab w:val="left" w:pos="3685"/>
      </w:tabs>
      <w:spacing w:line="240" w:lineRule="auto"/>
      <w:ind w:left="4252" w:hanging="1701"/>
      <w:jc w:val="both"/>
    </w:pPr>
    <w:rPr>
      <w:szCs w:val="20"/>
    </w:rPr>
  </w:style>
  <w:style w:type="paragraph" w:customStyle="1" w:styleId="NumPar5">
    <w:name w:val="NumPar 5"/>
    <w:basedOn w:val="Normal"/>
    <w:next w:val="Text2"/>
    <w:rsid w:val="003B5873"/>
    <w:pPr>
      <w:spacing w:line="240" w:lineRule="auto"/>
      <w:ind w:left="3600" w:hanging="360"/>
      <w:jc w:val="both"/>
    </w:pPr>
    <w:rPr>
      <w:szCs w:val="20"/>
    </w:rPr>
  </w:style>
  <w:style w:type="paragraph" w:customStyle="1" w:styleId="NumPar6">
    <w:name w:val="NumPar 6"/>
    <w:basedOn w:val="Normal"/>
    <w:next w:val="Text2"/>
    <w:rsid w:val="003B5873"/>
    <w:pPr>
      <w:spacing w:line="240" w:lineRule="auto"/>
      <w:ind w:left="4320" w:hanging="360"/>
      <w:jc w:val="both"/>
    </w:pPr>
    <w:rPr>
      <w:szCs w:val="20"/>
    </w:rPr>
  </w:style>
  <w:style w:type="paragraph" w:customStyle="1" w:styleId="NumPar7">
    <w:name w:val="NumPar 7"/>
    <w:basedOn w:val="Normal"/>
    <w:next w:val="Text2"/>
    <w:rsid w:val="003B5873"/>
    <w:pPr>
      <w:spacing w:line="240" w:lineRule="auto"/>
      <w:ind w:left="5040" w:hanging="360"/>
      <w:jc w:val="both"/>
    </w:pPr>
    <w:rPr>
      <w:szCs w:val="20"/>
    </w:rPr>
  </w:style>
  <w:style w:type="paragraph" w:customStyle="1" w:styleId="ManualNumPar1">
    <w:name w:val="Manual NumPar 1"/>
    <w:basedOn w:val="Normal"/>
    <w:next w:val="Text1"/>
    <w:rsid w:val="003B5873"/>
    <w:pPr>
      <w:spacing w:line="240" w:lineRule="auto"/>
      <w:ind w:left="850" w:hanging="850"/>
      <w:jc w:val="both"/>
    </w:pPr>
    <w:rPr>
      <w:szCs w:val="20"/>
    </w:rPr>
  </w:style>
  <w:style w:type="paragraph" w:customStyle="1" w:styleId="ManualNumPar2">
    <w:name w:val="Manual NumPar 2"/>
    <w:basedOn w:val="Normal"/>
    <w:next w:val="Text1"/>
    <w:rsid w:val="003B5873"/>
    <w:pPr>
      <w:spacing w:line="240" w:lineRule="auto"/>
      <w:ind w:left="850" w:hanging="850"/>
      <w:jc w:val="both"/>
    </w:pPr>
    <w:rPr>
      <w:szCs w:val="20"/>
    </w:rPr>
  </w:style>
  <w:style w:type="paragraph" w:customStyle="1" w:styleId="ManualNumPar3">
    <w:name w:val="Manual NumPar 3"/>
    <w:basedOn w:val="Normal"/>
    <w:next w:val="Text1"/>
    <w:rsid w:val="003B5873"/>
    <w:pPr>
      <w:spacing w:line="240" w:lineRule="auto"/>
      <w:ind w:left="850" w:hanging="850"/>
      <w:jc w:val="both"/>
    </w:pPr>
    <w:rPr>
      <w:szCs w:val="20"/>
    </w:rPr>
  </w:style>
  <w:style w:type="paragraph" w:customStyle="1" w:styleId="ManualNumPar4">
    <w:name w:val="Manual NumPar 4"/>
    <w:basedOn w:val="Normal"/>
    <w:next w:val="Text1"/>
    <w:rsid w:val="003B5873"/>
    <w:pPr>
      <w:spacing w:line="240" w:lineRule="auto"/>
      <w:ind w:left="850" w:hanging="850"/>
      <w:jc w:val="both"/>
    </w:pPr>
    <w:rPr>
      <w:szCs w:val="20"/>
    </w:rPr>
  </w:style>
  <w:style w:type="paragraph" w:customStyle="1" w:styleId="ManualNumPar5">
    <w:name w:val="Manual NumPar 5"/>
    <w:basedOn w:val="Normal"/>
    <w:next w:val="Text2"/>
    <w:rsid w:val="003B5873"/>
    <w:pPr>
      <w:spacing w:line="240" w:lineRule="auto"/>
      <w:ind w:left="1417" w:hanging="1417"/>
      <w:jc w:val="both"/>
    </w:pPr>
    <w:rPr>
      <w:szCs w:val="20"/>
    </w:rPr>
  </w:style>
  <w:style w:type="paragraph" w:customStyle="1" w:styleId="ManualNumPar6">
    <w:name w:val="Manual NumPar 6"/>
    <w:basedOn w:val="Normal"/>
    <w:next w:val="Text2"/>
    <w:rsid w:val="003B5873"/>
    <w:pPr>
      <w:spacing w:line="240" w:lineRule="auto"/>
      <w:ind w:left="1417" w:hanging="1417"/>
      <w:jc w:val="both"/>
    </w:pPr>
    <w:rPr>
      <w:szCs w:val="20"/>
    </w:rPr>
  </w:style>
  <w:style w:type="paragraph" w:customStyle="1" w:styleId="ManualNumPar7">
    <w:name w:val="Manual NumPar 7"/>
    <w:basedOn w:val="Normal"/>
    <w:next w:val="Text2"/>
    <w:rsid w:val="003B5873"/>
    <w:pPr>
      <w:spacing w:line="240" w:lineRule="auto"/>
      <w:ind w:left="1417" w:hanging="1417"/>
      <w:jc w:val="both"/>
    </w:pPr>
    <w:rPr>
      <w:szCs w:val="20"/>
    </w:rPr>
  </w:style>
  <w:style w:type="paragraph" w:customStyle="1" w:styleId="QuotedNumPar">
    <w:name w:val="Quoted NumPar"/>
    <w:basedOn w:val="Normal"/>
    <w:rsid w:val="003B5873"/>
    <w:pPr>
      <w:spacing w:line="240" w:lineRule="auto"/>
      <w:ind w:left="1417" w:hanging="567"/>
      <w:jc w:val="both"/>
    </w:pPr>
    <w:rPr>
      <w:szCs w:val="20"/>
    </w:rPr>
  </w:style>
  <w:style w:type="paragraph" w:customStyle="1" w:styleId="ManualHeading2">
    <w:name w:val="Manual Heading 2"/>
    <w:basedOn w:val="Normal"/>
    <w:next w:val="Text1"/>
    <w:rsid w:val="003B5873"/>
    <w:pPr>
      <w:keepNext/>
      <w:tabs>
        <w:tab w:val="left" w:pos="850"/>
      </w:tabs>
      <w:spacing w:line="240" w:lineRule="auto"/>
      <w:ind w:left="850" w:hanging="850"/>
      <w:jc w:val="both"/>
      <w:outlineLvl w:val="1"/>
    </w:pPr>
    <w:rPr>
      <w:b/>
      <w:szCs w:val="20"/>
    </w:rPr>
  </w:style>
  <w:style w:type="paragraph" w:customStyle="1" w:styleId="ManualHeading3">
    <w:name w:val="Manual Heading 3"/>
    <w:basedOn w:val="Normal"/>
    <w:next w:val="Text1"/>
    <w:rsid w:val="003B5873"/>
    <w:pPr>
      <w:keepNext/>
      <w:tabs>
        <w:tab w:val="left" w:pos="850"/>
      </w:tabs>
      <w:spacing w:line="240" w:lineRule="auto"/>
      <w:ind w:left="850" w:hanging="850"/>
      <w:jc w:val="both"/>
      <w:outlineLvl w:val="2"/>
    </w:pPr>
    <w:rPr>
      <w:i/>
      <w:szCs w:val="20"/>
    </w:rPr>
  </w:style>
  <w:style w:type="paragraph" w:customStyle="1" w:styleId="ManualHeading4">
    <w:name w:val="Manual Heading 4"/>
    <w:basedOn w:val="Normal"/>
    <w:next w:val="Text1"/>
    <w:rsid w:val="003B5873"/>
    <w:pPr>
      <w:keepNext/>
      <w:tabs>
        <w:tab w:val="left" w:pos="850"/>
      </w:tabs>
      <w:spacing w:line="240" w:lineRule="auto"/>
      <w:ind w:left="850" w:hanging="850"/>
      <w:jc w:val="both"/>
      <w:outlineLvl w:val="3"/>
    </w:pPr>
    <w:rPr>
      <w:szCs w:val="20"/>
    </w:rPr>
  </w:style>
  <w:style w:type="paragraph" w:customStyle="1" w:styleId="ManualHeading5">
    <w:name w:val="Manual Heading 5"/>
    <w:basedOn w:val="Normal"/>
    <w:next w:val="Text2"/>
    <w:rsid w:val="003B5873"/>
    <w:pPr>
      <w:keepNext/>
      <w:tabs>
        <w:tab w:val="left" w:pos="1417"/>
      </w:tabs>
      <w:spacing w:line="240" w:lineRule="auto"/>
      <w:ind w:left="1417" w:hanging="1417"/>
      <w:jc w:val="both"/>
      <w:outlineLvl w:val="4"/>
    </w:pPr>
    <w:rPr>
      <w:szCs w:val="20"/>
    </w:rPr>
  </w:style>
  <w:style w:type="paragraph" w:customStyle="1" w:styleId="ManualHeading6">
    <w:name w:val="Manual Heading 6"/>
    <w:basedOn w:val="Normal"/>
    <w:next w:val="Text2"/>
    <w:rsid w:val="003B5873"/>
    <w:pPr>
      <w:keepNext/>
      <w:tabs>
        <w:tab w:val="left" w:pos="1417"/>
      </w:tabs>
      <w:spacing w:line="240" w:lineRule="auto"/>
      <w:ind w:left="1417" w:hanging="1417"/>
      <w:jc w:val="both"/>
      <w:outlineLvl w:val="5"/>
    </w:pPr>
    <w:rPr>
      <w:szCs w:val="20"/>
    </w:rPr>
  </w:style>
  <w:style w:type="paragraph" w:customStyle="1" w:styleId="ManualHeading7">
    <w:name w:val="Manual Heading 7"/>
    <w:basedOn w:val="Normal"/>
    <w:next w:val="Text2"/>
    <w:rsid w:val="003B5873"/>
    <w:pPr>
      <w:keepNext/>
      <w:tabs>
        <w:tab w:val="left" w:pos="1417"/>
      </w:tabs>
      <w:spacing w:line="240" w:lineRule="auto"/>
      <w:ind w:left="1417" w:hanging="1417"/>
      <w:jc w:val="both"/>
      <w:outlineLvl w:val="6"/>
    </w:pPr>
    <w:rPr>
      <w:szCs w:val="20"/>
    </w:rPr>
  </w:style>
  <w:style w:type="paragraph" w:customStyle="1" w:styleId="ChapterTitle">
    <w:name w:val="ChapterTitle"/>
    <w:basedOn w:val="Normal"/>
    <w:next w:val="Normal"/>
    <w:rsid w:val="003B5873"/>
    <w:pPr>
      <w:keepNext/>
      <w:spacing w:after="360" w:line="240" w:lineRule="auto"/>
      <w:jc w:val="center"/>
    </w:pPr>
    <w:rPr>
      <w:b/>
      <w:sz w:val="32"/>
      <w:szCs w:val="20"/>
    </w:rPr>
  </w:style>
  <w:style w:type="paragraph" w:customStyle="1" w:styleId="PartTitle">
    <w:name w:val="PartTitle"/>
    <w:basedOn w:val="Normal"/>
    <w:next w:val="ChapterTitle"/>
    <w:rsid w:val="003B5873"/>
    <w:pPr>
      <w:keepNext/>
      <w:pageBreakBefore/>
      <w:spacing w:after="360" w:line="240" w:lineRule="auto"/>
      <w:jc w:val="center"/>
    </w:pPr>
    <w:rPr>
      <w:b/>
      <w:sz w:val="36"/>
      <w:szCs w:val="20"/>
    </w:rPr>
  </w:style>
  <w:style w:type="paragraph" w:customStyle="1" w:styleId="SectionTitle">
    <w:name w:val="SectionTitle"/>
    <w:basedOn w:val="Normal"/>
    <w:next w:val="Heading1"/>
    <w:rsid w:val="003B5873"/>
    <w:pPr>
      <w:keepNext/>
      <w:spacing w:after="360" w:line="240" w:lineRule="auto"/>
      <w:jc w:val="center"/>
    </w:pPr>
    <w:rPr>
      <w:b/>
      <w:smallCaps/>
      <w:sz w:val="28"/>
      <w:szCs w:val="20"/>
    </w:rPr>
  </w:style>
  <w:style w:type="paragraph" w:customStyle="1" w:styleId="TableTitle">
    <w:name w:val="Table Title"/>
    <w:basedOn w:val="Normal"/>
    <w:next w:val="Normal"/>
    <w:rsid w:val="003B5873"/>
    <w:pPr>
      <w:spacing w:line="240" w:lineRule="auto"/>
      <w:jc w:val="center"/>
    </w:pPr>
    <w:rPr>
      <w:b/>
      <w:szCs w:val="20"/>
    </w:rPr>
  </w:style>
  <w:style w:type="character" w:customStyle="1" w:styleId="Marker2">
    <w:name w:val="Marker2"/>
    <w:basedOn w:val="DefaultParagraphFont"/>
    <w:rsid w:val="00220ABB"/>
    <w:rPr>
      <w:color w:val="FF0000"/>
      <w:shd w:val="clear" w:color="auto" w:fill="auto"/>
    </w:rPr>
  </w:style>
  <w:style w:type="paragraph" w:customStyle="1" w:styleId="Point0number">
    <w:name w:val="Point 0 (number)"/>
    <w:basedOn w:val="Normal"/>
    <w:rsid w:val="003B5873"/>
    <w:pPr>
      <w:numPr>
        <w:numId w:val="34"/>
      </w:numPr>
      <w:tabs>
        <w:tab w:val="clear" w:pos="850"/>
      </w:tabs>
      <w:spacing w:line="240" w:lineRule="auto"/>
      <w:ind w:left="720" w:hanging="360"/>
      <w:jc w:val="both"/>
    </w:pPr>
    <w:rPr>
      <w:szCs w:val="20"/>
    </w:rPr>
  </w:style>
  <w:style w:type="paragraph" w:customStyle="1" w:styleId="Point1number">
    <w:name w:val="Point 1 (number)"/>
    <w:basedOn w:val="Normal"/>
    <w:rsid w:val="003B5873"/>
    <w:pPr>
      <w:numPr>
        <w:ilvl w:val="2"/>
        <w:numId w:val="34"/>
      </w:numPr>
      <w:tabs>
        <w:tab w:val="clear" w:pos="1417"/>
      </w:tabs>
      <w:spacing w:line="240" w:lineRule="auto"/>
      <w:ind w:left="2160" w:hanging="360"/>
      <w:jc w:val="both"/>
    </w:pPr>
    <w:rPr>
      <w:szCs w:val="20"/>
    </w:rPr>
  </w:style>
  <w:style w:type="paragraph" w:customStyle="1" w:styleId="Point2number">
    <w:name w:val="Point 2 (number)"/>
    <w:basedOn w:val="Normal"/>
    <w:rsid w:val="003B5873"/>
    <w:pPr>
      <w:numPr>
        <w:ilvl w:val="4"/>
        <w:numId w:val="34"/>
      </w:numPr>
      <w:tabs>
        <w:tab w:val="clear" w:pos="1984"/>
      </w:tabs>
      <w:spacing w:line="240" w:lineRule="auto"/>
      <w:ind w:left="3600" w:hanging="360"/>
      <w:jc w:val="both"/>
    </w:pPr>
    <w:rPr>
      <w:szCs w:val="20"/>
    </w:rPr>
  </w:style>
  <w:style w:type="paragraph" w:customStyle="1" w:styleId="Point3number">
    <w:name w:val="Point 3 (number)"/>
    <w:basedOn w:val="Normal"/>
    <w:rsid w:val="003B5873"/>
    <w:pPr>
      <w:numPr>
        <w:ilvl w:val="6"/>
        <w:numId w:val="34"/>
      </w:numPr>
      <w:tabs>
        <w:tab w:val="clear" w:pos="2551"/>
      </w:tabs>
      <w:spacing w:line="240" w:lineRule="auto"/>
      <w:ind w:left="5040" w:hanging="360"/>
      <w:jc w:val="both"/>
    </w:pPr>
    <w:rPr>
      <w:szCs w:val="20"/>
    </w:rPr>
  </w:style>
  <w:style w:type="paragraph" w:customStyle="1" w:styleId="Point0letter">
    <w:name w:val="Point 0 (letter)"/>
    <w:basedOn w:val="Normal"/>
    <w:rsid w:val="003B5873"/>
    <w:pPr>
      <w:numPr>
        <w:ilvl w:val="1"/>
        <w:numId w:val="34"/>
      </w:numPr>
      <w:tabs>
        <w:tab w:val="clear" w:pos="850"/>
      </w:tabs>
      <w:spacing w:line="240" w:lineRule="auto"/>
      <w:ind w:left="1440" w:hanging="360"/>
      <w:jc w:val="both"/>
    </w:pPr>
    <w:rPr>
      <w:szCs w:val="20"/>
    </w:rPr>
  </w:style>
  <w:style w:type="paragraph" w:customStyle="1" w:styleId="Point1letter">
    <w:name w:val="Point 1 (letter)"/>
    <w:basedOn w:val="Normal"/>
    <w:rsid w:val="003B5873"/>
    <w:pPr>
      <w:numPr>
        <w:ilvl w:val="3"/>
        <w:numId w:val="34"/>
      </w:numPr>
      <w:tabs>
        <w:tab w:val="clear" w:pos="1417"/>
      </w:tabs>
      <w:spacing w:line="240" w:lineRule="auto"/>
      <w:ind w:left="2880" w:hanging="360"/>
      <w:jc w:val="both"/>
    </w:pPr>
    <w:rPr>
      <w:szCs w:val="20"/>
    </w:rPr>
  </w:style>
  <w:style w:type="paragraph" w:customStyle="1" w:styleId="Point2letter">
    <w:name w:val="Point 2 (letter)"/>
    <w:basedOn w:val="Normal"/>
    <w:rsid w:val="003B5873"/>
    <w:pPr>
      <w:numPr>
        <w:ilvl w:val="5"/>
        <w:numId w:val="34"/>
      </w:numPr>
      <w:tabs>
        <w:tab w:val="clear" w:pos="1984"/>
      </w:tabs>
      <w:spacing w:line="240" w:lineRule="auto"/>
      <w:ind w:left="4320" w:hanging="360"/>
      <w:jc w:val="both"/>
    </w:pPr>
    <w:rPr>
      <w:szCs w:val="20"/>
    </w:rPr>
  </w:style>
  <w:style w:type="paragraph" w:customStyle="1" w:styleId="Point3letter">
    <w:name w:val="Point 3 (letter)"/>
    <w:basedOn w:val="Normal"/>
    <w:rsid w:val="003B5873"/>
    <w:pPr>
      <w:numPr>
        <w:ilvl w:val="7"/>
        <w:numId w:val="34"/>
      </w:numPr>
      <w:tabs>
        <w:tab w:val="clear" w:pos="2551"/>
      </w:tabs>
      <w:spacing w:line="240" w:lineRule="auto"/>
      <w:ind w:left="5760" w:hanging="360"/>
      <w:jc w:val="both"/>
    </w:pPr>
    <w:rPr>
      <w:szCs w:val="20"/>
    </w:rPr>
  </w:style>
  <w:style w:type="paragraph" w:customStyle="1" w:styleId="Point4letter">
    <w:name w:val="Point 4 (letter)"/>
    <w:basedOn w:val="Normal"/>
    <w:rsid w:val="003B5873"/>
    <w:pPr>
      <w:numPr>
        <w:ilvl w:val="8"/>
        <w:numId w:val="34"/>
      </w:numPr>
      <w:tabs>
        <w:tab w:val="clear" w:pos="3118"/>
      </w:tabs>
      <w:spacing w:line="240" w:lineRule="auto"/>
      <w:ind w:left="6480" w:hanging="360"/>
      <w:jc w:val="both"/>
    </w:pPr>
    <w:rPr>
      <w:szCs w:val="20"/>
    </w:rPr>
  </w:style>
  <w:style w:type="paragraph" w:customStyle="1" w:styleId="Bullet0">
    <w:name w:val="Bullet 0"/>
    <w:basedOn w:val="Normal"/>
    <w:rsid w:val="003B5873"/>
    <w:pPr>
      <w:numPr>
        <w:numId w:val="35"/>
      </w:numPr>
      <w:spacing w:line="240" w:lineRule="auto"/>
      <w:ind w:left="720" w:hanging="360"/>
      <w:jc w:val="both"/>
    </w:pPr>
    <w:rPr>
      <w:szCs w:val="20"/>
    </w:rPr>
  </w:style>
  <w:style w:type="paragraph" w:customStyle="1" w:styleId="Bullet1">
    <w:name w:val="Bullet 1"/>
    <w:basedOn w:val="Normal"/>
    <w:rsid w:val="003B5873"/>
    <w:pPr>
      <w:numPr>
        <w:numId w:val="36"/>
      </w:numPr>
      <w:spacing w:line="240" w:lineRule="auto"/>
      <w:ind w:left="720" w:hanging="360"/>
      <w:jc w:val="both"/>
    </w:pPr>
    <w:rPr>
      <w:szCs w:val="20"/>
    </w:rPr>
  </w:style>
  <w:style w:type="paragraph" w:customStyle="1" w:styleId="Bullet2">
    <w:name w:val="Bullet 2"/>
    <w:basedOn w:val="Normal"/>
    <w:rsid w:val="003B5873"/>
    <w:pPr>
      <w:numPr>
        <w:numId w:val="37"/>
      </w:numPr>
      <w:spacing w:line="240" w:lineRule="auto"/>
      <w:ind w:left="720" w:hanging="360"/>
      <w:jc w:val="both"/>
    </w:pPr>
    <w:rPr>
      <w:szCs w:val="20"/>
    </w:rPr>
  </w:style>
  <w:style w:type="paragraph" w:customStyle="1" w:styleId="Bullet3">
    <w:name w:val="Bullet 3"/>
    <w:basedOn w:val="Normal"/>
    <w:rsid w:val="003B5873"/>
    <w:pPr>
      <w:numPr>
        <w:numId w:val="38"/>
      </w:numPr>
      <w:spacing w:line="240" w:lineRule="auto"/>
      <w:ind w:left="720" w:hanging="360"/>
      <w:jc w:val="both"/>
    </w:pPr>
    <w:rPr>
      <w:szCs w:val="20"/>
    </w:rPr>
  </w:style>
  <w:style w:type="paragraph" w:customStyle="1" w:styleId="Bullet4">
    <w:name w:val="Bullet 4"/>
    <w:basedOn w:val="Normal"/>
    <w:rsid w:val="003B5873"/>
    <w:pPr>
      <w:numPr>
        <w:numId w:val="39"/>
      </w:numPr>
      <w:spacing w:line="240" w:lineRule="auto"/>
      <w:ind w:left="1080" w:hanging="720"/>
      <w:jc w:val="both"/>
    </w:pPr>
    <w:rPr>
      <w:szCs w:val="20"/>
    </w:rPr>
  </w:style>
  <w:style w:type="paragraph" w:customStyle="1" w:styleId="Langue">
    <w:name w:val="Langue"/>
    <w:basedOn w:val="Normal"/>
    <w:next w:val="Rfrenceinterne"/>
    <w:rsid w:val="003B5873"/>
    <w:pPr>
      <w:framePr w:wrap="around" w:vAnchor="page" w:hAnchor="text" w:xAlign="center" w:y="14741"/>
      <w:spacing w:after="600" w:line="240" w:lineRule="auto"/>
      <w:jc w:val="center"/>
    </w:pPr>
    <w:rPr>
      <w:b/>
      <w:caps/>
      <w:szCs w:val="20"/>
    </w:rPr>
  </w:style>
  <w:style w:type="paragraph" w:customStyle="1" w:styleId="Nomdelinstitution">
    <w:name w:val="Nom de l'institution"/>
    <w:basedOn w:val="Normal"/>
    <w:next w:val="Emission"/>
    <w:rsid w:val="003B5873"/>
    <w:pPr>
      <w:spacing w:after="0" w:line="240" w:lineRule="auto"/>
    </w:pPr>
    <w:rPr>
      <w:rFonts w:ascii="Arial" w:hAnsi="Arial" w:cs="Arial"/>
      <w:szCs w:val="20"/>
    </w:rPr>
  </w:style>
  <w:style w:type="paragraph" w:customStyle="1" w:styleId="Emission">
    <w:name w:val="Emission"/>
    <w:basedOn w:val="Normal"/>
    <w:next w:val="Rfrenceinstitutionnelle"/>
    <w:rsid w:val="003B5873"/>
    <w:pPr>
      <w:spacing w:after="0" w:line="240" w:lineRule="auto"/>
      <w:ind w:left="5103"/>
    </w:pPr>
    <w:rPr>
      <w:szCs w:val="20"/>
    </w:rPr>
  </w:style>
  <w:style w:type="paragraph" w:customStyle="1" w:styleId="Rfrenceinstitutionnelle">
    <w:name w:val="Référence institutionnelle"/>
    <w:basedOn w:val="Normal"/>
    <w:next w:val="Confidentialit"/>
    <w:rsid w:val="003B5873"/>
    <w:pPr>
      <w:spacing w:after="240" w:line="240" w:lineRule="auto"/>
      <w:ind w:left="5103"/>
    </w:pPr>
    <w:rPr>
      <w:szCs w:val="20"/>
    </w:rPr>
  </w:style>
  <w:style w:type="paragraph" w:customStyle="1" w:styleId="Declassification">
    <w:name w:val="Declassification"/>
    <w:basedOn w:val="Normal"/>
    <w:next w:val="Normal"/>
    <w:rsid w:val="003B5873"/>
    <w:pPr>
      <w:spacing w:after="0" w:line="240" w:lineRule="auto"/>
      <w:jc w:val="both"/>
    </w:pPr>
    <w:rPr>
      <w:szCs w:val="20"/>
    </w:rPr>
  </w:style>
  <w:style w:type="paragraph" w:customStyle="1" w:styleId="Disclaimer">
    <w:name w:val="Disclaimer"/>
    <w:basedOn w:val="Normal"/>
    <w:rsid w:val="003B5873"/>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line="240" w:lineRule="auto"/>
      <w:jc w:val="both"/>
    </w:pPr>
    <w:rPr>
      <w:szCs w:val="20"/>
    </w:rPr>
  </w:style>
  <w:style w:type="paragraph" w:customStyle="1" w:styleId="SecurityMarking">
    <w:name w:val="SecurityMarking"/>
    <w:basedOn w:val="Normal"/>
    <w:rsid w:val="003B5873"/>
    <w:pPr>
      <w:spacing w:after="0" w:line="276" w:lineRule="auto"/>
      <w:ind w:left="5103"/>
    </w:pPr>
    <w:rPr>
      <w:sz w:val="28"/>
      <w:szCs w:val="20"/>
    </w:rPr>
  </w:style>
  <w:style w:type="paragraph" w:customStyle="1" w:styleId="DateMarking">
    <w:name w:val="DateMarking"/>
    <w:basedOn w:val="Normal"/>
    <w:rsid w:val="003B5873"/>
    <w:pPr>
      <w:spacing w:after="0" w:line="276" w:lineRule="auto"/>
      <w:ind w:left="5103"/>
    </w:pPr>
    <w:rPr>
      <w:i/>
      <w:sz w:val="28"/>
      <w:szCs w:val="20"/>
    </w:rPr>
  </w:style>
  <w:style w:type="paragraph" w:customStyle="1" w:styleId="ReleasableTo">
    <w:name w:val="ReleasableTo"/>
    <w:basedOn w:val="Normal"/>
    <w:rsid w:val="003B5873"/>
    <w:pPr>
      <w:spacing w:after="0" w:line="276" w:lineRule="auto"/>
      <w:ind w:left="5103"/>
    </w:pPr>
    <w:rPr>
      <w:i/>
      <w:sz w:val="28"/>
      <w:szCs w:val="20"/>
    </w:rPr>
  </w:style>
  <w:style w:type="paragraph" w:customStyle="1" w:styleId="Annexetitreexpos">
    <w:name w:val="Annexe titre (exposé)"/>
    <w:basedOn w:val="Normal"/>
    <w:next w:val="Normal"/>
    <w:rsid w:val="003B5873"/>
    <w:pPr>
      <w:spacing w:line="240" w:lineRule="auto"/>
      <w:jc w:val="center"/>
    </w:pPr>
    <w:rPr>
      <w:b/>
      <w:szCs w:val="20"/>
      <w:u w:val="single"/>
    </w:rPr>
  </w:style>
  <w:style w:type="paragraph" w:customStyle="1" w:styleId="Annexetitre">
    <w:name w:val="Annexe titre"/>
    <w:basedOn w:val="Normal"/>
    <w:next w:val="Normal"/>
    <w:rsid w:val="003B5873"/>
    <w:pPr>
      <w:spacing w:line="240" w:lineRule="auto"/>
      <w:jc w:val="center"/>
    </w:pPr>
    <w:rPr>
      <w:b/>
      <w:szCs w:val="20"/>
      <w:u w:val="single"/>
    </w:rPr>
  </w:style>
  <w:style w:type="paragraph" w:customStyle="1" w:styleId="Annexetitrefichefinancire">
    <w:name w:val="Annexe titre (fiche financière)"/>
    <w:basedOn w:val="Normal"/>
    <w:next w:val="Normal"/>
    <w:rsid w:val="003B5873"/>
    <w:pPr>
      <w:spacing w:line="240" w:lineRule="auto"/>
      <w:jc w:val="center"/>
    </w:pPr>
    <w:rPr>
      <w:b/>
      <w:szCs w:val="20"/>
      <w:u w:val="single"/>
    </w:rPr>
  </w:style>
  <w:style w:type="paragraph" w:customStyle="1" w:styleId="Applicationdirecte">
    <w:name w:val="Application directe"/>
    <w:basedOn w:val="Normal"/>
    <w:next w:val="Fait"/>
    <w:rsid w:val="003B5873"/>
    <w:pPr>
      <w:spacing w:before="480" w:line="240" w:lineRule="auto"/>
      <w:jc w:val="both"/>
    </w:pPr>
    <w:rPr>
      <w:szCs w:val="20"/>
    </w:rPr>
  </w:style>
  <w:style w:type="paragraph" w:customStyle="1" w:styleId="Avertissementtitre">
    <w:name w:val="Avertissement titre"/>
    <w:basedOn w:val="Normal"/>
    <w:next w:val="Normal"/>
    <w:rsid w:val="003B5873"/>
    <w:pPr>
      <w:keepNext/>
      <w:spacing w:before="480" w:line="240" w:lineRule="auto"/>
      <w:jc w:val="both"/>
    </w:pPr>
    <w:rPr>
      <w:szCs w:val="20"/>
      <w:u w:val="single"/>
    </w:rPr>
  </w:style>
  <w:style w:type="paragraph" w:customStyle="1" w:styleId="Confidence">
    <w:name w:val="Confidence"/>
    <w:basedOn w:val="Normal"/>
    <w:next w:val="Normal"/>
    <w:rsid w:val="003B5873"/>
    <w:pPr>
      <w:spacing w:before="360" w:line="240" w:lineRule="auto"/>
      <w:jc w:val="center"/>
    </w:pPr>
    <w:rPr>
      <w:szCs w:val="20"/>
    </w:rPr>
  </w:style>
  <w:style w:type="paragraph" w:customStyle="1" w:styleId="Confidentialit">
    <w:name w:val="Confidentialité"/>
    <w:basedOn w:val="Normal"/>
    <w:next w:val="TypedudocumentPagedecouverture"/>
    <w:rsid w:val="003B5873"/>
    <w:pPr>
      <w:spacing w:before="240" w:after="240" w:line="240" w:lineRule="auto"/>
      <w:ind w:left="5103"/>
    </w:pPr>
    <w:rPr>
      <w:i/>
      <w:sz w:val="32"/>
      <w:szCs w:val="20"/>
    </w:rPr>
  </w:style>
  <w:style w:type="paragraph" w:customStyle="1" w:styleId="Considrant">
    <w:name w:val="Considérant"/>
    <w:basedOn w:val="Normal"/>
    <w:rsid w:val="003B5873"/>
    <w:pPr>
      <w:numPr>
        <w:numId w:val="40"/>
      </w:numPr>
      <w:spacing w:line="240" w:lineRule="auto"/>
      <w:ind w:left="720"/>
      <w:jc w:val="both"/>
    </w:pPr>
    <w:rPr>
      <w:szCs w:val="20"/>
    </w:rPr>
  </w:style>
  <w:style w:type="paragraph" w:customStyle="1" w:styleId="Corrigendum">
    <w:name w:val="Corrigendum"/>
    <w:basedOn w:val="Normal"/>
    <w:next w:val="Normal"/>
    <w:rsid w:val="003B5873"/>
    <w:pPr>
      <w:spacing w:after="240" w:line="240" w:lineRule="auto"/>
    </w:pPr>
    <w:rPr>
      <w:szCs w:val="20"/>
    </w:rPr>
  </w:style>
  <w:style w:type="paragraph" w:customStyle="1" w:styleId="Datedadoption">
    <w:name w:val="Date d'adoption"/>
    <w:basedOn w:val="Normal"/>
    <w:next w:val="Titreobjet"/>
    <w:rsid w:val="003B5873"/>
    <w:pPr>
      <w:spacing w:before="360" w:after="0" w:line="240" w:lineRule="auto"/>
      <w:jc w:val="center"/>
    </w:pPr>
    <w:rPr>
      <w:b/>
      <w:szCs w:val="20"/>
    </w:rPr>
  </w:style>
  <w:style w:type="paragraph" w:customStyle="1" w:styleId="Exposdesmotifstitre">
    <w:name w:val="Exposé des motifs titre"/>
    <w:basedOn w:val="Normal"/>
    <w:next w:val="Normal"/>
    <w:rsid w:val="003B5873"/>
    <w:pPr>
      <w:spacing w:line="240" w:lineRule="auto"/>
      <w:jc w:val="center"/>
    </w:pPr>
    <w:rPr>
      <w:b/>
      <w:szCs w:val="20"/>
      <w:u w:val="single"/>
    </w:rPr>
  </w:style>
  <w:style w:type="paragraph" w:customStyle="1" w:styleId="Fait">
    <w:name w:val="Fait à"/>
    <w:basedOn w:val="Normal"/>
    <w:next w:val="Institutionquisigne"/>
    <w:rsid w:val="003B5873"/>
    <w:pPr>
      <w:keepNext/>
      <w:spacing w:after="0" w:line="240" w:lineRule="auto"/>
      <w:jc w:val="both"/>
    </w:pPr>
    <w:rPr>
      <w:szCs w:val="20"/>
    </w:rPr>
  </w:style>
  <w:style w:type="paragraph" w:customStyle="1" w:styleId="Formuledadoption">
    <w:name w:val="Formule d'adoption"/>
    <w:basedOn w:val="Normal"/>
    <w:next w:val="Titrearticle"/>
    <w:rsid w:val="003B5873"/>
    <w:pPr>
      <w:keepNext/>
      <w:spacing w:line="240" w:lineRule="auto"/>
      <w:jc w:val="both"/>
    </w:pPr>
    <w:rPr>
      <w:szCs w:val="20"/>
    </w:rPr>
  </w:style>
  <w:style w:type="paragraph" w:customStyle="1" w:styleId="Institutionquiagit">
    <w:name w:val="Institution qui agit"/>
    <w:basedOn w:val="Normal"/>
    <w:next w:val="Normal"/>
    <w:rsid w:val="003B5873"/>
    <w:pPr>
      <w:keepNext/>
      <w:spacing w:before="600" w:line="240" w:lineRule="auto"/>
      <w:jc w:val="both"/>
    </w:pPr>
    <w:rPr>
      <w:szCs w:val="20"/>
    </w:rPr>
  </w:style>
  <w:style w:type="paragraph" w:customStyle="1" w:styleId="Institutionquisigne">
    <w:name w:val="Institution qui signe"/>
    <w:basedOn w:val="Normal"/>
    <w:next w:val="Personnequisigne"/>
    <w:rsid w:val="003B5873"/>
    <w:pPr>
      <w:keepNext/>
      <w:tabs>
        <w:tab w:val="left" w:pos="4252"/>
      </w:tabs>
      <w:spacing w:before="720" w:after="0" w:line="240" w:lineRule="auto"/>
      <w:jc w:val="both"/>
    </w:pPr>
    <w:rPr>
      <w:i/>
      <w:szCs w:val="20"/>
    </w:rPr>
  </w:style>
  <w:style w:type="paragraph" w:customStyle="1" w:styleId="ManualConsidrant">
    <w:name w:val="Manual Considérant"/>
    <w:basedOn w:val="Normal"/>
    <w:rsid w:val="003B5873"/>
    <w:pPr>
      <w:spacing w:line="240" w:lineRule="auto"/>
      <w:ind w:left="709" w:hanging="709"/>
      <w:jc w:val="both"/>
    </w:pPr>
    <w:rPr>
      <w:szCs w:val="20"/>
    </w:rPr>
  </w:style>
  <w:style w:type="paragraph" w:customStyle="1" w:styleId="Personnequisigne">
    <w:name w:val="Personne qui signe"/>
    <w:basedOn w:val="Normal"/>
    <w:next w:val="Institutionquisigne"/>
    <w:rsid w:val="003B5873"/>
    <w:pPr>
      <w:tabs>
        <w:tab w:val="left" w:pos="4252"/>
      </w:tabs>
      <w:spacing w:after="0" w:line="240" w:lineRule="auto"/>
    </w:pPr>
    <w:rPr>
      <w:i/>
      <w:szCs w:val="20"/>
    </w:rPr>
  </w:style>
  <w:style w:type="paragraph" w:customStyle="1" w:styleId="Rfrenceinterinstitutionnelle">
    <w:name w:val="Référence interinstitutionnelle"/>
    <w:basedOn w:val="Normal"/>
    <w:next w:val="Statut"/>
    <w:rsid w:val="003B5873"/>
    <w:pPr>
      <w:spacing w:after="0" w:line="240" w:lineRule="auto"/>
      <w:ind w:left="5103"/>
    </w:pPr>
    <w:rPr>
      <w:szCs w:val="20"/>
    </w:rPr>
  </w:style>
  <w:style w:type="paragraph" w:customStyle="1" w:styleId="Rfrenceinterne">
    <w:name w:val="Référence interne"/>
    <w:basedOn w:val="Normal"/>
    <w:next w:val="Rfrenceinterinstitutionnelle"/>
    <w:rsid w:val="003B5873"/>
    <w:pPr>
      <w:spacing w:after="0" w:line="240" w:lineRule="auto"/>
      <w:ind w:left="5103"/>
    </w:pPr>
    <w:rPr>
      <w:szCs w:val="20"/>
    </w:rPr>
  </w:style>
  <w:style w:type="paragraph" w:customStyle="1" w:styleId="Statut">
    <w:name w:val="Statut"/>
    <w:basedOn w:val="Normal"/>
    <w:next w:val="Typedudocument"/>
    <w:rsid w:val="003B5873"/>
    <w:pPr>
      <w:spacing w:before="360" w:after="0" w:line="240" w:lineRule="auto"/>
      <w:jc w:val="center"/>
    </w:pPr>
    <w:rPr>
      <w:szCs w:val="20"/>
    </w:rPr>
  </w:style>
  <w:style w:type="paragraph" w:customStyle="1" w:styleId="Titrearticle">
    <w:name w:val="Titre article"/>
    <w:basedOn w:val="Normal"/>
    <w:next w:val="Normal"/>
    <w:rsid w:val="003B5873"/>
    <w:pPr>
      <w:keepNext/>
      <w:spacing w:before="360" w:line="240" w:lineRule="auto"/>
      <w:jc w:val="center"/>
    </w:pPr>
    <w:rPr>
      <w:i/>
      <w:szCs w:val="20"/>
    </w:rPr>
  </w:style>
  <w:style w:type="paragraph" w:customStyle="1" w:styleId="Titreobjet">
    <w:name w:val="Titre objet"/>
    <w:basedOn w:val="Normal"/>
    <w:next w:val="IntrtEEE"/>
    <w:rsid w:val="003B5873"/>
    <w:pPr>
      <w:spacing w:before="360" w:after="360" w:line="240" w:lineRule="auto"/>
      <w:jc w:val="center"/>
    </w:pPr>
    <w:rPr>
      <w:b/>
      <w:szCs w:val="20"/>
    </w:rPr>
  </w:style>
  <w:style w:type="paragraph" w:customStyle="1" w:styleId="Typedudocument">
    <w:name w:val="Type du document"/>
    <w:basedOn w:val="Normal"/>
    <w:next w:val="Titreobjet"/>
    <w:rsid w:val="003B5873"/>
    <w:pPr>
      <w:spacing w:before="360" w:after="0" w:line="240" w:lineRule="auto"/>
      <w:jc w:val="center"/>
    </w:pPr>
    <w:rPr>
      <w:b/>
      <w:szCs w:val="20"/>
    </w:rPr>
  </w:style>
  <w:style w:type="character" w:customStyle="1" w:styleId="Added">
    <w:name w:val="Added"/>
    <w:basedOn w:val="DefaultParagraphFont"/>
    <w:rsid w:val="00220ABB"/>
    <w:rPr>
      <w:b/>
      <w:u w:val="single"/>
      <w:shd w:val="clear" w:color="auto" w:fill="auto"/>
    </w:rPr>
  </w:style>
  <w:style w:type="character" w:customStyle="1" w:styleId="Deleted">
    <w:name w:val="Deleted"/>
    <w:basedOn w:val="DefaultParagraphFont"/>
    <w:rsid w:val="00220ABB"/>
    <w:rPr>
      <w:strike/>
      <w:dstrike w:val="0"/>
      <w:shd w:val="clear" w:color="auto" w:fill="auto"/>
    </w:rPr>
  </w:style>
  <w:style w:type="paragraph" w:customStyle="1" w:styleId="Address">
    <w:name w:val="Address"/>
    <w:basedOn w:val="Normal"/>
    <w:next w:val="Normal"/>
    <w:rsid w:val="003B5873"/>
    <w:pPr>
      <w:keepLines/>
      <w:ind w:left="3402"/>
    </w:pPr>
    <w:rPr>
      <w:szCs w:val="20"/>
    </w:rPr>
  </w:style>
  <w:style w:type="paragraph" w:customStyle="1" w:styleId="Objetexterne">
    <w:name w:val="Objet externe"/>
    <w:basedOn w:val="Normal"/>
    <w:next w:val="Normal"/>
    <w:rsid w:val="003B5873"/>
    <w:pPr>
      <w:spacing w:line="240" w:lineRule="auto"/>
      <w:jc w:val="both"/>
    </w:pPr>
    <w:rPr>
      <w:i/>
      <w:caps/>
      <w:szCs w:val="20"/>
    </w:rPr>
  </w:style>
  <w:style w:type="paragraph" w:customStyle="1" w:styleId="Supertitre">
    <w:name w:val="Supertitre"/>
    <w:basedOn w:val="Normal"/>
    <w:next w:val="Normal"/>
    <w:rsid w:val="003B5873"/>
    <w:pPr>
      <w:spacing w:after="600" w:line="240" w:lineRule="auto"/>
      <w:jc w:val="center"/>
    </w:pPr>
    <w:rPr>
      <w:b/>
      <w:szCs w:val="20"/>
    </w:rPr>
  </w:style>
  <w:style w:type="paragraph" w:customStyle="1" w:styleId="Languesfaisantfoi">
    <w:name w:val="Langues faisant foi"/>
    <w:basedOn w:val="Normal"/>
    <w:next w:val="Normal"/>
    <w:rsid w:val="003B5873"/>
    <w:pPr>
      <w:spacing w:before="360" w:after="0" w:line="240" w:lineRule="auto"/>
      <w:jc w:val="center"/>
    </w:pPr>
    <w:rPr>
      <w:szCs w:val="20"/>
    </w:rPr>
  </w:style>
  <w:style w:type="paragraph" w:customStyle="1" w:styleId="Rfrencecroise">
    <w:name w:val="Référence croisée"/>
    <w:basedOn w:val="Normal"/>
    <w:rsid w:val="003B5873"/>
    <w:pPr>
      <w:spacing w:after="0" w:line="240" w:lineRule="auto"/>
      <w:jc w:val="center"/>
    </w:pPr>
    <w:rPr>
      <w:szCs w:val="20"/>
    </w:rPr>
  </w:style>
  <w:style w:type="paragraph" w:customStyle="1" w:styleId="Fichefinanciretitre">
    <w:name w:val="Fiche financière titre"/>
    <w:basedOn w:val="Normal"/>
    <w:next w:val="Normal"/>
    <w:rsid w:val="003B5873"/>
    <w:pPr>
      <w:spacing w:line="240" w:lineRule="auto"/>
      <w:jc w:val="center"/>
    </w:pPr>
    <w:rPr>
      <w:b/>
      <w:szCs w:val="20"/>
      <w:u w:val="single"/>
    </w:rPr>
  </w:style>
  <w:style w:type="paragraph" w:customStyle="1" w:styleId="DatedadoptionPagedecouverture">
    <w:name w:val="Date d'adoption (Page de couverture)"/>
    <w:basedOn w:val="Datedadoption"/>
    <w:next w:val="TitreobjetPagedecouverture"/>
    <w:rsid w:val="00220ABB"/>
  </w:style>
  <w:style w:type="paragraph" w:customStyle="1" w:styleId="RfrenceinterinstitutionnellePagedecouverture">
    <w:name w:val="Référence interinstitutionnelle (Page de couverture)"/>
    <w:basedOn w:val="Rfrenceinterinstitutionnelle"/>
    <w:next w:val="Confidentialit"/>
    <w:rsid w:val="00220ABB"/>
  </w:style>
  <w:style w:type="paragraph" w:customStyle="1" w:styleId="StatutPagedecouverture">
    <w:name w:val="Statut (Page de couverture)"/>
    <w:basedOn w:val="Statut"/>
    <w:next w:val="TypedudocumentPagedecouverture"/>
    <w:rsid w:val="00220ABB"/>
  </w:style>
  <w:style w:type="paragraph" w:customStyle="1" w:styleId="TitreobjetPagedecouverture">
    <w:name w:val="Titre objet (Page de couverture)"/>
    <w:basedOn w:val="Titreobjet"/>
    <w:next w:val="IntrtEEEPagedecouverture"/>
    <w:rsid w:val="00220ABB"/>
  </w:style>
  <w:style w:type="paragraph" w:customStyle="1" w:styleId="TypedudocumentPagedecouverture">
    <w:name w:val="Type du document (Page de couverture)"/>
    <w:basedOn w:val="Typedudocument"/>
    <w:next w:val="TitreobjetPagedecouverture"/>
    <w:rsid w:val="00220ABB"/>
  </w:style>
  <w:style w:type="paragraph" w:customStyle="1" w:styleId="Volume">
    <w:name w:val="Volume"/>
    <w:basedOn w:val="Normal"/>
    <w:next w:val="Confidentialit"/>
    <w:rsid w:val="003B5873"/>
    <w:pPr>
      <w:spacing w:after="240" w:line="240" w:lineRule="auto"/>
      <w:ind w:left="5103"/>
    </w:pPr>
    <w:rPr>
      <w:szCs w:val="20"/>
    </w:rPr>
  </w:style>
  <w:style w:type="paragraph" w:customStyle="1" w:styleId="IntrtEEE">
    <w:name w:val="Intérêt EEE"/>
    <w:basedOn w:val="Languesfaisantfoi"/>
    <w:next w:val="Normal"/>
    <w:rsid w:val="00220ABB"/>
    <w:pPr>
      <w:spacing w:after="240"/>
    </w:pPr>
  </w:style>
  <w:style w:type="paragraph" w:customStyle="1" w:styleId="Accompagnant">
    <w:name w:val="Accompagnant"/>
    <w:basedOn w:val="Normal"/>
    <w:next w:val="Typeacteprincipal"/>
    <w:rsid w:val="003B5873"/>
    <w:pPr>
      <w:spacing w:after="240" w:line="240" w:lineRule="auto"/>
      <w:jc w:val="center"/>
    </w:pPr>
    <w:rPr>
      <w:b/>
      <w:i/>
      <w:szCs w:val="20"/>
    </w:rPr>
  </w:style>
  <w:style w:type="paragraph" w:customStyle="1" w:styleId="Typeacteprincipal">
    <w:name w:val="Type acte principal"/>
    <w:basedOn w:val="Normal"/>
    <w:next w:val="Objetacteprincipal"/>
    <w:rsid w:val="003B5873"/>
    <w:pPr>
      <w:spacing w:after="240" w:line="240" w:lineRule="auto"/>
      <w:jc w:val="center"/>
    </w:pPr>
    <w:rPr>
      <w:b/>
      <w:szCs w:val="20"/>
    </w:rPr>
  </w:style>
  <w:style w:type="paragraph" w:customStyle="1" w:styleId="Objetacteprincipal">
    <w:name w:val="Objet acte principal"/>
    <w:basedOn w:val="Normal"/>
    <w:next w:val="Titrearticle"/>
    <w:rsid w:val="003B5873"/>
    <w:pPr>
      <w:spacing w:after="360" w:line="240" w:lineRule="auto"/>
      <w:jc w:val="center"/>
    </w:pPr>
    <w:rPr>
      <w:b/>
      <w:szCs w:val="20"/>
    </w:rPr>
  </w:style>
  <w:style w:type="paragraph" w:customStyle="1" w:styleId="IntrtEEEPagedecouverture">
    <w:name w:val="Intérêt EEE (Page de couverture)"/>
    <w:basedOn w:val="IntrtEEE"/>
    <w:next w:val="Rfrencecroise"/>
    <w:rsid w:val="00220ABB"/>
  </w:style>
  <w:style w:type="paragraph" w:customStyle="1" w:styleId="AccompagnantPagedecouverture">
    <w:name w:val="Accompagnant (Page de couverture)"/>
    <w:basedOn w:val="Accompagnant"/>
    <w:next w:val="TypeacteprincipalPagedecouverture"/>
    <w:rsid w:val="00220ABB"/>
  </w:style>
  <w:style w:type="paragraph" w:customStyle="1" w:styleId="TypeacteprincipalPagedecouverture">
    <w:name w:val="Type acte principal (Page de couverture)"/>
    <w:basedOn w:val="Typeacteprincipal"/>
    <w:next w:val="ObjetacteprincipalPagedecouverture"/>
    <w:rsid w:val="00220ABB"/>
  </w:style>
  <w:style w:type="paragraph" w:customStyle="1" w:styleId="ObjetacteprincipalPagedecouverture">
    <w:name w:val="Objet acte principal (Page de couverture)"/>
    <w:basedOn w:val="Objetacteprincipal"/>
    <w:next w:val="Rfrencecroise"/>
    <w:rsid w:val="00220ABB"/>
  </w:style>
  <w:style w:type="paragraph" w:customStyle="1" w:styleId="LanguesfaisantfoiPagedecouverture">
    <w:name w:val="Langues faisant foi (Page de couverture)"/>
    <w:basedOn w:val="Normal"/>
    <w:next w:val="Normal"/>
    <w:rsid w:val="003B5873"/>
    <w:pPr>
      <w:spacing w:before="360" w:after="0" w:line="240" w:lineRule="auto"/>
      <w:jc w:val="center"/>
    </w:pPr>
    <w:rPr>
      <w:szCs w:val="20"/>
    </w:rPr>
  </w:style>
  <w:style w:type="paragraph" w:styleId="ListBullet">
    <w:name w:val="List Bullet"/>
    <w:basedOn w:val="Normal"/>
    <w:rsid w:val="003B5873"/>
    <w:pPr>
      <w:numPr>
        <w:numId w:val="41"/>
      </w:numPr>
      <w:spacing w:line="240" w:lineRule="auto"/>
      <w:jc w:val="both"/>
    </w:pPr>
    <w:rPr>
      <w:rFonts w:eastAsia="Times New Roman"/>
      <w:szCs w:val="20"/>
    </w:rPr>
  </w:style>
  <w:style w:type="paragraph" w:customStyle="1" w:styleId="Default">
    <w:name w:val="Default"/>
    <w:rsid w:val="003B5873"/>
    <w:pPr>
      <w:autoSpaceDE w:val="0"/>
      <w:autoSpaceDN w:val="0"/>
      <w:adjustRightInd w:val="0"/>
      <w:spacing w:after="0" w:line="240" w:lineRule="auto"/>
    </w:pPr>
    <w:rPr>
      <w:rFonts w:ascii="Times New Roman" w:hAnsi="Times New Roman" w:cs="Times New Roman"/>
      <w:color w:val="000000"/>
      <w:sz w:val="24"/>
      <w:szCs w:val="20"/>
    </w:rPr>
  </w:style>
  <w:style w:type="paragraph" w:styleId="ListBullet2">
    <w:name w:val="List Bullet 2"/>
    <w:basedOn w:val="Normal"/>
    <w:uiPriority w:val="99"/>
    <w:semiHidden/>
    <w:unhideWhenUsed/>
    <w:rsid w:val="003B5873"/>
    <w:pPr>
      <w:numPr>
        <w:numId w:val="42"/>
      </w:numPr>
      <w:spacing w:line="240" w:lineRule="auto"/>
      <w:ind w:left="720"/>
      <w:contextualSpacing/>
      <w:jc w:val="both"/>
    </w:pPr>
    <w:rPr>
      <w:szCs w:val="20"/>
    </w:rPr>
  </w:style>
  <w:style w:type="paragraph" w:styleId="ListBullet3">
    <w:name w:val="List Bullet 3"/>
    <w:basedOn w:val="Normal"/>
    <w:uiPriority w:val="99"/>
    <w:semiHidden/>
    <w:unhideWhenUsed/>
    <w:rsid w:val="003B5873"/>
    <w:pPr>
      <w:numPr>
        <w:numId w:val="43"/>
      </w:numPr>
      <w:tabs>
        <w:tab w:val="num" w:pos="850"/>
      </w:tabs>
      <w:spacing w:line="240" w:lineRule="auto"/>
      <w:ind w:left="850" w:hanging="850"/>
      <w:contextualSpacing/>
      <w:jc w:val="both"/>
    </w:pPr>
    <w:rPr>
      <w:szCs w:val="20"/>
    </w:rPr>
  </w:style>
  <w:style w:type="paragraph" w:styleId="ListBullet4">
    <w:name w:val="List Bullet 4"/>
    <w:basedOn w:val="Normal"/>
    <w:uiPriority w:val="99"/>
    <w:semiHidden/>
    <w:unhideWhenUsed/>
    <w:rsid w:val="003B5873"/>
    <w:pPr>
      <w:numPr>
        <w:numId w:val="44"/>
      </w:numPr>
      <w:spacing w:line="240" w:lineRule="auto"/>
      <w:ind w:left="1440" w:hanging="720"/>
      <w:contextualSpacing/>
      <w:jc w:val="both"/>
    </w:pPr>
    <w:rPr>
      <w:szCs w:val="20"/>
    </w:rPr>
  </w:style>
  <w:style w:type="table" w:customStyle="1" w:styleId="TableGrid1">
    <w:name w:val="Table Grid1"/>
    <w:basedOn w:val="TableNormal"/>
    <w:next w:val="TableGrid"/>
    <w:uiPriority w:val="59"/>
    <w:rsid w:val="00220ABB"/>
    <w:pPr>
      <w:spacing w:after="0" w:line="240" w:lineRule="auto"/>
    </w:pPr>
    <w:rPr>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i-provider">
    <w:name w:val="ui-provider"/>
    <w:basedOn w:val="DefaultParagraphFont"/>
    <w:rsid w:val="00220ABB"/>
  </w:style>
  <w:style w:type="character" w:customStyle="1" w:styleId="UnresolvedMention1">
    <w:name w:val="Unresolved Mention1"/>
    <w:basedOn w:val="DefaultParagraphFont"/>
    <w:uiPriority w:val="99"/>
    <w:semiHidden/>
    <w:unhideWhenUsed/>
    <w:rsid w:val="00220ABB"/>
    <w:rPr>
      <w:color w:val="605E5C"/>
      <w:shd w:val="clear" w:color="auto" w:fill="E1DFDD"/>
    </w:rPr>
  </w:style>
  <w:style w:type="character" w:customStyle="1" w:styleId="scxw232726115">
    <w:name w:val="scxw232726115"/>
    <w:basedOn w:val="DefaultParagraphFont"/>
    <w:rsid w:val="00220ABB"/>
  </w:style>
  <w:style w:type="character" w:customStyle="1" w:styleId="Heading4Char1">
    <w:name w:val="Heading 4 Char1"/>
    <w:basedOn w:val="DefaultParagraphFont"/>
    <w:uiPriority w:val="9"/>
    <w:semiHidden/>
    <w:rsid w:val="00220ABB"/>
    <w:rPr>
      <w:rFonts w:asciiTheme="majorHAnsi" w:eastAsiaTheme="majorEastAsia" w:hAnsiTheme="majorHAnsi" w:cstheme="majorBidi"/>
      <w:i/>
      <w:color w:val="2F5496" w:themeColor="accent1" w:themeShade="BF"/>
    </w:rPr>
  </w:style>
  <w:style w:type="character" w:customStyle="1" w:styleId="Heading5Char1">
    <w:name w:val="Heading 5 Char1"/>
    <w:basedOn w:val="DefaultParagraphFont"/>
    <w:uiPriority w:val="9"/>
    <w:semiHidden/>
    <w:rsid w:val="00220ABB"/>
    <w:rPr>
      <w:rFonts w:asciiTheme="majorHAnsi" w:eastAsiaTheme="majorEastAsia" w:hAnsiTheme="majorHAnsi" w:cstheme="majorBidi"/>
      <w:color w:val="2F5496" w:themeColor="accent1" w:themeShade="BF"/>
    </w:rPr>
  </w:style>
  <w:style w:type="character" w:customStyle="1" w:styleId="Heading6Char1">
    <w:name w:val="Heading 6 Char1"/>
    <w:basedOn w:val="DefaultParagraphFont"/>
    <w:uiPriority w:val="9"/>
    <w:semiHidden/>
    <w:rsid w:val="00220ABB"/>
    <w:rPr>
      <w:rFonts w:asciiTheme="majorHAnsi" w:eastAsiaTheme="majorEastAsia" w:hAnsiTheme="majorHAnsi" w:cstheme="majorBidi"/>
      <w:color w:val="1F3763" w:themeColor="accent1" w:themeShade="7F"/>
    </w:rPr>
  </w:style>
  <w:style w:type="character" w:customStyle="1" w:styleId="Heading7Char1">
    <w:name w:val="Heading 7 Char1"/>
    <w:basedOn w:val="DefaultParagraphFont"/>
    <w:uiPriority w:val="9"/>
    <w:semiHidden/>
    <w:rsid w:val="00220ABB"/>
    <w:rPr>
      <w:rFonts w:asciiTheme="majorHAnsi" w:eastAsiaTheme="majorEastAsia" w:hAnsiTheme="majorHAnsi" w:cstheme="majorBidi"/>
      <w:i/>
      <w:color w:val="1F3763" w:themeColor="accent1" w:themeShade="7F"/>
    </w:rPr>
  </w:style>
  <w:style w:type="paragraph" w:customStyle="1" w:styleId="EntText">
    <w:name w:val="EntText"/>
    <w:basedOn w:val="Normal"/>
    <w:rsid w:val="003B5873"/>
    <w:rPr>
      <w:szCs w:val="20"/>
    </w:rPr>
  </w:style>
  <w:style w:type="paragraph" w:customStyle="1" w:styleId="Lignefinal">
    <w:name w:val="Ligne final"/>
    <w:basedOn w:val="Normal"/>
    <w:next w:val="Normal"/>
    <w:rsid w:val="003B5873"/>
    <w:pPr>
      <w:pBdr>
        <w:bottom w:val="single" w:sz="4" w:space="0" w:color="000000"/>
      </w:pBdr>
      <w:spacing w:before="360"/>
      <w:ind w:left="3400" w:right="3400"/>
      <w:jc w:val="center"/>
    </w:pPr>
    <w:rPr>
      <w:b/>
      <w:szCs w:val="20"/>
    </w:rPr>
  </w:style>
  <w:style w:type="paragraph" w:customStyle="1" w:styleId="pj">
    <w:name w:val="p.j."/>
    <w:basedOn w:val="Normal"/>
    <w:link w:val="pjChar"/>
    <w:rsid w:val="003B5873"/>
    <w:pPr>
      <w:spacing w:before="1200" w:line="240" w:lineRule="auto"/>
      <w:ind w:left="1440" w:hanging="1440"/>
    </w:pPr>
    <w:rPr>
      <w:szCs w:val="20"/>
    </w:rPr>
  </w:style>
  <w:style w:type="character" w:customStyle="1" w:styleId="pjChar">
    <w:name w:val="p.j. Char"/>
    <w:basedOn w:val="TechnicalBlockChar"/>
    <w:link w:val="pj"/>
    <w:rsid w:val="00220ABB"/>
    <w:rPr>
      <w:szCs w:val="20"/>
    </w:rPr>
  </w:style>
  <w:style w:type="paragraph" w:customStyle="1" w:styleId="nbbordered">
    <w:name w:val="nb bordered"/>
    <w:basedOn w:val="Normal"/>
    <w:link w:val="nbborderedChar"/>
    <w:rsid w:val="003B5873"/>
    <w:pPr>
      <w:pBdr>
        <w:top w:val="single" w:sz="4" w:space="1" w:color="auto"/>
        <w:left w:val="single" w:sz="4" w:space="4" w:color="auto"/>
        <w:bottom w:val="single" w:sz="4" w:space="1" w:color="auto"/>
        <w:right w:val="single" w:sz="4" w:space="4" w:color="auto"/>
        <w:between w:val="single" w:sz="4" w:space="0" w:color="auto"/>
      </w:pBdr>
      <w:spacing w:line="240" w:lineRule="auto"/>
      <w:ind w:left="480" w:hanging="480"/>
    </w:pPr>
    <w:rPr>
      <w:b/>
      <w:szCs w:val="20"/>
    </w:rPr>
  </w:style>
  <w:style w:type="character" w:customStyle="1" w:styleId="nbborderedChar">
    <w:name w:val="nb bordered Char"/>
    <w:basedOn w:val="TechnicalBlockChar"/>
    <w:link w:val="nbbordered"/>
    <w:rsid w:val="00220ABB"/>
    <w:rPr>
      <w:b/>
      <w:szCs w:val="20"/>
    </w:rPr>
  </w:style>
  <w:style w:type="character" w:customStyle="1" w:styleId="HeaderCouncilChar">
    <w:name w:val="Header Council Char"/>
    <w:basedOn w:val="DefaultParagraphFont"/>
    <w:link w:val="HeaderCouncil"/>
    <w:rsid w:val="00220ABB"/>
    <w:rPr>
      <w:sz w:val="2"/>
    </w:rPr>
  </w:style>
  <w:style w:type="character" w:customStyle="1" w:styleId="FooterCouncilChar">
    <w:name w:val="Footer Council Char"/>
    <w:basedOn w:val="DefaultParagraphFont"/>
    <w:link w:val="FooterCouncil"/>
    <w:rsid w:val="00220ABB"/>
    <w:rPr>
      <w:sz w:val="2"/>
    </w:rPr>
  </w:style>
  <w:style w:type="character" w:customStyle="1" w:styleId="cf01">
    <w:name w:val="cf01"/>
    <w:basedOn w:val="DefaultParagraphFont"/>
    <w:rsid w:val="00220ABB"/>
    <w:rPr>
      <w:rFonts w:ascii="Segoe UI" w:hAnsi="Segoe UI" w:cs="Segoe UI" w:hint="default"/>
      <w:sz w:val="18"/>
      <w:shd w:val="clear" w:color="auto" w:fill="00FF00"/>
    </w:rPr>
  </w:style>
  <w:style w:type="paragraph" w:customStyle="1" w:styleId="P68B1DB1-Normal1">
    <w:name w:val="P68B1DB1-Normal1"/>
    <w:basedOn w:val="Normal"/>
    <w:rsid w:val="00220ABB"/>
    <w:rPr>
      <w:b/>
      <w:szCs w:val="20"/>
    </w:rPr>
  </w:style>
  <w:style w:type="paragraph" w:customStyle="1" w:styleId="P68B1DB1-ListParagraph2">
    <w:name w:val="P68B1DB1-ListParagraph2"/>
    <w:basedOn w:val="ListParagraph"/>
    <w:rsid w:val="00220ABB"/>
    <w:rPr>
      <w:b/>
    </w:rPr>
  </w:style>
  <w:style w:type="paragraph" w:customStyle="1" w:styleId="P68B1DB1-Normal3">
    <w:name w:val="P68B1DB1-Normal3"/>
    <w:basedOn w:val="Normal"/>
    <w:rsid w:val="00220ABB"/>
    <w:rPr>
      <w:color w:val="000000"/>
      <w:szCs w:val="20"/>
      <w:shd w:val="clear" w:color="auto" w:fill="FFFFFF"/>
    </w:rPr>
  </w:style>
  <w:style w:type="paragraph" w:customStyle="1" w:styleId="P68B1DB1-Normal4">
    <w:name w:val="P68B1DB1-Normal4"/>
    <w:basedOn w:val="Normal"/>
    <w:rsid w:val="00220ABB"/>
    <w:rPr>
      <w:b/>
      <w:color w:val="000000" w:themeColor="text1"/>
      <w:szCs w:val="20"/>
    </w:rPr>
  </w:style>
  <w:style w:type="paragraph" w:customStyle="1" w:styleId="P68B1DB1-Normal5">
    <w:name w:val="P68B1DB1-Normal5"/>
    <w:basedOn w:val="Normal"/>
    <w:rsid w:val="00220ABB"/>
    <w:rPr>
      <w:color w:val="000000"/>
      <w:szCs w:val="20"/>
    </w:rPr>
  </w:style>
  <w:style w:type="paragraph" w:customStyle="1" w:styleId="P68B1DB1-ListParagraph6">
    <w:name w:val="P68B1DB1-ListParagraph6"/>
    <w:basedOn w:val="ListParagraph"/>
    <w:rsid w:val="00220ABB"/>
    <w:rPr>
      <w:color w:val="000000" w:themeColor="text1"/>
    </w:rPr>
  </w:style>
  <w:style w:type="paragraph" w:customStyle="1" w:styleId="P68B1DB1-Normal7">
    <w:name w:val="P68B1DB1-Normal7"/>
    <w:basedOn w:val="Normal"/>
    <w:rsid w:val="00220ABB"/>
    <w:rPr>
      <w:b/>
      <w:sz w:val="18"/>
      <w:szCs w:val="20"/>
    </w:rPr>
  </w:style>
  <w:style w:type="paragraph" w:customStyle="1" w:styleId="P68B1DB1-Normal8">
    <w:name w:val="P68B1DB1-Normal8"/>
    <w:basedOn w:val="Normal"/>
    <w:rsid w:val="00220ABB"/>
    <w:rPr>
      <w:sz w:val="18"/>
      <w:szCs w:val="20"/>
    </w:rPr>
  </w:style>
  <w:style w:type="paragraph" w:customStyle="1" w:styleId="P68B1DB1-ListParagraph9">
    <w:name w:val="P68B1DB1-ListParagraph9"/>
    <w:basedOn w:val="ListParagraph"/>
    <w:rsid w:val="00220ABB"/>
    <w:rPr>
      <w:sz w:val="18"/>
    </w:rPr>
  </w:style>
  <w:style w:type="paragraph" w:customStyle="1" w:styleId="P68B1DB1-Normal10">
    <w:name w:val="P68B1DB1-Normal10"/>
    <w:basedOn w:val="Normal"/>
    <w:rsid w:val="00220ABB"/>
    <w:rPr>
      <w:rFonts w:ascii="Calibri" w:hAnsi="Calibri"/>
      <w:sz w:val="18"/>
      <w:szCs w:val="20"/>
    </w:rPr>
  </w:style>
  <w:style w:type="paragraph" w:customStyle="1" w:styleId="P68B1DB1-CommentText11">
    <w:name w:val="P68B1DB1-CommentText11"/>
    <w:basedOn w:val="CommentText"/>
    <w:rsid w:val="00220ABB"/>
    <w:rPr>
      <w:sz w:val="18"/>
    </w:rPr>
  </w:style>
  <w:style w:type="paragraph" w:customStyle="1" w:styleId="P68B1DB1-CommentText12">
    <w:name w:val="P68B1DB1-CommentText12"/>
    <w:basedOn w:val="CommentText"/>
    <w:rsid w:val="00220ABB"/>
    <w:rPr>
      <w:sz w:val="18"/>
    </w:rPr>
  </w:style>
  <w:style w:type="paragraph" w:customStyle="1" w:styleId="P68B1DB1-Normal13">
    <w:name w:val="P68B1DB1-Normal13"/>
    <w:basedOn w:val="Normal"/>
    <w:rsid w:val="00220ABB"/>
    <w:rPr>
      <w:sz w:val="18"/>
      <w:szCs w:val="20"/>
      <w:u w:val="single"/>
    </w:rPr>
  </w:style>
  <w:style w:type="paragraph" w:customStyle="1" w:styleId="P68B1DB1-Normal14">
    <w:name w:val="P68B1DB1-Normal14"/>
    <w:basedOn w:val="Normal"/>
    <w:rsid w:val="00220ABB"/>
    <w:rPr>
      <w:b/>
      <w:color w:val="000000"/>
      <w:szCs w:val="20"/>
      <w:shd w:val="clear" w:color="auto" w:fill="FFFFFF"/>
    </w:rPr>
  </w:style>
  <w:style w:type="paragraph" w:customStyle="1" w:styleId="P68B1DB1-Normal15">
    <w:name w:val="P68B1DB1-Normal15"/>
    <w:basedOn w:val="Normal"/>
    <w:rsid w:val="00220ABB"/>
    <w:rPr>
      <w:sz w:val="18"/>
      <w:szCs w:val="20"/>
      <w:shd w:val="clear" w:color="auto" w:fill="E6E6E6"/>
    </w:rPr>
  </w:style>
  <w:style w:type="paragraph" w:customStyle="1" w:styleId="P68B1DB1-Normal16">
    <w:name w:val="P68B1DB1-Normal16"/>
    <w:basedOn w:val="Normal"/>
    <w:rsid w:val="00220ABB"/>
    <w:rPr>
      <w:b/>
      <w:szCs w:val="20"/>
      <w:u w:val="single"/>
    </w:rPr>
  </w:style>
  <w:style w:type="paragraph" w:customStyle="1" w:styleId="P68B1DB1-Heading217">
    <w:name w:val="P68B1DB1-Heading217"/>
    <w:basedOn w:val="Heading2"/>
    <w:rsid w:val="00220ABB"/>
    <w:rPr>
      <w:caps/>
    </w:rPr>
  </w:style>
  <w:style w:type="paragraph" w:customStyle="1" w:styleId="P68B1DB1-Text118">
    <w:name w:val="P68B1DB1-Text118"/>
    <w:basedOn w:val="Text1"/>
    <w:rsid w:val="00220ABB"/>
    <w:rPr>
      <w:b/>
    </w:rPr>
  </w:style>
  <w:style w:type="paragraph" w:customStyle="1" w:styleId="P68B1DB1-paragraph19">
    <w:name w:val="P68B1DB1-paragraph19"/>
    <w:basedOn w:val="paragraph"/>
    <w:rsid w:val="00220ABB"/>
    <w:rPr>
      <w:sz w:val="18"/>
    </w:rPr>
  </w:style>
  <w:style w:type="paragraph" w:customStyle="1" w:styleId="P68B1DB1-ListParagraph20">
    <w:name w:val="P68B1DB1-ListParagraph20"/>
    <w:basedOn w:val="ListParagraph"/>
    <w:rsid w:val="00220ABB"/>
    <w:rPr>
      <w:sz w:val="18"/>
    </w:rPr>
  </w:style>
  <w:style w:type="paragraph" w:customStyle="1" w:styleId="P68B1DB1-Normal21">
    <w:name w:val="P68B1DB1-Normal21"/>
    <w:basedOn w:val="Normal"/>
    <w:rsid w:val="00220ABB"/>
    <w:rPr>
      <w:rFonts w:cstheme="minorHAnsi"/>
      <w:b/>
      <w:sz w:val="18"/>
      <w:szCs w:val="20"/>
    </w:rPr>
  </w:style>
  <w:style w:type="paragraph" w:customStyle="1" w:styleId="P68B1DB1-Normal22">
    <w:name w:val="P68B1DB1-Normal22"/>
    <w:basedOn w:val="Normal"/>
    <w:rsid w:val="00220ABB"/>
    <w:rPr>
      <w:rFonts w:cstheme="minorHAnsi"/>
      <w:sz w:val="18"/>
      <w:szCs w:val="20"/>
    </w:rPr>
  </w:style>
  <w:style w:type="paragraph" w:customStyle="1" w:styleId="P68B1DB1-Normal23">
    <w:name w:val="P68B1DB1-Normal23"/>
    <w:basedOn w:val="Normal"/>
    <w:rsid w:val="00220ABB"/>
    <w:rPr>
      <w:rFonts w:eastAsia="Calibri" w:cstheme="minorHAnsi"/>
      <w:sz w:val="18"/>
      <w:szCs w:val="20"/>
    </w:rPr>
  </w:style>
  <w:style w:type="paragraph" w:customStyle="1" w:styleId="P68B1DB1-Normal24">
    <w:name w:val="P68B1DB1-Normal24"/>
    <w:basedOn w:val="Normal"/>
    <w:rsid w:val="00220ABB"/>
    <w:rPr>
      <w:rFonts w:asciiTheme="majorBidi" w:hAnsiTheme="majorBidi" w:cstheme="majorBidi"/>
      <w:sz w:val="18"/>
      <w:szCs w:val="20"/>
    </w:rPr>
  </w:style>
  <w:style w:type="paragraph" w:customStyle="1" w:styleId="P68B1DB1-Normal25">
    <w:name w:val="P68B1DB1-Normal25"/>
    <w:basedOn w:val="Normal"/>
    <w:rsid w:val="00220ABB"/>
    <w:rPr>
      <w:szCs w:val="20"/>
    </w:rPr>
  </w:style>
  <w:style w:type="paragraph" w:customStyle="1" w:styleId="P68B1DB1-ListParagraph26">
    <w:name w:val="P68B1DB1-ListParagraph26"/>
    <w:basedOn w:val="ListParagraph"/>
    <w:rsid w:val="00220ABB"/>
  </w:style>
  <w:style w:type="paragraph" w:customStyle="1" w:styleId="P68B1DB1-ListParagraph27">
    <w:name w:val="P68B1DB1-ListParagraph27"/>
    <w:basedOn w:val="ListParagraph"/>
    <w:rsid w:val="00220ABB"/>
    <w:rPr>
      <w:rFonts w:eastAsia="Calibri" w:cs="Times New Roman"/>
    </w:rPr>
  </w:style>
  <w:style w:type="paragraph" w:customStyle="1" w:styleId="P68B1DB1-Normal28">
    <w:name w:val="P68B1DB1-Normal28"/>
    <w:basedOn w:val="Normal"/>
    <w:rsid w:val="00220ABB"/>
    <w:rPr>
      <w:rFonts w:eastAsia="Times New Roman"/>
      <w:b/>
      <w:szCs w:val="20"/>
    </w:rPr>
  </w:style>
  <w:style w:type="paragraph" w:customStyle="1" w:styleId="P68B1DB1-Normal29">
    <w:name w:val="P68B1DB1-Normal29"/>
    <w:basedOn w:val="Normal"/>
    <w:rsid w:val="00220ABB"/>
    <w:rPr>
      <w:rFonts w:eastAsia="Times New Roman"/>
      <w:szCs w:val="20"/>
    </w:rPr>
  </w:style>
  <w:style w:type="paragraph" w:customStyle="1" w:styleId="P68B1DB1-Normal30">
    <w:name w:val="P68B1DB1-Normal30"/>
    <w:basedOn w:val="Normal"/>
    <w:rsid w:val="00220ABB"/>
    <w:rPr>
      <w:rFonts w:eastAsia="Calibri"/>
      <w:szCs w:val="20"/>
    </w:rPr>
  </w:style>
  <w:style w:type="paragraph" w:customStyle="1" w:styleId="P68B1DB1-Normal31">
    <w:name w:val="P68B1DB1-Normal31"/>
    <w:basedOn w:val="Normal"/>
    <w:rsid w:val="00220ABB"/>
    <w:rPr>
      <w:rFonts w:eastAsia="Times New Roman"/>
      <w:szCs w:val="20"/>
      <w:u w:val="single"/>
    </w:rPr>
  </w:style>
  <w:style w:type="paragraph" w:customStyle="1" w:styleId="P68B1DB1-NumPar132">
    <w:name w:val="P68B1DB1-NumPar132"/>
    <w:basedOn w:val="NumPar1"/>
    <w:rsid w:val="00220ABB"/>
    <w:rPr>
      <w:b/>
    </w:rPr>
  </w:style>
  <w:style w:type="paragraph" w:customStyle="1" w:styleId="P68B1DB1-FooterText33">
    <w:name w:val="P68B1DB1-FooterText33"/>
    <w:basedOn w:val="FooterText"/>
    <w:rsid w:val="00220ABB"/>
    <w:rPr>
      <w:b/>
      <w:caps/>
      <w:position w:val="-4"/>
      <w:sz w:val="36"/>
      <w:szCs w:val="20"/>
    </w:rPr>
  </w:style>
  <w:style w:type="character" w:customStyle="1" w:styleId="Heading8Char">
    <w:name w:val="Heading 8 Char"/>
    <w:basedOn w:val="DefaultParagraphFont"/>
    <w:link w:val="Heading8"/>
    <w:uiPriority w:val="9"/>
    <w:rsid w:val="00DC139C"/>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rsid w:val="00DC139C"/>
    <w:rPr>
      <w:rFonts w:asciiTheme="majorHAnsi" w:eastAsiaTheme="majorEastAsia" w:hAnsiTheme="majorHAnsi" w:cstheme="majorBidi"/>
      <w:i/>
      <w:iCs/>
      <w:color w:val="1F3864" w:themeColor="accent1" w:themeShade="80"/>
    </w:rPr>
  </w:style>
  <w:style w:type="paragraph" w:customStyle="1" w:styleId="Heading11">
    <w:name w:val="Heading 11"/>
    <w:basedOn w:val="Normal"/>
    <w:next w:val="Normal"/>
    <w:uiPriority w:val="9"/>
    <w:rsid w:val="0025423B"/>
    <w:pPr>
      <w:keepNext/>
      <w:keepLines/>
      <w:spacing w:before="240" w:after="0" w:line="276" w:lineRule="auto"/>
      <w:outlineLvl w:val="0"/>
    </w:pPr>
    <w:rPr>
      <w:rFonts w:ascii="Calibri Light" w:eastAsia="Times New Roman" w:hAnsi="Calibri Light"/>
      <w:color w:val="2F5496"/>
      <w:sz w:val="32"/>
      <w:szCs w:val="32"/>
    </w:rPr>
  </w:style>
  <w:style w:type="paragraph" w:customStyle="1" w:styleId="Heading21">
    <w:name w:val="Heading 21"/>
    <w:basedOn w:val="Normal"/>
    <w:next w:val="Normal"/>
    <w:uiPriority w:val="9"/>
    <w:unhideWhenUsed/>
    <w:rsid w:val="0025423B"/>
    <w:pPr>
      <w:keepNext/>
      <w:keepLines/>
      <w:numPr>
        <w:ilvl w:val="1"/>
        <w:numId w:val="3"/>
      </w:numPr>
      <w:spacing w:before="40" w:after="0" w:line="276" w:lineRule="auto"/>
      <w:outlineLvl w:val="1"/>
    </w:pPr>
    <w:rPr>
      <w:rFonts w:ascii="Calibri Light" w:eastAsia="Times New Roman" w:hAnsi="Calibri Light"/>
      <w:color w:val="2F5496"/>
      <w:sz w:val="26"/>
      <w:szCs w:val="26"/>
    </w:rPr>
  </w:style>
  <w:style w:type="paragraph" w:customStyle="1" w:styleId="Heading31">
    <w:name w:val="Heading 31"/>
    <w:basedOn w:val="Normal"/>
    <w:next w:val="Normal"/>
    <w:uiPriority w:val="9"/>
    <w:semiHidden/>
    <w:unhideWhenUsed/>
    <w:rsid w:val="0025423B"/>
    <w:pPr>
      <w:keepNext/>
      <w:keepLines/>
      <w:numPr>
        <w:ilvl w:val="2"/>
        <w:numId w:val="3"/>
      </w:numPr>
      <w:spacing w:before="40" w:after="0" w:line="276" w:lineRule="auto"/>
      <w:outlineLvl w:val="2"/>
    </w:pPr>
    <w:rPr>
      <w:rFonts w:ascii="Calibri Light" w:eastAsia="Times New Roman" w:hAnsi="Calibri Light"/>
      <w:color w:val="1F3763"/>
      <w:szCs w:val="24"/>
    </w:rPr>
  </w:style>
  <w:style w:type="paragraph" w:customStyle="1" w:styleId="Heading81">
    <w:name w:val="Heading 81"/>
    <w:basedOn w:val="Normal"/>
    <w:next w:val="Normal"/>
    <w:rsid w:val="0025423B"/>
    <w:pPr>
      <w:keepNext/>
      <w:keepLines/>
      <w:spacing w:before="40" w:after="0" w:line="276" w:lineRule="auto"/>
      <w:ind w:left="1440" w:hanging="432"/>
      <w:outlineLvl w:val="7"/>
    </w:pPr>
    <w:rPr>
      <w:rFonts w:asciiTheme="majorHAnsi" w:eastAsiaTheme="majorEastAsia" w:hAnsiTheme="majorHAnsi" w:cstheme="majorBidi"/>
      <w:color w:val="272727" w:themeColor="text1" w:themeTint="D8"/>
      <w:sz w:val="21"/>
      <w:szCs w:val="21"/>
    </w:rPr>
  </w:style>
  <w:style w:type="paragraph" w:customStyle="1" w:styleId="Heading91">
    <w:name w:val="Heading 91"/>
    <w:basedOn w:val="Normal"/>
    <w:next w:val="Normal"/>
    <w:rsid w:val="0025423B"/>
    <w:pPr>
      <w:keepNext/>
      <w:keepLines/>
      <w:numPr>
        <w:numId w:val="76"/>
      </w:numPr>
      <w:tabs>
        <w:tab w:val="clear" w:pos="567"/>
      </w:tabs>
      <w:spacing w:before="40" w:after="0" w:line="276" w:lineRule="auto"/>
      <w:ind w:left="1584" w:hanging="144"/>
      <w:outlineLvl w:val="8"/>
    </w:pPr>
    <w:rPr>
      <w:rFonts w:asciiTheme="majorHAnsi" w:eastAsiaTheme="majorEastAsia" w:hAnsiTheme="majorHAnsi" w:cstheme="majorBidi"/>
      <w:i/>
      <w:iCs/>
      <w:color w:val="272727" w:themeColor="text1" w:themeTint="D8"/>
      <w:sz w:val="21"/>
      <w:szCs w:val="21"/>
    </w:rPr>
  </w:style>
  <w:style w:type="paragraph" w:customStyle="1" w:styleId="TBEntInstit">
    <w:name w:val="TBEntInstit"/>
    <w:basedOn w:val="TechnicalBlockBase"/>
    <w:link w:val="EntInstitChar"/>
    <w:rsid w:val="0025423B"/>
    <w:pPr>
      <w:spacing w:before="0" w:after="0" w:line="240" w:lineRule="auto"/>
      <w:ind w:left="0" w:right="0"/>
      <w:jc w:val="right"/>
    </w:pPr>
    <w:rPr>
      <w:rFonts w:ascii="Arial" w:hAnsi="Arial"/>
      <w:i w:val="0"/>
      <w:dstrike w:val="0"/>
      <w:color w:val="auto"/>
      <w:sz w:val="23"/>
      <w:u w:val="none"/>
    </w:rPr>
  </w:style>
  <w:style w:type="paragraph" w:customStyle="1" w:styleId="TBEntRefer">
    <w:name w:val="TBEntRefer"/>
    <w:basedOn w:val="TechnicalBlockBase"/>
    <w:rsid w:val="0025423B"/>
    <w:pPr>
      <w:spacing w:before="0" w:after="0" w:line="240" w:lineRule="auto"/>
      <w:ind w:left="0" w:right="0"/>
    </w:pPr>
    <w:rPr>
      <w:rFonts w:ascii="Arial" w:hAnsi="Arial"/>
      <w:i w:val="0"/>
      <w:dstrike w:val="0"/>
      <w:color w:val="auto"/>
      <w:sz w:val="23"/>
      <w:u w:val="none"/>
    </w:rPr>
  </w:style>
  <w:style w:type="paragraph" w:customStyle="1" w:styleId="Par-number10">
    <w:name w:val="Par-number 1)"/>
    <w:basedOn w:val="Normal"/>
    <w:next w:val="Normal"/>
    <w:rsid w:val="0025423B"/>
    <w:pPr>
      <w:numPr>
        <w:numId w:val="74"/>
      </w:numPr>
      <w:spacing w:after="200" w:line="276" w:lineRule="auto"/>
    </w:pPr>
    <w:rPr>
      <w:rFonts w:ascii="Calibri" w:hAnsi="Calibri" w:cs="Arial"/>
    </w:rPr>
  </w:style>
  <w:style w:type="paragraph" w:customStyle="1" w:styleId="Par-bullet">
    <w:name w:val="Par-bullet"/>
    <w:basedOn w:val="Normal"/>
    <w:next w:val="Normal"/>
    <w:rsid w:val="0025423B"/>
    <w:pPr>
      <w:numPr>
        <w:numId w:val="75"/>
      </w:numPr>
      <w:spacing w:after="200" w:line="276" w:lineRule="auto"/>
    </w:pPr>
    <w:rPr>
      <w:rFonts w:ascii="Calibri" w:hAnsi="Calibri" w:cs="Arial"/>
    </w:rPr>
  </w:style>
  <w:style w:type="paragraph" w:customStyle="1" w:styleId="Par-equal">
    <w:name w:val="Par-equal"/>
    <w:basedOn w:val="Normal"/>
    <w:next w:val="Normal"/>
    <w:rsid w:val="0025423B"/>
    <w:pPr>
      <w:tabs>
        <w:tab w:val="num" w:pos="567"/>
      </w:tabs>
      <w:spacing w:after="200" w:line="276" w:lineRule="auto"/>
      <w:ind w:left="567" w:hanging="567"/>
    </w:pPr>
    <w:rPr>
      <w:rFonts w:ascii="Calibri" w:hAnsi="Calibri" w:cs="Arial"/>
    </w:rPr>
  </w:style>
  <w:style w:type="paragraph" w:customStyle="1" w:styleId="Par-number1">
    <w:name w:val="Par-number (1)"/>
    <w:basedOn w:val="Normal"/>
    <w:next w:val="Normal"/>
    <w:rsid w:val="0025423B"/>
    <w:pPr>
      <w:numPr>
        <w:numId w:val="77"/>
      </w:numPr>
      <w:spacing w:after="200" w:line="276" w:lineRule="auto"/>
    </w:pPr>
    <w:rPr>
      <w:rFonts w:ascii="Calibri" w:hAnsi="Calibri" w:cs="Arial"/>
    </w:rPr>
  </w:style>
  <w:style w:type="paragraph" w:customStyle="1" w:styleId="Par-number11">
    <w:name w:val="Par-number 1."/>
    <w:basedOn w:val="Normal"/>
    <w:next w:val="Normal"/>
    <w:rsid w:val="0025423B"/>
    <w:pPr>
      <w:numPr>
        <w:numId w:val="78"/>
      </w:numPr>
      <w:spacing w:after="200" w:line="276" w:lineRule="auto"/>
    </w:pPr>
    <w:rPr>
      <w:rFonts w:ascii="Calibri" w:hAnsi="Calibri" w:cs="Arial"/>
    </w:rPr>
  </w:style>
  <w:style w:type="paragraph" w:customStyle="1" w:styleId="Par-numberI">
    <w:name w:val="Par-number I."/>
    <w:basedOn w:val="Normal"/>
    <w:next w:val="Normal"/>
    <w:rsid w:val="0025423B"/>
    <w:pPr>
      <w:numPr>
        <w:numId w:val="79"/>
      </w:numPr>
      <w:spacing w:after="200" w:line="276" w:lineRule="auto"/>
    </w:pPr>
    <w:rPr>
      <w:rFonts w:ascii="Calibri" w:hAnsi="Calibri" w:cs="Arial"/>
    </w:rPr>
  </w:style>
  <w:style w:type="paragraph" w:customStyle="1" w:styleId="Par-dash">
    <w:name w:val="Par-dash"/>
    <w:basedOn w:val="Normal"/>
    <w:next w:val="Normal"/>
    <w:rsid w:val="0025423B"/>
    <w:pPr>
      <w:numPr>
        <w:numId w:val="80"/>
      </w:numPr>
      <w:spacing w:after="200" w:line="276" w:lineRule="auto"/>
    </w:pPr>
    <w:rPr>
      <w:rFonts w:ascii="Calibri" w:hAnsi="Calibri" w:cs="Arial"/>
    </w:rPr>
  </w:style>
  <w:style w:type="paragraph" w:customStyle="1" w:styleId="Par-numberA">
    <w:name w:val="Par-number A."/>
    <w:basedOn w:val="Normal"/>
    <w:next w:val="Normal"/>
    <w:rsid w:val="0025423B"/>
    <w:pPr>
      <w:numPr>
        <w:numId w:val="81"/>
      </w:numPr>
      <w:spacing w:after="200" w:line="276" w:lineRule="auto"/>
    </w:pPr>
    <w:rPr>
      <w:rFonts w:ascii="Calibri" w:hAnsi="Calibri" w:cs="Arial"/>
    </w:rPr>
  </w:style>
  <w:style w:type="paragraph" w:customStyle="1" w:styleId="EndnoteText1">
    <w:name w:val="Endnote Text1"/>
    <w:basedOn w:val="Normal"/>
    <w:next w:val="EndnoteText"/>
    <w:link w:val="EndnoteTextChar"/>
    <w:rsid w:val="0025423B"/>
    <w:pPr>
      <w:tabs>
        <w:tab w:val="left" w:pos="567"/>
      </w:tabs>
      <w:spacing w:after="200" w:line="240" w:lineRule="auto"/>
      <w:ind w:left="567" w:hanging="567"/>
    </w:pPr>
  </w:style>
  <w:style w:type="character" w:customStyle="1" w:styleId="EndnoteTextChar">
    <w:name w:val="Endnote Text Char"/>
    <w:basedOn w:val="DefaultParagraphFont"/>
    <w:link w:val="EndnoteText1"/>
    <w:rsid w:val="0025423B"/>
  </w:style>
  <w:style w:type="character" w:styleId="EndnoteReference">
    <w:name w:val="endnote reference"/>
    <w:rsid w:val="0025423B"/>
    <w:rPr>
      <w:b/>
      <w:vertAlign w:val="superscript"/>
    </w:rPr>
  </w:style>
  <w:style w:type="paragraph" w:customStyle="1" w:styleId="AC">
    <w:name w:val="AC"/>
    <w:basedOn w:val="Normal"/>
    <w:next w:val="Normal"/>
    <w:rsid w:val="0025423B"/>
    <w:pPr>
      <w:spacing w:after="200" w:line="276" w:lineRule="auto"/>
    </w:pPr>
    <w:rPr>
      <w:rFonts w:ascii="Calibri" w:hAnsi="Calibri" w:cs="Arial"/>
      <w:b/>
      <w:sz w:val="40"/>
    </w:rPr>
  </w:style>
  <w:style w:type="character" w:styleId="PageNumber">
    <w:name w:val="page number"/>
    <w:basedOn w:val="DefaultParagraphFont"/>
    <w:rsid w:val="0025423B"/>
  </w:style>
  <w:style w:type="paragraph" w:customStyle="1" w:styleId="Par-numberi0">
    <w:name w:val="Par-number (i)"/>
    <w:basedOn w:val="Normal"/>
    <w:next w:val="Normal"/>
    <w:rsid w:val="0025423B"/>
    <w:pPr>
      <w:numPr>
        <w:numId w:val="82"/>
      </w:numPr>
      <w:tabs>
        <w:tab w:val="clear" w:pos="720"/>
        <w:tab w:val="left" w:pos="567"/>
      </w:tabs>
      <w:spacing w:after="200" w:line="276" w:lineRule="auto"/>
    </w:pPr>
    <w:rPr>
      <w:rFonts w:ascii="Calibri" w:hAnsi="Calibri" w:cs="Arial"/>
    </w:rPr>
  </w:style>
  <w:style w:type="paragraph" w:customStyle="1" w:styleId="Par-numbera0">
    <w:name w:val="Par-number (a)"/>
    <w:basedOn w:val="Normal"/>
    <w:next w:val="Normal"/>
    <w:rsid w:val="0025423B"/>
    <w:pPr>
      <w:numPr>
        <w:numId w:val="83"/>
      </w:numPr>
      <w:spacing w:after="200" w:line="276" w:lineRule="auto"/>
    </w:pPr>
    <w:rPr>
      <w:rFonts w:ascii="Calibri" w:hAnsi="Calibri" w:cs="Arial"/>
    </w:rPr>
  </w:style>
  <w:style w:type="character" w:customStyle="1" w:styleId="DontTranslate">
    <w:name w:val="DontTranslate"/>
    <w:rsid w:val="0025423B"/>
    <w:rPr>
      <w:color w:val="auto"/>
    </w:rPr>
  </w:style>
  <w:style w:type="paragraph" w:customStyle="1" w:styleId="AddReference">
    <w:name w:val="Add Reference"/>
    <w:basedOn w:val="Normal"/>
    <w:rsid w:val="0025423B"/>
    <w:pPr>
      <w:pBdr>
        <w:top w:val="single" w:sz="4" w:space="1" w:color="auto"/>
        <w:left w:val="single" w:sz="4" w:space="4" w:color="auto"/>
        <w:bottom w:val="single" w:sz="4" w:space="1" w:color="auto"/>
        <w:right w:val="single" w:sz="4" w:space="4" w:color="auto"/>
      </w:pBdr>
      <w:spacing w:after="200" w:line="240" w:lineRule="auto"/>
      <w:ind w:left="7655" w:right="-454"/>
    </w:pPr>
    <w:rPr>
      <w:rFonts w:ascii="Calibri" w:hAnsi="Calibri" w:cs="Arial"/>
      <w:i/>
      <w:sz w:val="20"/>
    </w:rPr>
  </w:style>
  <w:style w:type="paragraph" w:customStyle="1" w:styleId="TBEntReferNew">
    <w:name w:val="TBEntReferNew"/>
    <w:basedOn w:val="TechnicalBlockBase"/>
    <w:rsid w:val="0025423B"/>
    <w:pPr>
      <w:widowControl/>
      <w:spacing w:before="0" w:after="0" w:line="240" w:lineRule="auto"/>
      <w:ind w:left="0" w:right="0"/>
      <w:jc w:val="center"/>
    </w:pPr>
    <w:rPr>
      <w:rFonts w:ascii="Arial" w:hAnsi="Arial"/>
      <w:bCs/>
      <w:i w:val="0"/>
      <w:dstrike w:val="0"/>
      <w:color w:val="auto"/>
      <w:sz w:val="24"/>
      <w:szCs w:val="24"/>
      <w:u w:val="none"/>
    </w:rPr>
  </w:style>
  <w:style w:type="paragraph" w:customStyle="1" w:styleId="TBInstitution">
    <w:name w:val="TBInstitution"/>
    <w:basedOn w:val="TechnicalBlockBase"/>
    <w:rsid w:val="0025423B"/>
    <w:pPr>
      <w:spacing w:before="0" w:after="40" w:line="216" w:lineRule="auto"/>
      <w:ind w:left="0" w:right="0"/>
    </w:pPr>
    <w:rPr>
      <w:rFonts w:ascii="Arial" w:hAnsi="Arial"/>
      <w:i w:val="0"/>
      <w:dstrike w:val="0"/>
      <w:color w:val="4D4D4D"/>
      <w:sz w:val="23"/>
      <w:szCs w:val="23"/>
      <w:u w:val="none"/>
    </w:rPr>
  </w:style>
  <w:style w:type="paragraph" w:customStyle="1" w:styleId="TBNormalTechnicalBlock">
    <w:name w:val="TBNormalTechnicalBlock"/>
    <w:basedOn w:val="TechnicalBlockBase"/>
    <w:rsid w:val="0025423B"/>
    <w:pPr>
      <w:spacing w:before="0" w:after="0" w:line="216" w:lineRule="auto"/>
      <w:ind w:left="0" w:right="0"/>
    </w:pPr>
    <w:rPr>
      <w:rFonts w:ascii="Arial" w:hAnsi="Arial"/>
      <w:i w:val="0"/>
      <w:dstrike w:val="0"/>
      <w:color w:val="auto"/>
      <w:sz w:val="23"/>
      <w:szCs w:val="23"/>
      <w:u w:val="none"/>
    </w:rPr>
  </w:style>
  <w:style w:type="paragraph" w:customStyle="1" w:styleId="InstitutionNarrow">
    <w:name w:val="Institution Narrow"/>
    <w:basedOn w:val="TBInstitution"/>
    <w:rsid w:val="0025423B"/>
    <w:rPr>
      <w:sz w:val="22"/>
      <w:u w:val="single"/>
    </w:rPr>
  </w:style>
  <w:style w:type="paragraph" w:customStyle="1" w:styleId="TBInstitutionSubwordmark">
    <w:name w:val="TBInstitutionSubwordmark"/>
    <w:basedOn w:val="TechnicalBlockBase"/>
    <w:rsid w:val="0025423B"/>
    <w:pPr>
      <w:spacing w:before="120" w:after="40" w:line="216" w:lineRule="auto"/>
      <w:ind w:left="0" w:right="0"/>
    </w:pPr>
    <w:rPr>
      <w:rFonts w:ascii="Arial" w:hAnsi="Arial"/>
      <w:b w:val="0"/>
      <w:i w:val="0"/>
      <w:dstrike w:val="0"/>
      <w:color w:val="4D4D4D"/>
      <w:sz w:val="23"/>
      <w:u w:val="none"/>
    </w:rPr>
  </w:style>
  <w:style w:type="numbering" w:styleId="111111">
    <w:name w:val="Outline List 2"/>
    <w:basedOn w:val="NoList"/>
    <w:uiPriority w:val="99"/>
    <w:semiHidden/>
    <w:unhideWhenUsed/>
    <w:rsid w:val="0025423B"/>
    <w:pPr>
      <w:numPr>
        <w:numId w:val="84"/>
      </w:numPr>
    </w:pPr>
  </w:style>
  <w:style w:type="numbering" w:styleId="1ai">
    <w:name w:val="Outline List 1"/>
    <w:basedOn w:val="NoList"/>
    <w:uiPriority w:val="99"/>
    <w:semiHidden/>
    <w:unhideWhenUsed/>
    <w:rsid w:val="0025423B"/>
    <w:pPr>
      <w:numPr>
        <w:numId w:val="85"/>
      </w:numPr>
    </w:pPr>
  </w:style>
  <w:style w:type="character" w:customStyle="1" w:styleId="Heading1Char1">
    <w:name w:val="Heading 1 Char1"/>
    <w:basedOn w:val="DefaultParagraphFont"/>
    <w:uiPriority w:val="9"/>
    <w:rsid w:val="0025423B"/>
    <w:rPr>
      <w:rFonts w:asciiTheme="majorHAnsi" w:eastAsiaTheme="majorEastAsia" w:hAnsiTheme="majorHAnsi" w:cstheme="majorBidi"/>
      <w:color w:val="2F5496" w:themeColor="accent1" w:themeShade="BF"/>
      <w:sz w:val="32"/>
      <w:szCs w:val="32"/>
    </w:rPr>
  </w:style>
  <w:style w:type="character" w:customStyle="1" w:styleId="Heading2Char1">
    <w:name w:val="Heading 2 Char1"/>
    <w:basedOn w:val="DefaultParagraphFont"/>
    <w:uiPriority w:val="9"/>
    <w:semiHidden/>
    <w:rsid w:val="0025423B"/>
    <w:rPr>
      <w:rFonts w:asciiTheme="majorHAnsi" w:eastAsiaTheme="majorEastAsia" w:hAnsiTheme="majorHAnsi" w:cstheme="majorBidi"/>
      <w:color w:val="2F5496" w:themeColor="accent1" w:themeShade="BF"/>
      <w:sz w:val="26"/>
      <w:szCs w:val="26"/>
    </w:rPr>
  </w:style>
  <w:style w:type="character" w:customStyle="1" w:styleId="Heading3Char1">
    <w:name w:val="Heading 3 Char1"/>
    <w:basedOn w:val="DefaultParagraphFont"/>
    <w:uiPriority w:val="9"/>
    <w:semiHidden/>
    <w:rsid w:val="0025423B"/>
    <w:rPr>
      <w:rFonts w:asciiTheme="majorHAnsi" w:eastAsiaTheme="majorEastAsia" w:hAnsiTheme="majorHAnsi" w:cstheme="majorBidi"/>
      <w:color w:val="1F3763" w:themeColor="accent1" w:themeShade="7F"/>
      <w:sz w:val="24"/>
      <w:szCs w:val="24"/>
    </w:rPr>
  </w:style>
  <w:style w:type="character" w:customStyle="1" w:styleId="Heading8Char1">
    <w:name w:val="Heading 8 Char1"/>
    <w:basedOn w:val="DefaultParagraphFont"/>
    <w:uiPriority w:val="9"/>
    <w:semiHidden/>
    <w:rsid w:val="0025423B"/>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25423B"/>
    <w:rPr>
      <w:rFonts w:asciiTheme="majorHAnsi" w:eastAsiaTheme="majorEastAsia" w:hAnsiTheme="majorHAnsi" w:cstheme="majorBidi"/>
      <w:i/>
      <w:iCs/>
      <w:color w:val="272727" w:themeColor="text1" w:themeTint="D8"/>
      <w:sz w:val="21"/>
      <w:szCs w:val="21"/>
    </w:rPr>
  </w:style>
  <w:style w:type="numbering" w:styleId="ArticleSection">
    <w:name w:val="Outline List 3"/>
    <w:basedOn w:val="NoList"/>
    <w:uiPriority w:val="99"/>
    <w:semiHidden/>
    <w:unhideWhenUsed/>
    <w:rsid w:val="0025423B"/>
    <w:pPr>
      <w:numPr>
        <w:numId w:val="86"/>
      </w:numPr>
    </w:pPr>
  </w:style>
  <w:style w:type="paragraph" w:customStyle="1" w:styleId="Bibliography1">
    <w:name w:val="Bibliography1"/>
    <w:basedOn w:val="Normal"/>
    <w:next w:val="Normal"/>
    <w:uiPriority w:val="37"/>
    <w:semiHidden/>
    <w:unhideWhenUsed/>
    <w:rsid w:val="0025423B"/>
    <w:pPr>
      <w:spacing w:after="200" w:line="276" w:lineRule="auto"/>
    </w:pPr>
    <w:rPr>
      <w:rFonts w:ascii="Calibri" w:hAnsi="Calibri" w:cs="Arial"/>
    </w:rPr>
  </w:style>
  <w:style w:type="paragraph" w:customStyle="1" w:styleId="BlockText1">
    <w:name w:val="Block Text1"/>
    <w:basedOn w:val="Normal"/>
    <w:next w:val="BlockText"/>
    <w:uiPriority w:val="99"/>
    <w:semiHidden/>
    <w:unhideWhenUsed/>
    <w:rsid w:val="0025423B"/>
    <w:pPr>
      <w:spacing w:line="276" w:lineRule="auto"/>
      <w:ind w:left="1440" w:right="1440"/>
    </w:pPr>
    <w:rPr>
      <w:rFonts w:ascii="Calibri" w:hAnsi="Calibri" w:cs="Arial"/>
    </w:rPr>
  </w:style>
  <w:style w:type="paragraph" w:customStyle="1" w:styleId="BodyText11">
    <w:name w:val="Body Text1"/>
    <w:basedOn w:val="Normal"/>
    <w:next w:val="BodyText"/>
    <w:link w:val="BodyTextChar"/>
    <w:uiPriority w:val="99"/>
    <w:semiHidden/>
    <w:unhideWhenUsed/>
    <w:rsid w:val="0025423B"/>
    <w:pPr>
      <w:spacing w:line="276" w:lineRule="auto"/>
    </w:pPr>
  </w:style>
  <w:style w:type="character" w:customStyle="1" w:styleId="BodyTextChar">
    <w:name w:val="Body Text Char"/>
    <w:basedOn w:val="DefaultParagraphFont"/>
    <w:link w:val="BodyText11"/>
    <w:uiPriority w:val="99"/>
    <w:semiHidden/>
    <w:rsid w:val="0025423B"/>
  </w:style>
  <w:style w:type="paragraph" w:customStyle="1" w:styleId="BodyText21">
    <w:name w:val="Body Text 21"/>
    <w:basedOn w:val="Normal"/>
    <w:next w:val="BodyText2"/>
    <w:link w:val="BodyText2Char"/>
    <w:uiPriority w:val="99"/>
    <w:semiHidden/>
    <w:unhideWhenUsed/>
    <w:rsid w:val="0025423B"/>
    <w:pPr>
      <w:spacing w:line="480" w:lineRule="auto"/>
    </w:pPr>
  </w:style>
  <w:style w:type="character" w:customStyle="1" w:styleId="BodyText2Char">
    <w:name w:val="Body Text 2 Char"/>
    <w:basedOn w:val="DefaultParagraphFont"/>
    <w:link w:val="BodyText21"/>
    <w:uiPriority w:val="99"/>
    <w:semiHidden/>
    <w:rsid w:val="0025423B"/>
  </w:style>
  <w:style w:type="paragraph" w:customStyle="1" w:styleId="BodyText31">
    <w:name w:val="Body Text 31"/>
    <w:basedOn w:val="Normal"/>
    <w:next w:val="BodyText3"/>
    <w:link w:val="BodyText3Char"/>
    <w:uiPriority w:val="99"/>
    <w:semiHidden/>
    <w:unhideWhenUsed/>
    <w:rsid w:val="0025423B"/>
    <w:pPr>
      <w:spacing w:line="276" w:lineRule="auto"/>
    </w:pPr>
    <w:rPr>
      <w:sz w:val="16"/>
      <w:szCs w:val="16"/>
    </w:rPr>
  </w:style>
  <w:style w:type="character" w:customStyle="1" w:styleId="BodyText3Char">
    <w:name w:val="Body Text 3 Char"/>
    <w:basedOn w:val="DefaultParagraphFont"/>
    <w:link w:val="BodyText31"/>
    <w:uiPriority w:val="99"/>
    <w:semiHidden/>
    <w:rsid w:val="0025423B"/>
    <w:rPr>
      <w:sz w:val="16"/>
      <w:szCs w:val="16"/>
    </w:rPr>
  </w:style>
  <w:style w:type="paragraph" w:customStyle="1" w:styleId="BodyTextFirstIndent1">
    <w:name w:val="Body Text First Indent1"/>
    <w:basedOn w:val="BodyText"/>
    <w:next w:val="BodyTextFirstIndent"/>
    <w:link w:val="BodyTextFirstIndentChar"/>
    <w:uiPriority w:val="99"/>
    <w:semiHidden/>
    <w:unhideWhenUsed/>
    <w:rsid w:val="0025423B"/>
    <w:pPr>
      <w:spacing w:line="276" w:lineRule="auto"/>
      <w:ind w:firstLine="210"/>
    </w:pPr>
  </w:style>
  <w:style w:type="character" w:customStyle="1" w:styleId="BodyTextFirstIndentChar">
    <w:name w:val="Body Text First Indent Char"/>
    <w:basedOn w:val="BodyTextChar"/>
    <w:link w:val="BodyTextFirstIndent1"/>
    <w:uiPriority w:val="99"/>
    <w:semiHidden/>
    <w:rsid w:val="0025423B"/>
  </w:style>
  <w:style w:type="paragraph" w:customStyle="1" w:styleId="BodyTextIndent1">
    <w:name w:val="Body Text Indent1"/>
    <w:basedOn w:val="Normal"/>
    <w:next w:val="BodyTextIndent"/>
    <w:link w:val="BodyTextIndentChar"/>
    <w:uiPriority w:val="99"/>
    <w:semiHidden/>
    <w:unhideWhenUsed/>
    <w:rsid w:val="0025423B"/>
    <w:pPr>
      <w:spacing w:line="276" w:lineRule="auto"/>
      <w:ind w:left="360"/>
    </w:pPr>
  </w:style>
  <w:style w:type="character" w:customStyle="1" w:styleId="BodyTextIndentChar">
    <w:name w:val="Body Text Indent Char"/>
    <w:basedOn w:val="DefaultParagraphFont"/>
    <w:link w:val="BodyTextIndent1"/>
    <w:uiPriority w:val="99"/>
    <w:semiHidden/>
    <w:rsid w:val="0025423B"/>
  </w:style>
  <w:style w:type="paragraph" w:customStyle="1" w:styleId="BodyTextFirstIndent21">
    <w:name w:val="Body Text First Indent 21"/>
    <w:basedOn w:val="BodyTextIndent"/>
    <w:next w:val="BodyTextFirstIndent2"/>
    <w:link w:val="BodyTextFirstIndent2Char"/>
    <w:uiPriority w:val="99"/>
    <w:semiHidden/>
    <w:unhideWhenUsed/>
    <w:rsid w:val="0025423B"/>
    <w:pPr>
      <w:spacing w:line="276" w:lineRule="auto"/>
      <w:ind w:left="360" w:firstLine="210"/>
    </w:pPr>
  </w:style>
  <w:style w:type="character" w:customStyle="1" w:styleId="BodyTextFirstIndent2Char">
    <w:name w:val="Body Text First Indent 2 Char"/>
    <w:basedOn w:val="BodyTextIndentChar"/>
    <w:link w:val="BodyTextFirstIndent21"/>
    <w:uiPriority w:val="99"/>
    <w:semiHidden/>
    <w:rsid w:val="0025423B"/>
  </w:style>
  <w:style w:type="paragraph" w:customStyle="1" w:styleId="BodyTextIndent21">
    <w:name w:val="Body Text Indent 21"/>
    <w:basedOn w:val="Normal"/>
    <w:next w:val="BodyTextIndent2"/>
    <w:link w:val="BodyTextIndent2Char"/>
    <w:uiPriority w:val="99"/>
    <w:semiHidden/>
    <w:unhideWhenUsed/>
    <w:rsid w:val="0025423B"/>
    <w:pPr>
      <w:spacing w:line="480" w:lineRule="auto"/>
      <w:ind w:left="360"/>
    </w:pPr>
  </w:style>
  <w:style w:type="character" w:customStyle="1" w:styleId="BodyTextIndent2Char">
    <w:name w:val="Body Text Indent 2 Char"/>
    <w:basedOn w:val="DefaultParagraphFont"/>
    <w:link w:val="BodyTextIndent21"/>
    <w:uiPriority w:val="99"/>
    <w:semiHidden/>
    <w:rsid w:val="0025423B"/>
  </w:style>
  <w:style w:type="paragraph" w:customStyle="1" w:styleId="BodyTextIndent31">
    <w:name w:val="Body Text Indent 31"/>
    <w:basedOn w:val="Normal"/>
    <w:next w:val="BodyTextIndent3"/>
    <w:link w:val="BodyTextIndent3Char"/>
    <w:uiPriority w:val="99"/>
    <w:semiHidden/>
    <w:unhideWhenUsed/>
    <w:rsid w:val="0025423B"/>
    <w:pPr>
      <w:spacing w:line="276" w:lineRule="auto"/>
      <w:ind w:left="360"/>
    </w:pPr>
    <w:rPr>
      <w:sz w:val="16"/>
      <w:szCs w:val="16"/>
    </w:rPr>
  </w:style>
  <w:style w:type="character" w:customStyle="1" w:styleId="BodyTextIndent3Char">
    <w:name w:val="Body Text Indent 3 Char"/>
    <w:basedOn w:val="DefaultParagraphFont"/>
    <w:link w:val="BodyTextIndent31"/>
    <w:uiPriority w:val="99"/>
    <w:semiHidden/>
    <w:rsid w:val="0025423B"/>
    <w:rPr>
      <w:sz w:val="16"/>
      <w:szCs w:val="16"/>
    </w:rPr>
  </w:style>
  <w:style w:type="character" w:styleId="BookTitle">
    <w:name w:val="Book Title"/>
    <w:basedOn w:val="DefaultParagraphFont"/>
    <w:uiPriority w:val="33"/>
    <w:qFormat/>
    <w:rsid w:val="00DC139C"/>
    <w:rPr>
      <w:b/>
      <w:bCs/>
      <w:smallCaps/>
    </w:rPr>
  </w:style>
  <w:style w:type="paragraph" w:customStyle="1" w:styleId="Caption1">
    <w:name w:val="Caption1"/>
    <w:basedOn w:val="Normal"/>
    <w:next w:val="Normal"/>
    <w:uiPriority w:val="35"/>
    <w:semiHidden/>
    <w:unhideWhenUsed/>
    <w:rsid w:val="0025423B"/>
    <w:pPr>
      <w:spacing w:after="200" w:line="276" w:lineRule="auto"/>
    </w:pPr>
    <w:rPr>
      <w:rFonts w:ascii="Calibri" w:hAnsi="Calibri" w:cs="Arial"/>
      <w:b/>
      <w:bCs/>
      <w:sz w:val="20"/>
    </w:rPr>
  </w:style>
  <w:style w:type="paragraph" w:customStyle="1" w:styleId="Closing1">
    <w:name w:val="Closing1"/>
    <w:basedOn w:val="Normal"/>
    <w:next w:val="Closing"/>
    <w:link w:val="ClosingChar"/>
    <w:uiPriority w:val="99"/>
    <w:semiHidden/>
    <w:unhideWhenUsed/>
    <w:rsid w:val="0025423B"/>
    <w:pPr>
      <w:spacing w:after="200" w:line="276" w:lineRule="auto"/>
      <w:ind w:left="4320"/>
    </w:pPr>
  </w:style>
  <w:style w:type="character" w:customStyle="1" w:styleId="ClosingChar">
    <w:name w:val="Closing Char"/>
    <w:basedOn w:val="DefaultParagraphFont"/>
    <w:link w:val="Closing1"/>
    <w:uiPriority w:val="99"/>
    <w:semiHidden/>
    <w:rsid w:val="0025423B"/>
  </w:style>
  <w:style w:type="table" w:customStyle="1" w:styleId="ColorfulGrid1">
    <w:name w:val="Colorful Grid1"/>
    <w:basedOn w:val="TableNormal"/>
    <w:next w:val="ColorfulGrid"/>
    <w:uiPriority w:val="73"/>
    <w:rsid w:val="0025423B"/>
    <w:rPr>
      <w:color w:val="000000"/>
      <w:sz w:val="20"/>
      <w:szCs w:val="2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1">
    <w:name w:val="Colorful Grid - Accent 11"/>
    <w:basedOn w:val="TableNormal"/>
    <w:next w:val="ColorfulGrid-Accent1"/>
    <w:uiPriority w:val="73"/>
    <w:rsid w:val="0025423B"/>
    <w:rPr>
      <w:color w:val="000000"/>
      <w:sz w:val="20"/>
      <w:szCs w:val="2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ColorfulGrid-Accent21">
    <w:name w:val="Colorful Grid - Accent 21"/>
    <w:basedOn w:val="TableNormal"/>
    <w:next w:val="ColorfulGrid-Accent2"/>
    <w:uiPriority w:val="73"/>
    <w:rsid w:val="0025423B"/>
    <w:rPr>
      <w:color w:val="000000"/>
      <w:sz w:val="20"/>
      <w:szCs w:val="2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ColorfulGrid-Accent31">
    <w:name w:val="Colorful Grid - Accent 31"/>
    <w:basedOn w:val="TableNormal"/>
    <w:next w:val="ColorfulGrid-Accent3"/>
    <w:uiPriority w:val="73"/>
    <w:rsid w:val="0025423B"/>
    <w:rPr>
      <w:color w:val="000000"/>
      <w:sz w:val="20"/>
      <w:szCs w:val="2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ColorfulGrid-Accent41">
    <w:name w:val="Colorful Grid - Accent 41"/>
    <w:basedOn w:val="TableNormal"/>
    <w:next w:val="ColorfulGrid-Accent4"/>
    <w:uiPriority w:val="73"/>
    <w:rsid w:val="0025423B"/>
    <w:rPr>
      <w:color w:val="000000"/>
      <w:sz w:val="20"/>
      <w:szCs w:val="2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ColorfulGrid-Accent51">
    <w:name w:val="Colorful Grid - Accent 51"/>
    <w:basedOn w:val="TableNormal"/>
    <w:next w:val="ColorfulGrid-Accent5"/>
    <w:uiPriority w:val="73"/>
    <w:rsid w:val="0025423B"/>
    <w:rPr>
      <w:color w:val="000000"/>
      <w:sz w:val="20"/>
      <w:szCs w:val="2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ColorfulGrid-Accent61">
    <w:name w:val="Colorful Grid - Accent 61"/>
    <w:basedOn w:val="TableNormal"/>
    <w:next w:val="ColorfulGrid-Accent6"/>
    <w:uiPriority w:val="73"/>
    <w:rsid w:val="0025423B"/>
    <w:rPr>
      <w:color w:val="000000"/>
      <w:sz w:val="20"/>
      <w:szCs w:val="2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ColorfulList1">
    <w:name w:val="Colorful List1"/>
    <w:basedOn w:val="TableNormal"/>
    <w:next w:val="ColorfulList"/>
    <w:uiPriority w:val="72"/>
    <w:rsid w:val="0025423B"/>
    <w:rPr>
      <w:color w:val="000000"/>
      <w:sz w:val="20"/>
      <w:szCs w:val="2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1">
    <w:name w:val="Colorful List - Accent 11"/>
    <w:basedOn w:val="TableNormal"/>
    <w:next w:val="ColorfulList-Accent1"/>
    <w:uiPriority w:val="72"/>
    <w:rsid w:val="0025423B"/>
    <w:rPr>
      <w:color w:val="000000"/>
      <w:sz w:val="20"/>
      <w:szCs w:val="2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ColorfulList-Accent21">
    <w:name w:val="Colorful List - Accent 21"/>
    <w:basedOn w:val="TableNormal"/>
    <w:next w:val="ColorfulList-Accent2"/>
    <w:uiPriority w:val="72"/>
    <w:rsid w:val="0025423B"/>
    <w:rPr>
      <w:color w:val="000000"/>
      <w:sz w:val="20"/>
      <w:szCs w:val="2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customStyle="1" w:styleId="ColorfulList-Accent31">
    <w:name w:val="Colorful List - Accent 31"/>
    <w:basedOn w:val="TableNormal"/>
    <w:next w:val="ColorfulList-Accent3"/>
    <w:uiPriority w:val="72"/>
    <w:rsid w:val="0025423B"/>
    <w:rPr>
      <w:color w:val="000000"/>
      <w:sz w:val="20"/>
      <w:szCs w:val="2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41">
    <w:name w:val="Colorful List - Accent 41"/>
    <w:basedOn w:val="TableNormal"/>
    <w:next w:val="ColorfulList-Accent4"/>
    <w:uiPriority w:val="72"/>
    <w:rsid w:val="0025423B"/>
    <w:rPr>
      <w:color w:val="000000"/>
      <w:sz w:val="20"/>
      <w:szCs w:val="2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51">
    <w:name w:val="Colorful List - Accent 51"/>
    <w:basedOn w:val="TableNormal"/>
    <w:next w:val="ColorfulList-Accent5"/>
    <w:uiPriority w:val="72"/>
    <w:rsid w:val="0025423B"/>
    <w:rPr>
      <w:color w:val="000000"/>
      <w:sz w:val="20"/>
      <w:szCs w:val="2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ColorfulList-Accent61">
    <w:name w:val="Colorful List - Accent 61"/>
    <w:basedOn w:val="TableNormal"/>
    <w:next w:val="ColorfulList-Accent6"/>
    <w:uiPriority w:val="72"/>
    <w:rsid w:val="0025423B"/>
    <w:rPr>
      <w:color w:val="000000"/>
      <w:sz w:val="20"/>
      <w:szCs w:val="2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ColorfulShading1">
    <w:name w:val="Colorful Shading1"/>
    <w:basedOn w:val="TableNormal"/>
    <w:next w:val="ColorfulShading"/>
    <w:uiPriority w:val="71"/>
    <w:rsid w:val="0025423B"/>
    <w:rPr>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1">
    <w:name w:val="Colorful Shading - Accent 11"/>
    <w:basedOn w:val="TableNormal"/>
    <w:next w:val="ColorfulShading-Accent1"/>
    <w:uiPriority w:val="71"/>
    <w:rsid w:val="0025423B"/>
    <w:rPr>
      <w:color w:val="000000"/>
      <w:sz w:val="20"/>
      <w:szCs w:val="2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ColorfulShading-Accent21">
    <w:name w:val="Colorful Shading - Accent 21"/>
    <w:basedOn w:val="TableNormal"/>
    <w:next w:val="ColorfulShading-Accent2"/>
    <w:uiPriority w:val="71"/>
    <w:rsid w:val="0025423B"/>
    <w:rPr>
      <w:color w:val="000000"/>
      <w:sz w:val="20"/>
      <w:szCs w:val="2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customStyle="1" w:styleId="ColorfulShading-Accent31">
    <w:name w:val="Colorful Shading - Accent 31"/>
    <w:basedOn w:val="TableNormal"/>
    <w:next w:val="ColorfulShading-Accent3"/>
    <w:uiPriority w:val="71"/>
    <w:rsid w:val="0025423B"/>
    <w:rPr>
      <w:color w:val="000000"/>
      <w:sz w:val="20"/>
      <w:szCs w:val="2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ColorfulShading-Accent41">
    <w:name w:val="Colorful Shading - Accent 41"/>
    <w:basedOn w:val="TableNormal"/>
    <w:next w:val="ColorfulShading-Accent4"/>
    <w:uiPriority w:val="71"/>
    <w:rsid w:val="0025423B"/>
    <w:rPr>
      <w:color w:val="000000"/>
      <w:sz w:val="20"/>
      <w:szCs w:val="2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ColorfulShading-Accent51">
    <w:name w:val="Colorful Shading - Accent 51"/>
    <w:basedOn w:val="TableNormal"/>
    <w:next w:val="ColorfulShading-Accent5"/>
    <w:uiPriority w:val="71"/>
    <w:rsid w:val="0025423B"/>
    <w:rPr>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ColorfulShading-Accent61">
    <w:name w:val="Colorful Shading - Accent 61"/>
    <w:basedOn w:val="TableNormal"/>
    <w:next w:val="ColorfulShading-Accent6"/>
    <w:uiPriority w:val="71"/>
    <w:rsid w:val="0025423B"/>
    <w:rPr>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DarkList1">
    <w:name w:val="Dark List1"/>
    <w:basedOn w:val="TableNormal"/>
    <w:next w:val="DarkList"/>
    <w:uiPriority w:val="70"/>
    <w:rsid w:val="0025423B"/>
    <w:rPr>
      <w:color w:val="FFFFFF"/>
      <w:sz w:val="20"/>
      <w:szCs w:val="20"/>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1">
    <w:name w:val="Dark List - Accent 11"/>
    <w:basedOn w:val="TableNormal"/>
    <w:next w:val="DarkList-Accent1"/>
    <w:uiPriority w:val="70"/>
    <w:rsid w:val="0025423B"/>
    <w:rPr>
      <w:color w:val="FFFFFF"/>
      <w:sz w:val="20"/>
      <w:szCs w:val="20"/>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DarkList-Accent21">
    <w:name w:val="Dark List - Accent 21"/>
    <w:basedOn w:val="TableNormal"/>
    <w:next w:val="DarkList-Accent2"/>
    <w:uiPriority w:val="70"/>
    <w:rsid w:val="0025423B"/>
    <w:rPr>
      <w:color w:val="FFFFFF"/>
      <w:sz w:val="20"/>
      <w:szCs w:val="20"/>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customStyle="1" w:styleId="DarkList-Accent31">
    <w:name w:val="Dark List - Accent 31"/>
    <w:basedOn w:val="TableNormal"/>
    <w:next w:val="DarkList-Accent3"/>
    <w:uiPriority w:val="70"/>
    <w:rsid w:val="0025423B"/>
    <w:rPr>
      <w:color w:val="FFFFFF"/>
      <w:sz w:val="20"/>
      <w:szCs w:val="20"/>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DarkList-Accent41">
    <w:name w:val="Dark List - Accent 41"/>
    <w:basedOn w:val="TableNormal"/>
    <w:next w:val="DarkList-Accent4"/>
    <w:uiPriority w:val="70"/>
    <w:rsid w:val="0025423B"/>
    <w:rPr>
      <w:color w:val="FFFFFF"/>
      <w:sz w:val="20"/>
      <w:szCs w:val="20"/>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customStyle="1" w:styleId="DarkList-Accent51">
    <w:name w:val="Dark List - Accent 51"/>
    <w:basedOn w:val="TableNormal"/>
    <w:next w:val="DarkList-Accent5"/>
    <w:uiPriority w:val="70"/>
    <w:rsid w:val="0025423B"/>
    <w:rPr>
      <w:color w:val="FFFFFF"/>
      <w:sz w:val="20"/>
      <w:szCs w:val="20"/>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DarkList-Accent61">
    <w:name w:val="Dark List - Accent 61"/>
    <w:basedOn w:val="TableNormal"/>
    <w:next w:val="DarkList-Accent6"/>
    <w:uiPriority w:val="70"/>
    <w:rsid w:val="0025423B"/>
    <w:rPr>
      <w:color w:val="FFFFFF"/>
      <w:sz w:val="20"/>
      <w:szCs w:val="20"/>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paragraph" w:customStyle="1" w:styleId="Date1">
    <w:name w:val="Date1"/>
    <w:basedOn w:val="Normal"/>
    <w:next w:val="Normal"/>
    <w:uiPriority w:val="99"/>
    <w:semiHidden/>
    <w:unhideWhenUsed/>
    <w:rsid w:val="0025423B"/>
    <w:pPr>
      <w:spacing w:after="200" w:line="276" w:lineRule="auto"/>
    </w:pPr>
    <w:rPr>
      <w:rFonts w:ascii="Calibri" w:hAnsi="Calibri" w:cs="Arial"/>
    </w:rPr>
  </w:style>
  <w:style w:type="character" w:customStyle="1" w:styleId="DateChar">
    <w:name w:val="Date Char"/>
    <w:basedOn w:val="DefaultParagraphFont"/>
    <w:link w:val="Date"/>
    <w:uiPriority w:val="99"/>
    <w:semiHidden/>
    <w:rsid w:val="0025423B"/>
  </w:style>
  <w:style w:type="paragraph" w:customStyle="1" w:styleId="DocumentMap1">
    <w:name w:val="Document Map1"/>
    <w:basedOn w:val="Normal"/>
    <w:next w:val="DocumentMap"/>
    <w:link w:val="DocumentMapChar"/>
    <w:uiPriority w:val="99"/>
    <w:semiHidden/>
    <w:unhideWhenUsed/>
    <w:rsid w:val="0025423B"/>
    <w:pPr>
      <w:spacing w:after="200" w:line="276" w:lineRule="auto"/>
    </w:pPr>
    <w:rPr>
      <w:sz w:val="16"/>
      <w:szCs w:val="16"/>
    </w:rPr>
  </w:style>
  <w:style w:type="character" w:customStyle="1" w:styleId="DocumentMapChar">
    <w:name w:val="Document Map Char"/>
    <w:basedOn w:val="DefaultParagraphFont"/>
    <w:link w:val="DocumentMap1"/>
    <w:uiPriority w:val="99"/>
    <w:semiHidden/>
    <w:rsid w:val="0025423B"/>
    <w:rPr>
      <w:sz w:val="16"/>
      <w:szCs w:val="16"/>
    </w:rPr>
  </w:style>
  <w:style w:type="paragraph" w:customStyle="1" w:styleId="E-mailSignature1">
    <w:name w:val="E-mail Signature1"/>
    <w:basedOn w:val="Normal"/>
    <w:next w:val="E-mailSignature"/>
    <w:link w:val="E-mailSignatureChar"/>
    <w:uiPriority w:val="99"/>
    <w:semiHidden/>
    <w:unhideWhenUsed/>
    <w:rsid w:val="0025423B"/>
    <w:pPr>
      <w:spacing w:after="200" w:line="276" w:lineRule="auto"/>
    </w:pPr>
  </w:style>
  <w:style w:type="character" w:customStyle="1" w:styleId="E-mailSignatureChar">
    <w:name w:val="E-mail Signature Char"/>
    <w:basedOn w:val="DefaultParagraphFont"/>
    <w:link w:val="E-mailSignature1"/>
    <w:uiPriority w:val="99"/>
    <w:semiHidden/>
    <w:rsid w:val="0025423B"/>
  </w:style>
  <w:style w:type="paragraph" w:customStyle="1" w:styleId="EnvelopeAddress1">
    <w:name w:val="Envelope Address1"/>
    <w:basedOn w:val="Normal"/>
    <w:next w:val="EnvelopeAddress"/>
    <w:uiPriority w:val="99"/>
    <w:semiHidden/>
    <w:unhideWhenUsed/>
    <w:rsid w:val="0025423B"/>
    <w:pPr>
      <w:framePr w:w="7920" w:h="1980" w:hRule="exact" w:hSpace="180" w:wrap="auto" w:hAnchor="page" w:xAlign="center" w:yAlign="bottom"/>
      <w:spacing w:after="200" w:line="276" w:lineRule="auto"/>
      <w:ind w:left="2880"/>
    </w:pPr>
    <w:rPr>
      <w:rFonts w:ascii="Calibri" w:hAnsi="Calibri" w:cs="Arial"/>
      <w:szCs w:val="24"/>
    </w:rPr>
  </w:style>
  <w:style w:type="paragraph" w:customStyle="1" w:styleId="EnvelopeReturn1">
    <w:name w:val="Envelope Return1"/>
    <w:basedOn w:val="Normal"/>
    <w:next w:val="EnvelopeReturn"/>
    <w:uiPriority w:val="99"/>
    <w:semiHidden/>
    <w:unhideWhenUsed/>
    <w:rsid w:val="0025423B"/>
    <w:pPr>
      <w:spacing w:after="200" w:line="276" w:lineRule="auto"/>
    </w:pPr>
    <w:rPr>
      <w:rFonts w:ascii="Calibri" w:hAnsi="Calibri" w:cs="Arial"/>
      <w:sz w:val="20"/>
    </w:rPr>
  </w:style>
  <w:style w:type="character" w:styleId="HTMLAcronym">
    <w:name w:val="HTML Acronym"/>
    <w:uiPriority w:val="99"/>
    <w:semiHidden/>
    <w:unhideWhenUsed/>
    <w:rsid w:val="0025423B"/>
  </w:style>
  <w:style w:type="paragraph" w:customStyle="1" w:styleId="HTMLAddress1">
    <w:name w:val="HTML Address1"/>
    <w:basedOn w:val="Normal"/>
    <w:next w:val="HTMLAddress"/>
    <w:link w:val="HTMLAddressChar"/>
    <w:uiPriority w:val="99"/>
    <w:semiHidden/>
    <w:unhideWhenUsed/>
    <w:rsid w:val="0025423B"/>
    <w:pPr>
      <w:spacing w:after="200" w:line="276" w:lineRule="auto"/>
    </w:pPr>
    <w:rPr>
      <w:i/>
      <w:iCs/>
    </w:rPr>
  </w:style>
  <w:style w:type="character" w:customStyle="1" w:styleId="HTMLAddressChar">
    <w:name w:val="HTML Address Char"/>
    <w:basedOn w:val="DefaultParagraphFont"/>
    <w:link w:val="HTMLAddress1"/>
    <w:uiPriority w:val="99"/>
    <w:semiHidden/>
    <w:rsid w:val="0025423B"/>
    <w:rPr>
      <w:i/>
      <w:iCs/>
    </w:rPr>
  </w:style>
  <w:style w:type="character" w:styleId="HTMLCite">
    <w:name w:val="HTML Cite"/>
    <w:uiPriority w:val="99"/>
    <w:semiHidden/>
    <w:unhideWhenUsed/>
    <w:rsid w:val="0025423B"/>
    <w:rPr>
      <w:i/>
      <w:iCs/>
    </w:rPr>
  </w:style>
  <w:style w:type="character" w:styleId="HTMLCode">
    <w:name w:val="HTML Code"/>
    <w:uiPriority w:val="99"/>
    <w:semiHidden/>
    <w:unhideWhenUsed/>
    <w:rsid w:val="0025423B"/>
    <w:rPr>
      <w:rFonts w:ascii="Arial" w:hAnsi="Arial" w:cs="Arial"/>
      <w:sz w:val="20"/>
      <w:szCs w:val="20"/>
    </w:rPr>
  </w:style>
  <w:style w:type="character" w:styleId="HTMLDefinition">
    <w:name w:val="HTML Definition"/>
    <w:uiPriority w:val="99"/>
    <w:semiHidden/>
    <w:unhideWhenUsed/>
    <w:rsid w:val="0025423B"/>
    <w:rPr>
      <w:i/>
      <w:iCs/>
    </w:rPr>
  </w:style>
  <w:style w:type="character" w:styleId="HTMLKeyboard">
    <w:name w:val="HTML Keyboard"/>
    <w:uiPriority w:val="99"/>
    <w:semiHidden/>
    <w:unhideWhenUsed/>
    <w:rsid w:val="0025423B"/>
    <w:rPr>
      <w:rFonts w:ascii="Arial" w:hAnsi="Arial" w:cs="Arial"/>
      <w:sz w:val="20"/>
      <w:szCs w:val="20"/>
    </w:rPr>
  </w:style>
  <w:style w:type="paragraph" w:customStyle="1" w:styleId="HTMLPreformatted1">
    <w:name w:val="HTML Preformatted1"/>
    <w:basedOn w:val="Normal"/>
    <w:next w:val="HTMLPreformatted"/>
    <w:link w:val="HTMLPreformattedChar"/>
    <w:uiPriority w:val="99"/>
    <w:semiHidden/>
    <w:unhideWhenUsed/>
    <w:rsid w:val="0025423B"/>
    <w:pPr>
      <w:spacing w:after="200" w:line="276" w:lineRule="auto"/>
    </w:pPr>
    <w:rPr>
      <w:sz w:val="20"/>
    </w:rPr>
  </w:style>
  <w:style w:type="character" w:customStyle="1" w:styleId="HTMLPreformattedChar">
    <w:name w:val="HTML Preformatted Char"/>
    <w:basedOn w:val="DefaultParagraphFont"/>
    <w:link w:val="HTMLPreformatted1"/>
    <w:uiPriority w:val="99"/>
    <w:semiHidden/>
    <w:rsid w:val="0025423B"/>
    <w:rPr>
      <w:sz w:val="20"/>
    </w:rPr>
  </w:style>
  <w:style w:type="character" w:styleId="HTMLSample">
    <w:name w:val="HTML Sample"/>
    <w:uiPriority w:val="99"/>
    <w:semiHidden/>
    <w:unhideWhenUsed/>
    <w:rsid w:val="0025423B"/>
    <w:rPr>
      <w:rFonts w:ascii="Arial" w:hAnsi="Arial" w:cs="Arial"/>
    </w:rPr>
  </w:style>
  <w:style w:type="character" w:styleId="HTMLTypewriter">
    <w:name w:val="HTML Typewriter"/>
    <w:uiPriority w:val="99"/>
    <w:semiHidden/>
    <w:unhideWhenUsed/>
    <w:rsid w:val="0025423B"/>
    <w:rPr>
      <w:rFonts w:ascii="Arial" w:hAnsi="Arial" w:cs="Arial"/>
      <w:sz w:val="20"/>
      <w:szCs w:val="20"/>
    </w:rPr>
  </w:style>
  <w:style w:type="character" w:styleId="HTMLVariable">
    <w:name w:val="HTML Variable"/>
    <w:uiPriority w:val="99"/>
    <w:semiHidden/>
    <w:unhideWhenUsed/>
    <w:rsid w:val="0025423B"/>
    <w:rPr>
      <w:i/>
      <w:iCs/>
    </w:rPr>
  </w:style>
  <w:style w:type="paragraph" w:customStyle="1" w:styleId="Index11">
    <w:name w:val="Index 11"/>
    <w:basedOn w:val="Normal"/>
    <w:next w:val="Normal"/>
    <w:autoRedefine/>
    <w:uiPriority w:val="99"/>
    <w:semiHidden/>
    <w:unhideWhenUsed/>
    <w:rsid w:val="0025423B"/>
    <w:pPr>
      <w:spacing w:after="200" w:line="276" w:lineRule="auto"/>
      <w:ind w:left="230" w:hanging="230"/>
    </w:pPr>
    <w:rPr>
      <w:rFonts w:ascii="Calibri" w:hAnsi="Calibri" w:cs="Arial"/>
    </w:rPr>
  </w:style>
  <w:style w:type="paragraph" w:customStyle="1" w:styleId="Index21">
    <w:name w:val="Index 21"/>
    <w:basedOn w:val="Normal"/>
    <w:next w:val="Normal"/>
    <w:autoRedefine/>
    <w:uiPriority w:val="99"/>
    <w:semiHidden/>
    <w:unhideWhenUsed/>
    <w:rsid w:val="0025423B"/>
    <w:pPr>
      <w:spacing w:after="200" w:line="276" w:lineRule="auto"/>
      <w:ind w:left="460" w:hanging="230"/>
    </w:pPr>
    <w:rPr>
      <w:rFonts w:ascii="Calibri" w:hAnsi="Calibri" w:cs="Arial"/>
    </w:rPr>
  </w:style>
  <w:style w:type="paragraph" w:customStyle="1" w:styleId="Index31">
    <w:name w:val="Index 31"/>
    <w:basedOn w:val="Normal"/>
    <w:next w:val="Normal"/>
    <w:autoRedefine/>
    <w:uiPriority w:val="99"/>
    <w:semiHidden/>
    <w:unhideWhenUsed/>
    <w:rsid w:val="0025423B"/>
    <w:pPr>
      <w:spacing w:after="200" w:line="276" w:lineRule="auto"/>
      <w:ind w:left="690" w:hanging="230"/>
    </w:pPr>
    <w:rPr>
      <w:rFonts w:ascii="Calibri" w:hAnsi="Calibri" w:cs="Arial"/>
    </w:rPr>
  </w:style>
  <w:style w:type="paragraph" w:customStyle="1" w:styleId="Index41">
    <w:name w:val="Index 41"/>
    <w:basedOn w:val="Normal"/>
    <w:next w:val="Normal"/>
    <w:autoRedefine/>
    <w:uiPriority w:val="99"/>
    <w:semiHidden/>
    <w:unhideWhenUsed/>
    <w:rsid w:val="0025423B"/>
    <w:pPr>
      <w:spacing w:after="200" w:line="276" w:lineRule="auto"/>
      <w:ind w:left="920" w:hanging="230"/>
    </w:pPr>
    <w:rPr>
      <w:rFonts w:ascii="Calibri" w:hAnsi="Calibri" w:cs="Arial"/>
    </w:rPr>
  </w:style>
  <w:style w:type="paragraph" w:customStyle="1" w:styleId="Index51">
    <w:name w:val="Index 51"/>
    <w:basedOn w:val="Normal"/>
    <w:next w:val="Normal"/>
    <w:autoRedefine/>
    <w:uiPriority w:val="99"/>
    <w:semiHidden/>
    <w:unhideWhenUsed/>
    <w:rsid w:val="0025423B"/>
    <w:pPr>
      <w:spacing w:after="200" w:line="276" w:lineRule="auto"/>
      <w:ind w:left="1150" w:hanging="230"/>
    </w:pPr>
    <w:rPr>
      <w:rFonts w:ascii="Calibri" w:hAnsi="Calibri" w:cs="Arial"/>
    </w:rPr>
  </w:style>
  <w:style w:type="paragraph" w:customStyle="1" w:styleId="Index61">
    <w:name w:val="Index 61"/>
    <w:basedOn w:val="Normal"/>
    <w:next w:val="Normal"/>
    <w:autoRedefine/>
    <w:uiPriority w:val="99"/>
    <w:semiHidden/>
    <w:unhideWhenUsed/>
    <w:rsid w:val="0025423B"/>
    <w:pPr>
      <w:spacing w:after="200" w:line="276" w:lineRule="auto"/>
      <w:ind w:left="1380" w:hanging="230"/>
    </w:pPr>
    <w:rPr>
      <w:rFonts w:ascii="Calibri" w:hAnsi="Calibri" w:cs="Arial"/>
    </w:rPr>
  </w:style>
  <w:style w:type="paragraph" w:customStyle="1" w:styleId="Index71">
    <w:name w:val="Index 71"/>
    <w:basedOn w:val="Normal"/>
    <w:next w:val="Normal"/>
    <w:autoRedefine/>
    <w:uiPriority w:val="99"/>
    <w:semiHidden/>
    <w:unhideWhenUsed/>
    <w:rsid w:val="0025423B"/>
    <w:pPr>
      <w:spacing w:after="200" w:line="276" w:lineRule="auto"/>
      <w:ind w:left="1610" w:hanging="230"/>
    </w:pPr>
    <w:rPr>
      <w:rFonts w:ascii="Calibri" w:hAnsi="Calibri" w:cs="Arial"/>
    </w:rPr>
  </w:style>
  <w:style w:type="paragraph" w:customStyle="1" w:styleId="Index81">
    <w:name w:val="Index 81"/>
    <w:basedOn w:val="Normal"/>
    <w:next w:val="Normal"/>
    <w:autoRedefine/>
    <w:uiPriority w:val="99"/>
    <w:semiHidden/>
    <w:unhideWhenUsed/>
    <w:rsid w:val="0025423B"/>
    <w:pPr>
      <w:spacing w:after="200" w:line="276" w:lineRule="auto"/>
      <w:ind w:left="1840" w:hanging="230"/>
    </w:pPr>
    <w:rPr>
      <w:rFonts w:ascii="Calibri" w:hAnsi="Calibri" w:cs="Arial"/>
    </w:rPr>
  </w:style>
  <w:style w:type="paragraph" w:customStyle="1" w:styleId="Index91">
    <w:name w:val="Index 91"/>
    <w:basedOn w:val="Normal"/>
    <w:next w:val="Normal"/>
    <w:autoRedefine/>
    <w:uiPriority w:val="99"/>
    <w:semiHidden/>
    <w:unhideWhenUsed/>
    <w:rsid w:val="0025423B"/>
    <w:pPr>
      <w:spacing w:after="200" w:line="276" w:lineRule="auto"/>
      <w:ind w:left="2070" w:hanging="230"/>
    </w:pPr>
    <w:rPr>
      <w:rFonts w:ascii="Calibri" w:hAnsi="Calibri" w:cs="Arial"/>
    </w:rPr>
  </w:style>
  <w:style w:type="paragraph" w:customStyle="1" w:styleId="IndexHeading1">
    <w:name w:val="Index Heading1"/>
    <w:basedOn w:val="Normal"/>
    <w:next w:val="Index1"/>
    <w:uiPriority w:val="99"/>
    <w:semiHidden/>
    <w:unhideWhenUsed/>
    <w:rsid w:val="0025423B"/>
    <w:pPr>
      <w:spacing w:after="200" w:line="276" w:lineRule="auto"/>
    </w:pPr>
    <w:rPr>
      <w:rFonts w:ascii="Calibri" w:hAnsi="Calibri" w:cs="Arial"/>
      <w:b/>
      <w:bCs/>
    </w:rPr>
  </w:style>
  <w:style w:type="paragraph" w:customStyle="1" w:styleId="IntenseQuote1">
    <w:name w:val="Intense Quote1"/>
    <w:basedOn w:val="Normal"/>
    <w:next w:val="Normal"/>
    <w:uiPriority w:val="30"/>
    <w:rsid w:val="0025423B"/>
    <w:pPr>
      <w:pBdr>
        <w:bottom w:val="single" w:sz="4" w:space="4" w:color="4F81BD"/>
      </w:pBdr>
      <w:spacing w:before="200" w:after="280" w:line="276" w:lineRule="auto"/>
      <w:ind w:left="936" w:right="936"/>
    </w:pPr>
    <w:rPr>
      <w:rFonts w:ascii="Calibri" w:hAnsi="Calibri" w:cs="Arial"/>
      <w:b/>
      <w:bCs/>
      <w:i/>
      <w:iCs/>
      <w:color w:val="4F81BD"/>
    </w:rPr>
  </w:style>
  <w:style w:type="character" w:customStyle="1" w:styleId="IntenseQuoteChar">
    <w:name w:val="Intense Quote Char"/>
    <w:basedOn w:val="DefaultParagraphFont"/>
    <w:link w:val="IntenseQuote"/>
    <w:uiPriority w:val="30"/>
    <w:rsid w:val="00DC139C"/>
    <w:rPr>
      <w:rFonts w:asciiTheme="majorHAnsi" w:eastAsiaTheme="majorEastAsia" w:hAnsiTheme="majorHAnsi" w:cstheme="majorBidi"/>
      <w:color w:val="44546A" w:themeColor="text2"/>
      <w:sz w:val="32"/>
      <w:szCs w:val="32"/>
    </w:rPr>
  </w:style>
  <w:style w:type="character" w:styleId="IntenseReference">
    <w:name w:val="Intense Reference"/>
    <w:basedOn w:val="DefaultParagraphFont"/>
    <w:uiPriority w:val="32"/>
    <w:qFormat/>
    <w:rsid w:val="00DC139C"/>
    <w:rPr>
      <w:b/>
      <w:bCs/>
      <w:smallCaps/>
      <w:color w:val="44546A" w:themeColor="text2"/>
      <w:u w:val="single"/>
    </w:rPr>
  </w:style>
  <w:style w:type="table" w:customStyle="1" w:styleId="LightGrid1">
    <w:name w:val="Light Grid1"/>
    <w:basedOn w:val="TableNormal"/>
    <w:next w:val="LightGrid"/>
    <w:uiPriority w:val="62"/>
    <w:rsid w:val="0025423B"/>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
    <w:name w:val="Light Grid - Accent 11"/>
    <w:basedOn w:val="TableNormal"/>
    <w:next w:val="LightGrid-Accent1"/>
    <w:uiPriority w:val="62"/>
    <w:rsid w:val="0025423B"/>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21">
    <w:name w:val="Light Grid - Accent 21"/>
    <w:basedOn w:val="TableNormal"/>
    <w:next w:val="LightGrid-Accent2"/>
    <w:uiPriority w:val="62"/>
    <w:rsid w:val="0025423B"/>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DengXian" w:eastAsia="Times New Roman" w:hAnsi="DengXian"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DengXian" w:eastAsia="Times New Roman" w:hAnsi="DengXian"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Grid-Accent31">
    <w:name w:val="Light Grid - Accent 31"/>
    <w:basedOn w:val="TableNormal"/>
    <w:next w:val="LightGrid-Accent3"/>
    <w:uiPriority w:val="62"/>
    <w:rsid w:val="0025423B"/>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Grid-Accent41">
    <w:name w:val="Light Grid - Accent 41"/>
    <w:basedOn w:val="TableNormal"/>
    <w:next w:val="LightGrid-Accent4"/>
    <w:uiPriority w:val="62"/>
    <w:rsid w:val="0025423B"/>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DengXian" w:eastAsia="Times New Roman" w:hAnsi="DengXian"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DengXian" w:eastAsia="Times New Roman" w:hAnsi="DengXian"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51">
    <w:name w:val="Light Grid - Accent 51"/>
    <w:basedOn w:val="TableNormal"/>
    <w:next w:val="LightGrid-Accent5"/>
    <w:uiPriority w:val="62"/>
    <w:rsid w:val="0025423B"/>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61">
    <w:name w:val="Light Grid - Accent 61"/>
    <w:basedOn w:val="TableNormal"/>
    <w:next w:val="LightGrid-Accent6"/>
    <w:uiPriority w:val="62"/>
    <w:rsid w:val="0025423B"/>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DengXian" w:eastAsia="Times New Roman" w:hAnsi="DengXian"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DengXian" w:eastAsia="Times New Roman" w:hAnsi="DengXian"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List1">
    <w:name w:val="Light List1"/>
    <w:basedOn w:val="TableNormal"/>
    <w:next w:val="LightList"/>
    <w:uiPriority w:val="61"/>
    <w:rsid w:val="0025423B"/>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eNormal"/>
    <w:next w:val="LightList-Accent1"/>
    <w:uiPriority w:val="61"/>
    <w:rsid w:val="0025423B"/>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21">
    <w:name w:val="Light List - Accent 21"/>
    <w:basedOn w:val="TableNormal"/>
    <w:next w:val="LightList-Accent2"/>
    <w:uiPriority w:val="61"/>
    <w:rsid w:val="0025423B"/>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List-Accent31">
    <w:name w:val="Light List - Accent 31"/>
    <w:basedOn w:val="TableNormal"/>
    <w:next w:val="LightList-Accent3"/>
    <w:uiPriority w:val="61"/>
    <w:rsid w:val="0025423B"/>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41">
    <w:name w:val="Light List - Accent 41"/>
    <w:basedOn w:val="TableNormal"/>
    <w:next w:val="LightList-Accent4"/>
    <w:uiPriority w:val="61"/>
    <w:rsid w:val="0025423B"/>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1">
    <w:name w:val="Light List - Accent 51"/>
    <w:basedOn w:val="TableNormal"/>
    <w:next w:val="LightList-Accent5"/>
    <w:uiPriority w:val="61"/>
    <w:rsid w:val="0025423B"/>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61">
    <w:name w:val="Light List - Accent 61"/>
    <w:basedOn w:val="TableNormal"/>
    <w:next w:val="LightList-Accent6"/>
    <w:uiPriority w:val="61"/>
    <w:rsid w:val="0025423B"/>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Shading1">
    <w:name w:val="Light Shading1"/>
    <w:basedOn w:val="TableNormal"/>
    <w:next w:val="LightShading"/>
    <w:uiPriority w:val="60"/>
    <w:rsid w:val="0025423B"/>
    <w:rPr>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next w:val="LightShading-Accent1"/>
    <w:uiPriority w:val="60"/>
    <w:rsid w:val="0025423B"/>
    <w:rPr>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21">
    <w:name w:val="Light Shading - Accent 21"/>
    <w:basedOn w:val="TableNormal"/>
    <w:next w:val="LightShading-Accent2"/>
    <w:uiPriority w:val="60"/>
    <w:rsid w:val="0025423B"/>
    <w:rPr>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1">
    <w:name w:val="Light Shading - Accent 31"/>
    <w:basedOn w:val="TableNormal"/>
    <w:next w:val="LightShading-Accent3"/>
    <w:uiPriority w:val="60"/>
    <w:rsid w:val="0025423B"/>
    <w:rPr>
      <w:color w:val="76923C"/>
      <w:sz w:val="20"/>
      <w:szCs w:val="20"/>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1">
    <w:name w:val="Light Shading - Accent 41"/>
    <w:basedOn w:val="TableNormal"/>
    <w:next w:val="LightShading-Accent4"/>
    <w:uiPriority w:val="60"/>
    <w:rsid w:val="0025423B"/>
    <w:rPr>
      <w:color w:val="5F497A"/>
      <w:sz w:val="20"/>
      <w:szCs w:val="20"/>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51">
    <w:name w:val="Light Shading - Accent 51"/>
    <w:basedOn w:val="TableNormal"/>
    <w:next w:val="LightShading-Accent5"/>
    <w:uiPriority w:val="60"/>
    <w:rsid w:val="0025423B"/>
    <w:rPr>
      <w:color w:val="31849B"/>
      <w:sz w:val="20"/>
      <w:szCs w:val="20"/>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61">
    <w:name w:val="Light Shading - Accent 61"/>
    <w:basedOn w:val="TableNormal"/>
    <w:next w:val="LightShading-Accent6"/>
    <w:uiPriority w:val="60"/>
    <w:rsid w:val="0025423B"/>
    <w:rPr>
      <w:color w:val="E36C0A"/>
      <w:sz w:val="20"/>
      <w:szCs w:val="20"/>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character" w:styleId="LineNumber">
    <w:name w:val="line number"/>
    <w:uiPriority w:val="99"/>
    <w:semiHidden/>
    <w:unhideWhenUsed/>
    <w:rsid w:val="0025423B"/>
  </w:style>
  <w:style w:type="paragraph" w:customStyle="1" w:styleId="List1">
    <w:name w:val="List1"/>
    <w:basedOn w:val="Normal"/>
    <w:next w:val="List"/>
    <w:uiPriority w:val="99"/>
    <w:semiHidden/>
    <w:unhideWhenUsed/>
    <w:rsid w:val="0025423B"/>
    <w:pPr>
      <w:spacing w:after="200" w:line="276" w:lineRule="auto"/>
      <w:ind w:left="360" w:hanging="360"/>
      <w:contextualSpacing/>
    </w:pPr>
    <w:rPr>
      <w:rFonts w:ascii="Calibri" w:hAnsi="Calibri" w:cs="Arial"/>
    </w:rPr>
  </w:style>
  <w:style w:type="paragraph" w:customStyle="1" w:styleId="List21">
    <w:name w:val="List 21"/>
    <w:basedOn w:val="Normal"/>
    <w:next w:val="List2"/>
    <w:uiPriority w:val="99"/>
    <w:semiHidden/>
    <w:unhideWhenUsed/>
    <w:rsid w:val="0025423B"/>
    <w:pPr>
      <w:spacing w:after="200" w:line="276" w:lineRule="auto"/>
      <w:ind w:left="720" w:hanging="360"/>
      <w:contextualSpacing/>
    </w:pPr>
    <w:rPr>
      <w:rFonts w:ascii="Calibri" w:hAnsi="Calibri" w:cs="Arial"/>
    </w:rPr>
  </w:style>
  <w:style w:type="paragraph" w:customStyle="1" w:styleId="List31">
    <w:name w:val="List 31"/>
    <w:basedOn w:val="Normal"/>
    <w:next w:val="List3"/>
    <w:uiPriority w:val="99"/>
    <w:semiHidden/>
    <w:unhideWhenUsed/>
    <w:rsid w:val="0025423B"/>
    <w:pPr>
      <w:spacing w:after="200" w:line="276" w:lineRule="auto"/>
      <w:ind w:left="1080" w:hanging="360"/>
      <w:contextualSpacing/>
    </w:pPr>
    <w:rPr>
      <w:rFonts w:ascii="Calibri" w:hAnsi="Calibri" w:cs="Arial"/>
    </w:rPr>
  </w:style>
  <w:style w:type="paragraph" w:customStyle="1" w:styleId="List41">
    <w:name w:val="List 41"/>
    <w:basedOn w:val="Normal"/>
    <w:next w:val="List4"/>
    <w:uiPriority w:val="99"/>
    <w:semiHidden/>
    <w:unhideWhenUsed/>
    <w:rsid w:val="0025423B"/>
    <w:pPr>
      <w:spacing w:after="200" w:line="276" w:lineRule="auto"/>
      <w:ind w:left="1440" w:hanging="360"/>
      <w:contextualSpacing/>
    </w:pPr>
    <w:rPr>
      <w:rFonts w:ascii="Calibri" w:hAnsi="Calibri" w:cs="Arial"/>
    </w:rPr>
  </w:style>
  <w:style w:type="paragraph" w:customStyle="1" w:styleId="List51">
    <w:name w:val="List 51"/>
    <w:basedOn w:val="Normal"/>
    <w:next w:val="List5"/>
    <w:uiPriority w:val="99"/>
    <w:semiHidden/>
    <w:unhideWhenUsed/>
    <w:rsid w:val="0025423B"/>
    <w:pPr>
      <w:spacing w:after="200" w:line="276" w:lineRule="auto"/>
      <w:ind w:left="1800" w:hanging="360"/>
      <w:contextualSpacing/>
    </w:pPr>
    <w:rPr>
      <w:rFonts w:ascii="Calibri" w:hAnsi="Calibri" w:cs="Arial"/>
    </w:rPr>
  </w:style>
  <w:style w:type="paragraph" w:customStyle="1" w:styleId="ListBullet51">
    <w:name w:val="List Bullet 51"/>
    <w:basedOn w:val="Normal"/>
    <w:next w:val="ListBullet5"/>
    <w:uiPriority w:val="99"/>
    <w:semiHidden/>
    <w:unhideWhenUsed/>
    <w:rsid w:val="0025423B"/>
    <w:pPr>
      <w:numPr>
        <w:numId w:val="87"/>
      </w:numPr>
      <w:spacing w:after="200" w:line="276" w:lineRule="auto"/>
      <w:contextualSpacing/>
    </w:pPr>
    <w:rPr>
      <w:rFonts w:ascii="Calibri" w:hAnsi="Calibri" w:cs="Arial"/>
    </w:rPr>
  </w:style>
  <w:style w:type="paragraph" w:customStyle="1" w:styleId="ListContinue1">
    <w:name w:val="List Continue1"/>
    <w:basedOn w:val="Normal"/>
    <w:next w:val="ListContinue"/>
    <w:uiPriority w:val="99"/>
    <w:semiHidden/>
    <w:unhideWhenUsed/>
    <w:rsid w:val="0025423B"/>
    <w:pPr>
      <w:spacing w:line="276" w:lineRule="auto"/>
      <w:ind w:left="360"/>
      <w:contextualSpacing/>
    </w:pPr>
    <w:rPr>
      <w:rFonts w:ascii="Calibri" w:hAnsi="Calibri" w:cs="Arial"/>
    </w:rPr>
  </w:style>
  <w:style w:type="paragraph" w:customStyle="1" w:styleId="ListContinue21">
    <w:name w:val="List Continue 21"/>
    <w:basedOn w:val="Normal"/>
    <w:next w:val="ListContinue2"/>
    <w:uiPriority w:val="99"/>
    <w:semiHidden/>
    <w:unhideWhenUsed/>
    <w:rsid w:val="0025423B"/>
    <w:pPr>
      <w:spacing w:line="276" w:lineRule="auto"/>
      <w:ind w:left="720"/>
      <w:contextualSpacing/>
    </w:pPr>
    <w:rPr>
      <w:rFonts w:ascii="Calibri" w:hAnsi="Calibri" w:cs="Arial"/>
    </w:rPr>
  </w:style>
  <w:style w:type="paragraph" w:customStyle="1" w:styleId="ListContinue31">
    <w:name w:val="List Continue 31"/>
    <w:basedOn w:val="Normal"/>
    <w:next w:val="ListContinue3"/>
    <w:uiPriority w:val="99"/>
    <w:semiHidden/>
    <w:unhideWhenUsed/>
    <w:rsid w:val="0025423B"/>
    <w:pPr>
      <w:spacing w:line="276" w:lineRule="auto"/>
      <w:ind w:left="1080"/>
      <w:contextualSpacing/>
    </w:pPr>
    <w:rPr>
      <w:rFonts w:ascii="Calibri" w:hAnsi="Calibri" w:cs="Arial"/>
    </w:rPr>
  </w:style>
  <w:style w:type="paragraph" w:customStyle="1" w:styleId="ListContinue41">
    <w:name w:val="List Continue 41"/>
    <w:basedOn w:val="Normal"/>
    <w:next w:val="ListContinue4"/>
    <w:uiPriority w:val="99"/>
    <w:semiHidden/>
    <w:unhideWhenUsed/>
    <w:rsid w:val="0025423B"/>
    <w:pPr>
      <w:spacing w:line="276" w:lineRule="auto"/>
      <w:ind w:left="1440"/>
      <w:contextualSpacing/>
    </w:pPr>
    <w:rPr>
      <w:rFonts w:ascii="Calibri" w:hAnsi="Calibri" w:cs="Arial"/>
    </w:rPr>
  </w:style>
  <w:style w:type="paragraph" w:customStyle="1" w:styleId="ListContinue51">
    <w:name w:val="List Continue 51"/>
    <w:basedOn w:val="Normal"/>
    <w:next w:val="ListContinue5"/>
    <w:uiPriority w:val="99"/>
    <w:semiHidden/>
    <w:unhideWhenUsed/>
    <w:rsid w:val="0025423B"/>
    <w:pPr>
      <w:spacing w:line="276" w:lineRule="auto"/>
      <w:ind w:left="1800"/>
      <w:contextualSpacing/>
    </w:pPr>
    <w:rPr>
      <w:rFonts w:ascii="Calibri" w:hAnsi="Calibri" w:cs="Arial"/>
    </w:rPr>
  </w:style>
  <w:style w:type="paragraph" w:customStyle="1" w:styleId="ListNumber1">
    <w:name w:val="List Number1"/>
    <w:basedOn w:val="Normal"/>
    <w:next w:val="ListNumber"/>
    <w:uiPriority w:val="99"/>
    <w:semiHidden/>
    <w:unhideWhenUsed/>
    <w:rsid w:val="0025423B"/>
    <w:pPr>
      <w:numPr>
        <w:numId w:val="88"/>
      </w:numPr>
      <w:spacing w:after="200" w:line="276" w:lineRule="auto"/>
      <w:contextualSpacing/>
    </w:pPr>
    <w:rPr>
      <w:rFonts w:ascii="Calibri" w:hAnsi="Calibri" w:cs="Arial"/>
    </w:rPr>
  </w:style>
  <w:style w:type="paragraph" w:customStyle="1" w:styleId="ListNumber21">
    <w:name w:val="List Number 21"/>
    <w:basedOn w:val="Normal"/>
    <w:next w:val="ListNumber2"/>
    <w:uiPriority w:val="99"/>
    <w:semiHidden/>
    <w:unhideWhenUsed/>
    <w:rsid w:val="0025423B"/>
    <w:pPr>
      <w:numPr>
        <w:numId w:val="89"/>
      </w:numPr>
      <w:spacing w:after="200" w:line="276" w:lineRule="auto"/>
      <w:contextualSpacing/>
    </w:pPr>
    <w:rPr>
      <w:rFonts w:ascii="Calibri" w:hAnsi="Calibri" w:cs="Arial"/>
    </w:rPr>
  </w:style>
  <w:style w:type="paragraph" w:customStyle="1" w:styleId="ListNumber31">
    <w:name w:val="List Number 31"/>
    <w:basedOn w:val="Normal"/>
    <w:next w:val="ListNumber3"/>
    <w:uiPriority w:val="99"/>
    <w:semiHidden/>
    <w:unhideWhenUsed/>
    <w:rsid w:val="0025423B"/>
    <w:pPr>
      <w:numPr>
        <w:numId w:val="90"/>
      </w:numPr>
      <w:spacing w:after="200" w:line="276" w:lineRule="auto"/>
      <w:contextualSpacing/>
    </w:pPr>
    <w:rPr>
      <w:rFonts w:ascii="Calibri" w:hAnsi="Calibri" w:cs="Arial"/>
    </w:rPr>
  </w:style>
  <w:style w:type="paragraph" w:customStyle="1" w:styleId="ListNumber41">
    <w:name w:val="List Number 41"/>
    <w:basedOn w:val="Normal"/>
    <w:next w:val="ListNumber4"/>
    <w:uiPriority w:val="99"/>
    <w:semiHidden/>
    <w:unhideWhenUsed/>
    <w:rsid w:val="0025423B"/>
    <w:pPr>
      <w:numPr>
        <w:numId w:val="91"/>
      </w:numPr>
      <w:spacing w:after="200" w:line="276" w:lineRule="auto"/>
      <w:contextualSpacing/>
    </w:pPr>
    <w:rPr>
      <w:rFonts w:ascii="Calibri" w:hAnsi="Calibri" w:cs="Arial"/>
    </w:rPr>
  </w:style>
  <w:style w:type="paragraph" w:customStyle="1" w:styleId="ListNumber51">
    <w:name w:val="List Number 51"/>
    <w:basedOn w:val="Normal"/>
    <w:next w:val="ListNumber5"/>
    <w:uiPriority w:val="99"/>
    <w:semiHidden/>
    <w:unhideWhenUsed/>
    <w:rsid w:val="0025423B"/>
    <w:pPr>
      <w:numPr>
        <w:numId w:val="92"/>
      </w:numPr>
      <w:spacing w:after="200" w:line="276" w:lineRule="auto"/>
      <w:contextualSpacing/>
    </w:pPr>
    <w:rPr>
      <w:rFonts w:ascii="Calibri" w:hAnsi="Calibri" w:cs="Arial"/>
    </w:rPr>
  </w:style>
  <w:style w:type="paragraph" w:customStyle="1" w:styleId="MacroText1">
    <w:name w:val="Macro Text1"/>
    <w:next w:val="MacroText"/>
    <w:link w:val="MacroTextChar"/>
    <w:uiPriority w:val="99"/>
    <w:semiHidden/>
    <w:unhideWhenUsed/>
    <w:rsid w:val="0025423B"/>
    <w:pPr>
      <w:widowControl w:val="0"/>
      <w:tabs>
        <w:tab w:val="left" w:pos="480"/>
        <w:tab w:val="left" w:pos="960"/>
        <w:tab w:val="left" w:pos="1440"/>
        <w:tab w:val="left" w:pos="1920"/>
        <w:tab w:val="left" w:pos="2400"/>
        <w:tab w:val="left" w:pos="2880"/>
        <w:tab w:val="left" w:pos="3360"/>
        <w:tab w:val="left" w:pos="3840"/>
        <w:tab w:val="left" w:pos="4320"/>
      </w:tabs>
      <w:spacing w:line="216" w:lineRule="auto"/>
    </w:pPr>
    <w:rPr>
      <w:rFonts w:ascii="Arial" w:hAnsi="Arial" w:cs="Arial"/>
    </w:rPr>
  </w:style>
  <w:style w:type="character" w:customStyle="1" w:styleId="MacroTextChar">
    <w:name w:val="Macro Text Char"/>
    <w:basedOn w:val="DefaultParagraphFont"/>
    <w:link w:val="MacroText1"/>
    <w:uiPriority w:val="99"/>
    <w:semiHidden/>
    <w:rsid w:val="0025423B"/>
    <w:rPr>
      <w:rFonts w:ascii="Arial" w:hAnsi="Arial" w:cs="Arial"/>
    </w:rPr>
  </w:style>
  <w:style w:type="table" w:customStyle="1" w:styleId="MediumGrid11">
    <w:name w:val="Medium Grid 11"/>
    <w:basedOn w:val="TableNormal"/>
    <w:next w:val="MediumGrid1"/>
    <w:uiPriority w:val="67"/>
    <w:rsid w:val="0025423B"/>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1">
    <w:name w:val="Medium Grid 1 - Accent 11"/>
    <w:basedOn w:val="TableNormal"/>
    <w:next w:val="MediumGrid1-Accent1"/>
    <w:uiPriority w:val="67"/>
    <w:rsid w:val="0025423B"/>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MediumGrid1-Accent21">
    <w:name w:val="Medium Grid 1 - Accent 21"/>
    <w:basedOn w:val="TableNormal"/>
    <w:next w:val="MediumGrid1-Accent2"/>
    <w:uiPriority w:val="67"/>
    <w:rsid w:val="0025423B"/>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MediumGrid1-Accent31">
    <w:name w:val="Medium Grid 1 - Accent 31"/>
    <w:basedOn w:val="TableNormal"/>
    <w:next w:val="MediumGrid1-Accent3"/>
    <w:uiPriority w:val="67"/>
    <w:rsid w:val="0025423B"/>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Grid1-Accent41">
    <w:name w:val="Medium Grid 1 - Accent 41"/>
    <w:basedOn w:val="TableNormal"/>
    <w:next w:val="MediumGrid1-Accent4"/>
    <w:uiPriority w:val="67"/>
    <w:rsid w:val="0025423B"/>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MediumGrid1-Accent51">
    <w:name w:val="Medium Grid 1 - Accent 51"/>
    <w:basedOn w:val="TableNormal"/>
    <w:next w:val="MediumGrid1-Accent5"/>
    <w:uiPriority w:val="67"/>
    <w:rsid w:val="0025423B"/>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MediumGrid1-Accent61">
    <w:name w:val="Medium Grid 1 - Accent 61"/>
    <w:basedOn w:val="TableNormal"/>
    <w:next w:val="MediumGrid1-Accent6"/>
    <w:uiPriority w:val="67"/>
    <w:rsid w:val="0025423B"/>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Grid21">
    <w:name w:val="Medium Grid 21"/>
    <w:basedOn w:val="TableNormal"/>
    <w:next w:val="MediumGrid2"/>
    <w:uiPriority w:val="68"/>
    <w:rsid w:val="0025423B"/>
    <w:rPr>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2-Accent11">
    <w:name w:val="Medium Grid 2 - Accent 11"/>
    <w:basedOn w:val="TableNormal"/>
    <w:next w:val="MediumGrid2-Accent1"/>
    <w:uiPriority w:val="68"/>
    <w:rsid w:val="0025423B"/>
    <w:rPr>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MediumGrid2-Accent21">
    <w:name w:val="Medium Grid 2 - Accent 21"/>
    <w:basedOn w:val="TableNormal"/>
    <w:next w:val="MediumGrid2-Accent2"/>
    <w:uiPriority w:val="68"/>
    <w:rsid w:val="0025423B"/>
    <w:rPr>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MediumGrid2-Accent31">
    <w:name w:val="Medium Grid 2 - Accent 31"/>
    <w:basedOn w:val="TableNormal"/>
    <w:next w:val="MediumGrid2-Accent3"/>
    <w:uiPriority w:val="68"/>
    <w:rsid w:val="0025423B"/>
    <w:rPr>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MediumGrid2-Accent41">
    <w:name w:val="Medium Grid 2 - Accent 41"/>
    <w:basedOn w:val="TableNormal"/>
    <w:next w:val="MediumGrid2-Accent4"/>
    <w:uiPriority w:val="68"/>
    <w:rsid w:val="0025423B"/>
    <w:rPr>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MediumGrid2-Accent51">
    <w:name w:val="Medium Grid 2 - Accent 51"/>
    <w:basedOn w:val="TableNormal"/>
    <w:next w:val="MediumGrid2-Accent5"/>
    <w:uiPriority w:val="68"/>
    <w:rsid w:val="0025423B"/>
    <w:rPr>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MediumGrid2-Accent61">
    <w:name w:val="Medium Grid 2 - Accent 61"/>
    <w:basedOn w:val="TableNormal"/>
    <w:next w:val="MediumGrid2-Accent6"/>
    <w:uiPriority w:val="68"/>
    <w:rsid w:val="0025423B"/>
    <w:rPr>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MediumGrid31">
    <w:name w:val="Medium Grid 31"/>
    <w:basedOn w:val="TableNormal"/>
    <w:next w:val="MediumGrid3"/>
    <w:uiPriority w:val="69"/>
    <w:rsid w:val="0025423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3-Accent11">
    <w:name w:val="Medium Grid 3 - Accent 11"/>
    <w:basedOn w:val="TableNormal"/>
    <w:next w:val="MediumGrid3-Accent1"/>
    <w:uiPriority w:val="69"/>
    <w:rsid w:val="0025423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3-Accent21">
    <w:name w:val="Medium Grid 3 - Accent 21"/>
    <w:basedOn w:val="TableNormal"/>
    <w:next w:val="MediumGrid3-Accent2"/>
    <w:uiPriority w:val="69"/>
    <w:rsid w:val="0025423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MediumGrid3-Accent31">
    <w:name w:val="Medium Grid 3 - Accent 31"/>
    <w:basedOn w:val="TableNormal"/>
    <w:next w:val="MediumGrid3-Accent3"/>
    <w:uiPriority w:val="69"/>
    <w:rsid w:val="0025423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MediumGrid3-Accent41">
    <w:name w:val="Medium Grid 3 - Accent 41"/>
    <w:basedOn w:val="TableNormal"/>
    <w:next w:val="MediumGrid3-Accent4"/>
    <w:uiPriority w:val="69"/>
    <w:rsid w:val="0025423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MediumGrid3-Accent51">
    <w:name w:val="Medium Grid 3 - Accent 51"/>
    <w:basedOn w:val="TableNormal"/>
    <w:next w:val="MediumGrid3-Accent5"/>
    <w:uiPriority w:val="69"/>
    <w:rsid w:val="0025423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MediumGrid3-Accent61">
    <w:name w:val="Medium Grid 3 - Accent 61"/>
    <w:basedOn w:val="TableNormal"/>
    <w:next w:val="MediumGrid3-Accent6"/>
    <w:uiPriority w:val="69"/>
    <w:rsid w:val="0025423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MediumList11">
    <w:name w:val="Medium List 11"/>
    <w:basedOn w:val="TableNormal"/>
    <w:next w:val="MediumList1"/>
    <w:uiPriority w:val="65"/>
    <w:rsid w:val="0025423B"/>
    <w:rPr>
      <w:color w:val="000000"/>
      <w:sz w:val="20"/>
      <w:szCs w:val="2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
    <w:name w:val="Medium List 1 - Accent 11"/>
    <w:basedOn w:val="TableNormal"/>
    <w:next w:val="MediumList1-Accent1"/>
    <w:uiPriority w:val="65"/>
    <w:rsid w:val="0025423B"/>
    <w:rPr>
      <w:color w:val="000000"/>
      <w:sz w:val="20"/>
      <w:szCs w:val="20"/>
    </w:rPr>
    <w:tblPr>
      <w:tblStyleRowBandSize w:val="1"/>
      <w:tblStyleColBandSize w:val="1"/>
      <w:tblBorders>
        <w:top w:val="single" w:sz="8" w:space="0" w:color="4F81BD"/>
        <w:bottom w:val="single" w:sz="8" w:space="0" w:color="4F81BD"/>
      </w:tblBorders>
    </w:tblPr>
    <w:tblStylePr w:type="firstRow">
      <w:rPr>
        <w:rFonts w:ascii="DengXian" w:eastAsia="Times New Roman" w:hAnsi="DengXia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21">
    <w:name w:val="Medium List 1 - Accent 21"/>
    <w:basedOn w:val="TableNormal"/>
    <w:next w:val="MediumList1-Accent2"/>
    <w:uiPriority w:val="65"/>
    <w:rsid w:val="0025423B"/>
    <w:rPr>
      <w:color w:val="000000"/>
      <w:sz w:val="20"/>
      <w:szCs w:val="20"/>
    </w:rPr>
    <w:tblPr>
      <w:tblStyleRowBandSize w:val="1"/>
      <w:tblStyleColBandSize w:val="1"/>
      <w:tblBorders>
        <w:top w:val="single" w:sz="8" w:space="0" w:color="C0504D"/>
        <w:bottom w:val="single" w:sz="8" w:space="0" w:color="C0504D"/>
      </w:tblBorders>
    </w:tblPr>
    <w:tblStylePr w:type="firstRow">
      <w:rPr>
        <w:rFonts w:ascii="DengXian" w:eastAsia="Times New Roman" w:hAnsi="DengXian"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MediumList1-Accent31">
    <w:name w:val="Medium List 1 - Accent 31"/>
    <w:basedOn w:val="TableNormal"/>
    <w:next w:val="MediumList1-Accent3"/>
    <w:uiPriority w:val="65"/>
    <w:rsid w:val="0025423B"/>
    <w:rPr>
      <w:color w:val="000000"/>
      <w:sz w:val="20"/>
      <w:szCs w:val="20"/>
    </w:rPr>
    <w:tblPr>
      <w:tblStyleRowBandSize w:val="1"/>
      <w:tblStyleColBandSize w:val="1"/>
      <w:tblBorders>
        <w:top w:val="single" w:sz="8" w:space="0" w:color="9BBB59"/>
        <w:bottom w:val="single" w:sz="8" w:space="0" w:color="9BBB59"/>
      </w:tblBorders>
    </w:tblPr>
    <w:tblStylePr w:type="firstRow">
      <w:rPr>
        <w:rFonts w:ascii="DengXian" w:eastAsia="Times New Roman" w:hAnsi="DengXian"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Accent41">
    <w:name w:val="Medium List 1 - Accent 41"/>
    <w:basedOn w:val="TableNormal"/>
    <w:next w:val="MediumList1-Accent4"/>
    <w:uiPriority w:val="65"/>
    <w:rsid w:val="0025423B"/>
    <w:rPr>
      <w:color w:val="000000"/>
      <w:sz w:val="20"/>
      <w:szCs w:val="20"/>
    </w:rPr>
    <w:tblPr>
      <w:tblStyleRowBandSize w:val="1"/>
      <w:tblStyleColBandSize w:val="1"/>
      <w:tblBorders>
        <w:top w:val="single" w:sz="8" w:space="0" w:color="8064A2"/>
        <w:bottom w:val="single" w:sz="8" w:space="0" w:color="8064A2"/>
      </w:tblBorders>
    </w:tblPr>
    <w:tblStylePr w:type="firstRow">
      <w:rPr>
        <w:rFonts w:ascii="DengXian" w:eastAsia="Times New Roman" w:hAnsi="DengXian"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MediumList1-Accent51">
    <w:name w:val="Medium List 1 - Accent 51"/>
    <w:basedOn w:val="TableNormal"/>
    <w:next w:val="MediumList1-Accent5"/>
    <w:uiPriority w:val="65"/>
    <w:rsid w:val="0025423B"/>
    <w:rPr>
      <w:color w:val="000000"/>
      <w:sz w:val="20"/>
      <w:szCs w:val="20"/>
    </w:rPr>
    <w:tblPr>
      <w:tblStyleRowBandSize w:val="1"/>
      <w:tblStyleColBandSize w:val="1"/>
      <w:tblBorders>
        <w:top w:val="single" w:sz="8" w:space="0" w:color="4BACC6"/>
        <w:bottom w:val="single" w:sz="8" w:space="0" w:color="4BACC6"/>
      </w:tblBorders>
    </w:tblPr>
    <w:tblStylePr w:type="firstRow">
      <w:rPr>
        <w:rFonts w:ascii="DengXian" w:eastAsia="Times New Roman" w:hAnsi="DengXian"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61">
    <w:name w:val="Medium List 1 - Accent 61"/>
    <w:basedOn w:val="TableNormal"/>
    <w:next w:val="MediumList1-Accent6"/>
    <w:uiPriority w:val="65"/>
    <w:rsid w:val="0025423B"/>
    <w:rPr>
      <w:color w:val="000000"/>
      <w:sz w:val="20"/>
      <w:szCs w:val="20"/>
    </w:rPr>
    <w:tblPr>
      <w:tblStyleRowBandSize w:val="1"/>
      <w:tblStyleColBandSize w:val="1"/>
      <w:tblBorders>
        <w:top w:val="single" w:sz="8" w:space="0" w:color="F79646"/>
        <w:bottom w:val="single" w:sz="8" w:space="0" w:color="F79646"/>
      </w:tblBorders>
    </w:tblPr>
    <w:tblStylePr w:type="firstRow">
      <w:rPr>
        <w:rFonts w:ascii="DengXian" w:eastAsia="Times New Roman" w:hAnsi="DengXian"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List21">
    <w:name w:val="Medium List 21"/>
    <w:basedOn w:val="TableNormal"/>
    <w:next w:val="MediumList2"/>
    <w:uiPriority w:val="66"/>
    <w:rsid w:val="0025423B"/>
    <w:rPr>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11">
    <w:name w:val="Medium List 2 - Accent 11"/>
    <w:basedOn w:val="TableNormal"/>
    <w:next w:val="MediumList2-Accent1"/>
    <w:uiPriority w:val="66"/>
    <w:rsid w:val="0025423B"/>
    <w:rPr>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MediumList2-Accent21">
    <w:name w:val="Medium List 2 - Accent 21"/>
    <w:basedOn w:val="TableNormal"/>
    <w:next w:val="MediumList2-Accent2"/>
    <w:uiPriority w:val="66"/>
    <w:rsid w:val="0025423B"/>
    <w:rPr>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MediumList2-Accent31">
    <w:name w:val="Medium List 2 - Accent 31"/>
    <w:basedOn w:val="TableNormal"/>
    <w:next w:val="MediumList2-Accent3"/>
    <w:uiPriority w:val="66"/>
    <w:rsid w:val="0025423B"/>
    <w:rPr>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MediumList2-Accent41">
    <w:name w:val="Medium List 2 - Accent 41"/>
    <w:basedOn w:val="TableNormal"/>
    <w:next w:val="MediumList2-Accent4"/>
    <w:uiPriority w:val="66"/>
    <w:rsid w:val="0025423B"/>
    <w:rPr>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2-Accent51">
    <w:name w:val="Medium List 2 - Accent 51"/>
    <w:basedOn w:val="TableNormal"/>
    <w:next w:val="MediumList2-Accent5"/>
    <w:uiPriority w:val="66"/>
    <w:rsid w:val="0025423B"/>
    <w:rPr>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MediumList2-Accent61">
    <w:name w:val="Medium List 2 - Accent 61"/>
    <w:basedOn w:val="TableNormal"/>
    <w:next w:val="MediumList2-Accent6"/>
    <w:uiPriority w:val="66"/>
    <w:rsid w:val="0025423B"/>
    <w:rPr>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Shading11">
    <w:name w:val="Medium Shading 11"/>
    <w:basedOn w:val="TableNormal"/>
    <w:next w:val="MediumShading1"/>
    <w:uiPriority w:val="63"/>
    <w:rsid w:val="0025423B"/>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
    <w:name w:val="Medium Shading 1 - Accent 11"/>
    <w:basedOn w:val="TableNormal"/>
    <w:next w:val="MediumShading1-Accent1"/>
    <w:uiPriority w:val="63"/>
    <w:rsid w:val="0025423B"/>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uiPriority w:val="63"/>
    <w:rsid w:val="0025423B"/>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Shading1-Accent31">
    <w:name w:val="Medium Shading 1 - Accent 31"/>
    <w:basedOn w:val="TableNormal"/>
    <w:next w:val="MediumShading1-Accent3"/>
    <w:uiPriority w:val="63"/>
    <w:rsid w:val="0025423B"/>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Shading1-Accent41">
    <w:name w:val="Medium Shading 1 - Accent 41"/>
    <w:basedOn w:val="TableNormal"/>
    <w:next w:val="MediumShading1-Accent4"/>
    <w:uiPriority w:val="63"/>
    <w:rsid w:val="0025423B"/>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51">
    <w:name w:val="Medium Shading 1 - Accent 51"/>
    <w:basedOn w:val="TableNormal"/>
    <w:next w:val="MediumShading1-Accent5"/>
    <w:uiPriority w:val="63"/>
    <w:rsid w:val="0025423B"/>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63"/>
    <w:rsid w:val="0025423B"/>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MediumShading21">
    <w:name w:val="Medium Shading 21"/>
    <w:basedOn w:val="TableNormal"/>
    <w:next w:val="MediumShading2"/>
    <w:uiPriority w:val="64"/>
    <w:rsid w:val="002542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next w:val="MediumShading2-Accent1"/>
    <w:uiPriority w:val="64"/>
    <w:rsid w:val="002542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21">
    <w:name w:val="Medium Shading 2 - Accent 21"/>
    <w:basedOn w:val="TableNormal"/>
    <w:next w:val="MediumShading2-Accent2"/>
    <w:uiPriority w:val="64"/>
    <w:rsid w:val="002542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leNormal"/>
    <w:next w:val="MediumShading2-Accent3"/>
    <w:uiPriority w:val="64"/>
    <w:rsid w:val="002542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
    <w:name w:val="Medium Shading 2 - Accent 41"/>
    <w:basedOn w:val="TableNormal"/>
    <w:next w:val="MediumShading2-Accent4"/>
    <w:uiPriority w:val="64"/>
    <w:rsid w:val="002542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
    <w:next w:val="MediumShading2-Accent5"/>
    <w:uiPriority w:val="64"/>
    <w:rsid w:val="002542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
    <w:next w:val="MediumShading2-Accent6"/>
    <w:uiPriority w:val="64"/>
    <w:rsid w:val="002542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MessageHeader1">
    <w:name w:val="Message Header1"/>
    <w:basedOn w:val="Normal"/>
    <w:next w:val="MessageHeader"/>
    <w:link w:val="MessageHeaderChar"/>
    <w:uiPriority w:val="99"/>
    <w:semiHidden/>
    <w:unhideWhenUsed/>
    <w:rsid w:val="0025423B"/>
    <w:pPr>
      <w:pBdr>
        <w:top w:val="single" w:sz="6" w:space="1" w:color="auto"/>
        <w:left w:val="single" w:sz="6" w:space="1" w:color="auto"/>
        <w:bottom w:val="single" w:sz="6" w:space="1" w:color="auto"/>
        <w:right w:val="single" w:sz="6" w:space="1" w:color="auto"/>
      </w:pBdr>
      <w:shd w:val="pct20" w:color="auto" w:fill="auto"/>
      <w:spacing w:after="200" w:line="276" w:lineRule="auto"/>
      <w:ind w:left="1080" w:hanging="1080"/>
    </w:pPr>
    <w:rPr>
      <w:szCs w:val="24"/>
    </w:rPr>
  </w:style>
  <w:style w:type="character" w:customStyle="1" w:styleId="MessageHeaderChar">
    <w:name w:val="Message Header Char"/>
    <w:basedOn w:val="DefaultParagraphFont"/>
    <w:link w:val="MessageHeader1"/>
    <w:uiPriority w:val="99"/>
    <w:semiHidden/>
    <w:rsid w:val="0025423B"/>
    <w:rPr>
      <w:szCs w:val="24"/>
      <w:shd w:val="pct20" w:color="auto" w:fill="auto"/>
    </w:rPr>
  </w:style>
  <w:style w:type="paragraph" w:customStyle="1" w:styleId="NormalIndent1">
    <w:name w:val="Normal Indent1"/>
    <w:basedOn w:val="Normal"/>
    <w:next w:val="NormalIndent"/>
    <w:uiPriority w:val="99"/>
    <w:semiHidden/>
    <w:unhideWhenUsed/>
    <w:rsid w:val="0025423B"/>
    <w:pPr>
      <w:spacing w:after="200" w:line="276" w:lineRule="auto"/>
      <w:ind w:left="720"/>
    </w:pPr>
    <w:rPr>
      <w:rFonts w:ascii="Calibri" w:hAnsi="Calibri" w:cs="Arial"/>
    </w:rPr>
  </w:style>
  <w:style w:type="paragraph" w:customStyle="1" w:styleId="NoteHeading1">
    <w:name w:val="Note Heading1"/>
    <w:basedOn w:val="Normal"/>
    <w:next w:val="Normal"/>
    <w:uiPriority w:val="99"/>
    <w:semiHidden/>
    <w:unhideWhenUsed/>
    <w:rsid w:val="0025423B"/>
    <w:pPr>
      <w:spacing w:after="200" w:line="276" w:lineRule="auto"/>
    </w:pPr>
    <w:rPr>
      <w:rFonts w:ascii="Calibri" w:hAnsi="Calibri" w:cs="Arial"/>
    </w:rPr>
  </w:style>
  <w:style w:type="character" w:customStyle="1" w:styleId="NoteHeadingChar">
    <w:name w:val="Note Heading Char"/>
    <w:basedOn w:val="DefaultParagraphFont"/>
    <w:link w:val="NoteHeading"/>
    <w:uiPriority w:val="99"/>
    <w:semiHidden/>
    <w:rsid w:val="0025423B"/>
  </w:style>
  <w:style w:type="paragraph" w:customStyle="1" w:styleId="PlainText1">
    <w:name w:val="Plain Text1"/>
    <w:basedOn w:val="Normal"/>
    <w:next w:val="PlainText"/>
    <w:link w:val="PlainTextChar"/>
    <w:uiPriority w:val="99"/>
    <w:semiHidden/>
    <w:unhideWhenUsed/>
    <w:rsid w:val="0025423B"/>
    <w:pPr>
      <w:spacing w:after="200" w:line="276" w:lineRule="auto"/>
    </w:pPr>
    <w:rPr>
      <w:sz w:val="20"/>
    </w:rPr>
  </w:style>
  <w:style w:type="character" w:customStyle="1" w:styleId="PlainTextChar">
    <w:name w:val="Plain Text Char"/>
    <w:basedOn w:val="DefaultParagraphFont"/>
    <w:link w:val="PlainText1"/>
    <w:uiPriority w:val="99"/>
    <w:semiHidden/>
    <w:rsid w:val="0025423B"/>
    <w:rPr>
      <w:sz w:val="20"/>
    </w:rPr>
  </w:style>
  <w:style w:type="paragraph" w:customStyle="1" w:styleId="Quote1">
    <w:name w:val="Quote1"/>
    <w:basedOn w:val="Normal"/>
    <w:next w:val="Normal"/>
    <w:uiPriority w:val="29"/>
    <w:rsid w:val="0025423B"/>
    <w:pPr>
      <w:spacing w:after="200" w:line="276" w:lineRule="auto"/>
    </w:pPr>
    <w:rPr>
      <w:rFonts w:ascii="Calibri" w:hAnsi="Calibri" w:cs="Arial"/>
      <w:i/>
      <w:iCs/>
      <w:color w:val="000000"/>
    </w:rPr>
  </w:style>
  <w:style w:type="character" w:customStyle="1" w:styleId="QuoteChar">
    <w:name w:val="Quote Char"/>
    <w:basedOn w:val="DefaultParagraphFont"/>
    <w:link w:val="Quote"/>
    <w:uiPriority w:val="29"/>
    <w:rsid w:val="00DC139C"/>
    <w:rPr>
      <w:color w:val="44546A" w:themeColor="text2"/>
      <w:sz w:val="24"/>
      <w:szCs w:val="24"/>
    </w:rPr>
  </w:style>
  <w:style w:type="paragraph" w:customStyle="1" w:styleId="Salutation1">
    <w:name w:val="Salutation1"/>
    <w:basedOn w:val="Normal"/>
    <w:next w:val="Normal"/>
    <w:uiPriority w:val="99"/>
    <w:semiHidden/>
    <w:unhideWhenUsed/>
    <w:rsid w:val="0025423B"/>
    <w:pPr>
      <w:spacing w:after="200" w:line="276" w:lineRule="auto"/>
    </w:pPr>
    <w:rPr>
      <w:rFonts w:ascii="Calibri" w:hAnsi="Calibri" w:cs="Arial"/>
    </w:rPr>
  </w:style>
  <w:style w:type="character" w:customStyle="1" w:styleId="SalutationChar">
    <w:name w:val="Salutation Char"/>
    <w:basedOn w:val="DefaultParagraphFont"/>
    <w:link w:val="Salutation"/>
    <w:uiPriority w:val="99"/>
    <w:semiHidden/>
    <w:rsid w:val="0025423B"/>
  </w:style>
  <w:style w:type="paragraph" w:customStyle="1" w:styleId="Signature1">
    <w:name w:val="Signature1"/>
    <w:basedOn w:val="Normal"/>
    <w:next w:val="Signature"/>
    <w:link w:val="SignatureChar"/>
    <w:uiPriority w:val="99"/>
    <w:semiHidden/>
    <w:unhideWhenUsed/>
    <w:rsid w:val="0025423B"/>
    <w:pPr>
      <w:spacing w:after="200" w:line="276" w:lineRule="auto"/>
      <w:ind w:left="4320"/>
    </w:pPr>
  </w:style>
  <w:style w:type="character" w:customStyle="1" w:styleId="SignatureChar">
    <w:name w:val="Signature Char"/>
    <w:basedOn w:val="DefaultParagraphFont"/>
    <w:link w:val="Signature1"/>
    <w:uiPriority w:val="99"/>
    <w:semiHidden/>
    <w:rsid w:val="0025423B"/>
  </w:style>
  <w:style w:type="character" w:styleId="Strong">
    <w:name w:val="Strong"/>
    <w:basedOn w:val="DefaultParagraphFont"/>
    <w:uiPriority w:val="22"/>
    <w:qFormat/>
    <w:rsid w:val="00DC139C"/>
    <w:rPr>
      <w:b/>
      <w:bCs/>
    </w:rPr>
  </w:style>
  <w:style w:type="paragraph" w:customStyle="1" w:styleId="Subtitle1">
    <w:name w:val="Subtitle1"/>
    <w:basedOn w:val="Normal"/>
    <w:next w:val="Normal"/>
    <w:uiPriority w:val="11"/>
    <w:rsid w:val="0025423B"/>
    <w:pPr>
      <w:spacing w:after="60" w:line="276" w:lineRule="auto"/>
      <w:jc w:val="center"/>
      <w:outlineLvl w:val="1"/>
    </w:pPr>
    <w:rPr>
      <w:rFonts w:ascii="Calibri" w:hAnsi="Calibri" w:cs="Arial"/>
      <w:szCs w:val="24"/>
    </w:rPr>
  </w:style>
  <w:style w:type="character" w:customStyle="1" w:styleId="SubtitleChar">
    <w:name w:val="Subtitle Char"/>
    <w:basedOn w:val="DefaultParagraphFont"/>
    <w:link w:val="Subtitle"/>
    <w:uiPriority w:val="11"/>
    <w:rsid w:val="00DC139C"/>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DC139C"/>
    <w:rPr>
      <w:i/>
      <w:iCs/>
      <w:color w:val="595959" w:themeColor="text1" w:themeTint="A6"/>
    </w:rPr>
  </w:style>
  <w:style w:type="character" w:styleId="SubtleReference">
    <w:name w:val="Subtle Reference"/>
    <w:basedOn w:val="DefaultParagraphFont"/>
    <w:uiPriority w:val="31"/>
    <w:qFormat/>
    <w:rsid w:val="00DC139C"/>
    <w:rPr>
      <w:smallCaps/>
      <w:color w:val="595959" w:themeColor="text1" w:themeTint="A6"/>
      <w:u w:val="none" w:color="7F7F7F" w:themeColor="text1" w:themeTint="80"/>
      <w:bdr w:val="none" w:sz="0" w:space="0" w:color="auto"/>
    </w:rPr>
  </w:style>
  <w:style w:type="table" w:customStyle="1" w:styleId="Table3Deffects11">
    <w:name w:val="Table 3D effects 11"/>
    <w:basedOn w:val="TableNormal"/>
    <w:next w:val="Table3Deffects1"/>
    <w:uiPriority w:val="99"/>
    <w:semiHidden/>
    <w:unhideWhenUsed/>
    <w:rsid w:val="0025423B"/>
    <w:pPr>
      <w:widowControl w:val="0"/>
      <w:spacing w:line="216"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uiPriority w:val="99"/>
    <w:semiHidden/>
    <w:unhideWhenUsed/>
    <w:rsid w:val="0025423B"/>
    <w:pPr>
      <w:widowControl w:val="0"/>
      <w:spacing w:line="216"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uiPriority w:val="99"/>
    <w:semiHidden/>
    <w:unhideWhenUsed/>
    <w:rsid w:val="0025423B"/>
    <w:pPr>
      <w:widowControl w:val="0"/>
      <w:spacing w:line="216"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uiPriority w:val="99"/>
    <w:semiHidden/>
    <w:unhideWhenUsed/>
    <w:rsid w:val="0025423B"/>
    <w:pPr>
      <w:widowControl w:val="0"/>
      <w:spacing w:line="216"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uiPriority w:val="99"/>
    <w:semiHidden/>
    <w:unhideWhenUsed/>
    <w:rsid w:val="0025423B"/>
    <w:pPr>
      <w:widowControl w:val="0"/>
      <w:spacing w:line="216"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uiPriority w:val="99"/>
    <w:semiHidden/>
    <w:unhideWhenUsed/>
    <w:rsid w:val="0025423B"/>
    <w:pPr>
      <w:widowControl w:val="0"/>
      <w:spacing w:line="216" w:lineRule="auto"/>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uiPriority w:val="99"/>
    <w:semiHidden/>
    <w:unhideWhenUsed/>
    <w:rsid w:val="0025423B"/>
    <w:pPr>
      <w:widowControl w:val="0"/>
      <w:spacing w:line="216"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uiPriority w:val="99"/>
    <w:semiHidden/>
    <w:unhideWhenUsed/>
    <w:rsid w:val="0025423B"/>
    <w:pPr>
      <w:widowControl w:val="0"/>
      <w:spacing w:line="216" w:lineRule="auto"/>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uiPriority w:val="99"/>
    <w:semiHidden/>
    <w:unhideWhenUsed/>
    <w:rsid w:val="0025423B"/>
    <w:pPr>
      <w:widowControl w:val="0"/>
      <w:spacing w:line="216"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uiPriority w:val="99"/>
    <w:semiHidden/>
    <w:unhideWhenUsed/>
    <w:rsid w:val="0025423B"/>
    <w:pPr>
      <w:widowControl w:val="0"/>
      <w:spacing w:line="216"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uiPriority w:val="99"/>
    <w:semiHidden/>
    <w:unhideWhenUsed/>
    <w:rsid w:val="0025423B"/>
    <w:pPr>
      <w:widowControl w:val="0"/>
      <w:spacing w:line="216" w:lineRule="auto"/>
    </w:pPr>
    <w:rPr>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uiPriority w:val="99"/>
    <w:semiHidden/>
    <w:unhideWhenUsed/>
    <w:rsid w:val="0025423B"/>
    <w:pPr>
      <w:widowControl w:val="0"/>
      <w:spacing w:line="216" w:lineRule="auto"/>
    </w:pPr>
    <w:rPr>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uiPriority w:val="99"/>
    <w:semiHidden/>
    <w:unhideWhenUsed/>
    <w:rsid w:val="0025423B"/>
    <w:pPr>
      <w:widowControl w:val="0"/>
      <w:spacing w:line="216" w:lineRule="auto"/>
    </w:pPr>
    <w:rPr>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uiPriority w:val="99"/>
    <w:semiHidden/>
    <w:unhideWhenUsed/>
    <w:rsid w:val="0025423B"/>
    <w:pPr>
      <w:widowControl w:val="0"/>
      <w:spacing w:line="216"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uiPriority w:val="99"/>
    <w:semiHidden/>
    <w:unhideWhenUsed/>
    <w:rsid w:val="0025423B"/>
    <w:pPr>
      <w:widowControl w:val="0"/>
      <w:spacing w:line="216"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uiPriority w:val="99"/>
    <w:semiHidden/>
    <w:unhideWhenUsed/>
    <w:rsid w:val="0025423B"/>
    <w:pPr>
      <w:widowControl w:val="0"/>
      <w:spacing w:line="216"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uiPriority w:val="99"/>
    <w:semiHidden/>
    <w:unhideWhenUsed/>
    <w:rsid w:val="0025423B"/>
    <w:pPr>
      <w:widowControl w:val="0"/>
      <w:spacing w:line="216"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21">
    <w:name w:val="Table Grid 21"/>
    <w:basedOn w:val="TableNormal"/>
    <w:next w:val="TableGrid2"/>
    <w:uiPriority w:val="99"/>
    <w:semiHidden/>
    <w:unhideWhenUsed/>
    <w:rsid w:val="0025423B"/>
    <w:pPr>
      <w:widowControl w:val="0"/>
      <w:spacing w:line="216"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uiPriority w:val="99"/>
    <w:semiHidden/>
    <w:unhideWhenUsed/>
    <w:rsid w:val="0025423B"/>
    <w:pPr>
      <w:widowControl w:val="0"/>
      <w:spacing w:line="216"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uiPriority w:val="99"/>
    <w:semiHidden/>
    <w:unhideWhenUsed/>
    <w:rsid w:val="0025423B"/>
    <w:pPr>
      <w:widowControl w:val="0"/>
      <w:spacing w:line="216"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uiPriority w:val="99"/>
    <w:semiHidden/>
    <w:unhideWhenUsed/>
    <w:rsid w:val="0025423B"/>
    <w:pPr>
      <w:widowControl w:val="0"/>
      <w:spacing w:line="216"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uiPriority w:val="99"/>
    <w:semiHidden/>
    <w:unhideWhenUsed/>
    <w:rsid w:val="0025423B"/>
    <w:pPr>
      <w:widowControl w:val="0"/>
      <w:spacing w:line="216"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uiPriority w:val="99"/>
    <w:semiHidden/>
    <w:unhideWhenUsed/>
    <w:rsid w:val="0025423B"/>
    <w:pPr>
      <w:widowControl w:val="0"/>
      <w:spacing w:line="216" w:lineRule="auto"/>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uiPriority w:val="99"/>
    <w:semiHidden/>
    <w:unhideWhenUsed/>
    <w:rsid w:val="0025423B"/>
    <w:pPr>
      <w:widowControl w:val="0"/>
      <w:spacing w:line="216"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uiPriority w:val="99"/>
    <w:semiHidden/>
    <w:unhideWhenUsed/>
    <w:rsid w:val="0025423B"/>
    <w:pPr>
      <w:widowControl w:val="0"/>
      <w:spacing w:line="216"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uiPriority w:val="99"/>
    <w:semiHidden/>
    <w:unhideWhenUsed/>
    <w:rsid w:val="0025423B"/>
    <w:pPr>
      <w:widowControl w:val="0"/>
      <w:spacing w:line="216"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uiPriority w:val="99"/>
    <w:semiHidden/>
    <w:unhideWhenUsed/>
    <w:rsid w:val="0025423B"/>
    <w:pPr>
      <w:widowControl w:val="0"/>
      <w:spacing w:line="216"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uiPriority w:val="99"/>
    <w:semiHidden/>
    <w:unhideWhenUsed/>
    <w:rsid w:val="0025423B"/>
    <w:pPr>
      <w:widowControl w:val="0"/>
      <w:spacing w:line="216"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uiPriority w:val="99"/>
    <w:semiHidden/>
    <w:unhideWhenUsed/>
    <w:rsid w:val="0025423B"/>
    <w:pPr>
      <w:widowControl w:val="0"/>
      <w:spacing w:line="216"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uiPriority w:val="99"/>
    <w:semiHidden/>
    <w:unhideWhenUsed/>
    <w:rsid w:val="0025423B"/>
    <w:pPr>
      <w:widowControl w:val="0"/>
      <w:spacing w:line="216"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uiPriority w:val="99"/>
    <w:semiHidden/>
    <w:unhideWhenUsed/>
    <w:rsid w:val="0025423B"/>
    <w:pPr>
      <w:widowControl w:val="0"/>
      <w:spacing w:line="216"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uiPriority w:val="99"/>
    <w:semiHidden/>
    <w:unhideWhenUsed/>
    <w:rsid w:val="0025423B"/>
    <w:pPr>
      <w:widowControl w:val="0"/>
      <w:spacing w:line="216"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customStyle="1" w:styleId="TableofAuthorities1">
    <w:name w:val="Table of Authorities1"/>
    <w:basedOn w:val="Normal"/>
    <w:next w:val="Normal"/>
    <w:uiPriority w:val="99"/>
    <w:semiHidden/>
    <w:unhideWhenUsed/>
    <w:rsid w:val="0025423B"/>
    <w:pPr>
      <w:spacing w:after="200" w:line="276" w:lineRule="auto"/>
      <w:ind w:left="230" w:hanging="230"/>
    </w:pPr>
    <w:rPr>
      <w:rFonts w:ascii="Calibri" w:hAnsi="Calibri" w:cs="Arial"/>
    </w:rPr>
  </w:style>
  <w:style w:type="paragraph" w:customStyle="1" w:styleId="TableofFigures1">
    <w:name w:val="Table of Figures1"/>
    <w:basedOn w:val="Normal"/>
    <w:next w:val="Normal"/>
    <w:uiPriority w:val="99"/>
    <w:semiHidden/>
    <w:unhideWhenUsed/>
    <w:rsid w:val="0025423B"/>
    <w:pPr>
      <w:spacing w:after="200" w:line="276" w:lineRule="auto"/>
    </w:pPr>
    <w:rPr>
      <w:rFonts w:ascii="Calibri" w:hAnsi="Calibri" w:cs="Arial"/>
    </w:rPr>
  </w:style>
  <w:style w:type="table" w:customStyle="1" w:styleId="TableProfessional1">
    <w:name w:val="Table Professional1"/>
    <w:basedOn w:val="TableNormal"/>
    <w:next w:val="TableProfessional"/>
    <w:uiPriority w:val="99"/>
    <w:semiHidden/>
    <w:unhideWhenUsed/>
    <w:rsid w:val="0025423B"/>
    <w:pPr>
      <w:widowControl w:val="0"/>
      <w:spacing w:line="216"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uiPriority w:val="99"/>
    <w:semiHidden/>
    <w:unhideWhenUsed/>
    <w:rsid w:val="0025423B"/>
    <w:pPr>
      <w:widowControl w:val="0"/>
      <w:spacing w:line="216"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uiPriority w:val="99"/>
    <w:semiHidden/>
    <w:unhideWhenUsed/>
    <w:rsid w:val="0025423B"/>
    <w:pPr>
      <w:widowControl w:val="0"/>
      <w:spacing w:line="216"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uiPriority w:val="99"/>
    <w:semiHidden/>
    <w:unhideWhenUsed/>
    <w:rsid w:val="0025423B"/>
    <w:pPr>
      <w:widowControl w:val="0"/>
      <w:spacing w:line="216"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uiPriority w:val="99"/>
    <w:semiHidden/>
    <w:unhideWhenUsed/>
    <w:rsid w:val="0025423B"/>
    <w:pPr>
      <w:widowControl w:val="0"/>
      <w:spacing w:line="216"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uiPriority w:val="99"/>
    <w:semiHidden/>
    <w:unhideWhenUsed/>
    <w:rsid w:val="0025423B"/>
    <w:pPr>
      <w:widowControl w:val="0"/>
      <w:spacing w:line="216"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uiPriority w:val="99"/>
    <w:semiHidden/>
    <w:unhideWhenUsed/>
    <w:rsid w:val="0025423B"/>
    <w:pPr>
      <w:widowControl w:val="0"/>
      <w:spacing w:line="21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uiPriority w:val="99"/>
    <w:semiHidden/>
    <w:unhideWhenUsed/>
    <w:rsid w:val="0025423B"/>
    <w:pPr>
      <w:widowControl w:val="0"/>
      <w:spacing w:line="216"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9"/>
    <w:semiHidden/>
    <w:unhideWhenUsed/>
    <w:rsid w:val="0025423B"/>
    <w:pPr>
      <w:widowControl w:val="0"/>
      <w:spacing w:line="216"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uiPriority w:val="99"/>
    <w:semiHidden/>
    <w:unhideWhenUsed/>
    <w:rsid w:val="0025423B"/>
    <w:pPr>
      <w:widowControl w:val="0"/>
      <w:spacing w:line="216"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1">
    <w:name w:val="Title1"/>
    <w:basedOn w:val="Normal"/>
    <w:next w:val="Normal"/>
    <w:uiPriority w:val="10"/>
    <w:rsid w:val="0025423B"/>
    <w:pPr>
      <w:spacing w:before="240" w:after="60" w:line="276" w:lineRule="auto"/>
      <w:jc w:val="center"/>
      <w:outlineLvl w:val="0"/>
    </w:pPr>
    <w:rPr>
      <w:rFonts w:ascii="Calibri" w:hAnsi="Calibri" w:cs="Arial"/>
      <w:b/>
      <w:bCs/>
      <w:kern w:val="28"/>
      <w:sz w:val="32"/>
      <w:szCs w:val="32"/>
    </w:rPr>
  </w:style>
  <w:style w:type="character" w:customStyle="1" w:styleId="TitleChar">
    <w:name w:val="Title Char"/>
    <w:basedOn w:val="DefaultParagraphFont"/>
    <w:link w:val="Title"/>
    <w:uiPriority w:val="10"/>
    <w:rsid w:val="00DC139C"/>
    <w:rPr>
      <w:rFonts w:asciiTheme="majorHAnsi" w:eastAsiaTheme="majorEastAsia" w:hAnsiTheme="majorHAnsi" w:cstheme="majorBidi"/>
      <w:caps/>
      <w:color w:val="44546A" w:themeColor="text2"/>
      <w:sz w:val="72"/>
      <w:szCs w:val="72"/>
    </w:rPr>
  </w:style>
  <w:style w:type="paragraph" w:customStyle="1" w:styleId="TOAHeading1">
    <w:name w:val="TOA Heading1"/>
    <w:basedOn w:val="Normal"/>
    <w:next w:val="Normal"/>
    <w:uiPriority w:val="99"/>
    <w:semiHidden/>
    <w:unhideWhenUsed/>
    <w:rsid w:val="0025423B"/>
    <w:pPr>
      <w:spacing w:after="200" w:line="276" w:lineRule="auto"/>
    </w:pPr>
    <w:rPr>
      <w:rFonts w:ascii="Calibri" w:hAnsi="Calibri" w:cs="Arial"/>
      <w:b/>
      <w:bCs/>
      <w:szCs w:val="24"/>
    </w:rPr>
  </w:style>
  <w:style w:type="paragraph" w:customStyle="1" w:styleId="TBSousEmbargo">
    <w:name w:val="TBSousEmbargo"/>
    <w:basedOn w:val="TechnicalBlockBase"/>
    <w:rsid w:val="0025423B"/>
    <w:pPr>
      <w:spacing w:before="360" w:after="360" w:line="240" w:lineRule="auto"/>
      <w:ind w:left="0" w:right="0"/>
      <w:jc w:val="center"/>
    </w:pPr>
    <w:rPr>
      <w:rFonts w:ascii="Arial" w:hAnsi="Arial"/>
      <w:i w:val="0"/>
      <w:dstrike w:val="0"/>
      <w:color w:val="auto"/>
      <w:sz w:val="23"/>
      <w:szCs w:val="23"/>
      <w:u w:val="double"/>
    </w:rPr>
  </w:style>
  <w:style w:type="paragraph" w:customStyle="1" w:styleId="TechnicalBlockBase">
    <w:name w:val="TechnicalBlockBase"/>
    <w:link w:val="TechnicalBlockBaseChar"/>
    <w:rsid w:val="0025423B"/>
    <w:pPr>
      <w:widowControl w:val="0"/>
      <w:spacing w:before="140" w:after="140" w:line="185" w:lineRule="auto"/>
      <w:ind w:left="260" w:right="260"/>
    </w:pPr>
    <w:rPr>
      <w:rFonts w:ascii="Arial New Roman" w:hAnsi="Arial New Roman" w:cs="Arial"/>
      <w:b/>
      <w:i/>
      <w:dstrike/>
      <w:color w:val="606060"/>
      <w:sz w:val="10"/>
      <w:u w:val="words" w:color="606060"/>
    </w:rPr>
  </w:style>
  <w:style w:type="character" w:customStyle="1" w:styleId="EntInstitChar">
    <w:name w:val="EntInstit Char"/>
    <w:basedOn w:val="DefaultParagraphFont"/>
    <w:link w:val="TBEntInstit"/>
    <w:rsid w:val="0025423B"/>
    <w:rPr>
      <w:rFonts w:ascii="Arial" w:hAnsi="Arial" w:cs="Arial"/>
      <w:b/>
      <w:sz w:val="23"/>
      <w:u w:color="606060"/>
    </w:rPr>
  </w:style>
  <w:style w:type="character" w:customStyle="1" w:styleId="TechnicalBlockBaseChar">
    <w:name w:val="TechnicalBlockBase Char"/>
    <w:basedOn w:val="EntInstitChar"/>
    <w:link w:val="TechnicalBlockBase"/>
    <w:rsid w:val="0025423B"/>
    <w:rPr>
      <w:rFonts w:ascii="Arial New Roman" w:hAnsi="Arial New Roman" w:cs="Arial"/>
      <w:b/>
      <w:i/>
      <w:dstrike/>
      <w:color w:val="606060"/>
      <w:sz w:val="10"/>
      <w:u w:val="words" w:color="606060"/>
    </w:rPr>
  </w:style>
  <w:style w:type="paragraph" w:customStyle="1" w:styleId="EntACP">
    <w:name w:val="EntACP"/>
    <w:basedOn w:val="Normal"/>
    <w:rsid w:val="0025423B"/>
    <w:pPr>
      <w:spacing w:after="200"/>
      <w:jc w:val="center"/>
    </w:pPr>
    <w:rPr>
      <w:rFonts w:ascii="Calibri" w:hAnsi="Calibri" w:cs="Arial"/>
      <w:b/>
      <w:bCs/>
      <w:sz w:val="28"/>
      <w:szCs w:val="28"/>
    </w:rPr>
  </w:style>
  <w:style w:type="paragraph" w:customStyle="1" w:styleId="EntASSOC">
    <w:name w:val="EntASSOC"/>
    <w:basedOn w:val="Normal"/>
    <w:rsid w:val="0025423B"/>
    <w:pPr>
      <w:spacing w:after="200" w:line="276" w:lineRule="auto"/>
      <w:jc w:val="center"/>
    </w:pPr>
    <w:rPr>
      <w:rFonts w:ascii="Calibri" w:hAnsi="Calibri" w:cs="Arial"/>
      <w:b/>
      <w:bCs/>
    </w:rPr>
  </w:style>
  <w:style w:type="paragraph" w:customStyle="1" w:styleId="EntEU">
    <w:name w:val="EntEU"/>
    <w:basedOn w:val="Normal"/>
    <w:rsid w:val="0025423B"/>
    <w:pPr>
      <w:spacing w:before="240" w:after="240" w:line="276" w:lineRule="auto"/>
      <w:jc w:val="center"/>
    </w:pPr>
    <w:rPr>
      <w:rFonts w:ascii="Calibri" w:hAnsi="Calibri" w:cs="Arial"/>
      <w:b/>
      <w:bCs/>
      <w:sz w:val="36"/>
      <w:szCs w:val="36"/>
    </w:rPr>
  </w:style>
  <w:style w:type="paragraph" w:customStyle="1" w:styleId="EntInstitACP">
    <w:name w:val="EntInstitACP"/>
    <w:basedOn w:val="Normal"/>
    <w:rsid w:val="0025423B"/>
    <w:pPr>
      <w:spacing w:after="200" w:line="276" w:lineRule="auto"/>
      <w:jc w:val="center"/>
    </w:pPr>
    <w:rPr>
      <w:rFonts w:ascii="Calibri" w:hAnsi="Calibri" w:cs="Arial"/>
      <w:b/>
      <w:bCs/>
    </w:rPr>
  </w:style>
  <w:style w:type="paragraph" w:customStyle="1" w:styleId="EntReferNew">
    <w:name w:val="EntReferNew"/>
    <w:basedOn w:val="EntRefer"/>
    <w:rsid w:val="0025423B"/>
    <w:pPr>
      <w:spacing w:after="200" w:line="276" w:lineRule="auto"/>
      <w:jc w:val="center"/>
    </w:pPr>
    <w:rPr>
      <w:rFonts w:ascii="Calibri" w:hAnsi="Calibri" w:cs="Arial"/>
      <w:bCs/>
    </w:rPr>
  </w:style>
  <w:style w:type="paragraph" w:customStyle="1" w:styleId="TBSubjectTable">
    <w:name w:val="TBSubjectTable"/>
    <w:basedOn w:val="TechnicalBlockBase"/>
    <w:rsid w:val="0025423B"/>
    <w:pPr>
      <w:widowControl/>
      <w:spacing w:before="40" w:after="40" w:line="240" w:lineRule="auto"/>
      <w:ind w:left="0" w:right="0"/>
    </w:pPr>
    <w:rPr>
      <w:rFonts w:ascii="Arial" w:hAnsi="Arial"/>
      <w:b w:val="0"/>
      <w:i w:val="0"/>
      <w:dstrike w:val="0"/>
      <w:color w:val="auto"/>
      <w:sz w:val="23"/>
      <w:u w:val="none"/>
    </w:rPr>
  </w:style>
  <w:style w:type="paragraph" w:customStyle="1" w:styleId="TBDocumentGroup">
    <w:name w:val="TBDocumentGroup"/>
    <w:basedOn w:val="TechnicalBlockBase"/>
    <w:rsid w:val="0025423B"/>
    <w:pPr>
      <w:widowControl/>
      <w:spacing w:before="560" w:after="480" w:line="240" w:lineRule="auto"/>
      <w:ind w:left="0" w:right="0"/>
      <w:jc w:val="center"/>
    </w:pPr>
    <w:rPr>
      <w:rFonts w:ascii="Arial" w:hAnsi="Arial"/>
      <w:i w:val="0"/>
      <w:caps/>
      <w:dstrike w:val="0"/>
      <w:color w:val="auto"/>
      <w:sz w:val="23"/>
      <w:u w:val="single"/>
    </w:rPr>
  </w:style>
  <w:style w:type="paragraph" w:customStyle="1" w:styleId="TBHeadingTable">
    <w:name w:val="TBHeadingTable"/>
    <w:basedOn w:val="TechnicalBlockBase"/>
    <w:rsid w:val="0025423B"/>
    <w:pPr>
      <w:widowControl/>
      <w:spacing w:before="240" w:after="40" w:line="240" w:lineRule="auto"/>
      <w:ind w:left="0" w:right="0"/>
    </w:pPr>
    <w:rPr>
      <w:rFonts w:ascii="Arial" w:hAnsi="Arial"/>
      <w:i w:val="0"/>
      <w:dstrike w:val="0"/>
      <w:color w:val="auto"/>
      <w:sz w:val="23"/>
      <w:u w:val="none"/>
    </w:rPr>
  </w:style>
  <w:style w:type="paragraph" w:customStyle="1" w:styleId="TBSubjectBold">
    <w:name w:val="TBSubjectBold"/>
    <w:basedOn w:val="TechnicalBlockBase"/>
    <w:rsid w:val="0025423B"/>
    <w:pPr>
      <w:widowControl/>
      <w:spacing w:before="0" w:after="0" w:line="360" w:lineRule="auto"/>
      <w:ind w:left="0" w:right="0"/>
      <w:jc w:val="center"/>
    </w:pPr>
    <w:rPr>
      <w:rFonts w:ascii="Arial" w:hAnsi="Arial"/>
      <w:i w:val="0"/>
      <w:dstrike w:val="0"/>
      <w:color w:val="auto"/>
      <w:sz w:val="23"/>
      <w:u w:val="none"/>
    </w:rPr>
  </w:style>
  <w:style w:type="paragraph" w:customStyle="1" w:styleId="TBSubjectText">
    <w:name w:val="TBSubjectText"/>
    <w:basedOn w:val="TechnicalBlockBase"/>
    <w:rsid w:val="0025423B"/>
    <w:pPr>
      <w:widowControl/>
      <w:spacing w:before="40" w:after="40" w:line="240" w:lineRule="auto"/>
      <w:ind w:left="0" w:right="0"/>
    </w:pPr>
    <w:rPr>
      <w:rFonts w:ascii="Arial" w:hAnsi="Arial"/>
      <w:b w:val="0"/>
      <w:i w:val="0"/>
      <w:dstrike w:val="0"/>
      <w:color w:val="auto"/>
      <w:sz w:val="23"/>
      <w:u w:val="none"/>
    </w:rPr>
  </w:style>
  <w:style w:type="paragraph" w:customStyle="1" w:styleId="CommentText1">
    <w:name w:val="Comment Text1"/>
    <w:basedOn w:val="Normal"/>
    <w:next w:val="CommentText"/>
    <w:uiPriority w:val="99"/>
    <w:unhideWhenUsed/>
    <w:rsid w:val="0025423B"/>
    <w:pPr>
      <w:spacing w:line="240" w:lineRule="auto"/>
      <w:jc w:val="both"/>
    </w:pPr>
    <w:rPr>
      <w:sz w:val="20"/>
      <w:szCs w:val="20"/>
    </w:rPr>
  </w:style>
  <w:style w:type="paragraph" w:customStyle="1" w:styleId="b11">
    <w:name w:val="b11"/>
    <w:basedOn w:val="Normal"/>
    <w:next w:val="ListParagraph"/>
    <w:uiPriority w:val="34"/>
    <w:rsid w:val="0025423B"/>
    <w:pPr>
      <w:spacing w:after="200" w:line="276" w:lineRule="auto"/>
      <w:ind w:left="720"/>
      <w:contextualSpacing/>
    </w:pPr>
    <w:rPr>
      <w:rFonts w:eastAsia="Times New Roman" w:cs="Arial"/>
    </w:rPr>
  </w:style>
  <w:style w:type="paragraph" w:customStyle="1" w:styleId="BalloonText1">
    <w:name w:val="Balloon Text1"/>
    <w:basedOn w:val="Normal"/>
    <w:next w:val="BalloonText"/>
    <w:uiPriority w:val="99"/>
    <w:semiHidden/>
    <w:unhideWhenUsed/>
    <w:rsid w:val="0025423B"/>
    <w:pPr>
      <w:spacing w:after="0" w:line="240" w:lineRule="auto"/>
    </w:pPr>
    <w:rPr>
      <w:rFonts w:ascii="Segoe UI" w:hAnsi="Segoe UI" w:cs="Segoe UI"/>
      <w:sz w:val="18"/>
      <w:szCs w:val="18"/>
    </w:rPr>
  </w:style>
  <w:style w:type="paragraph" w:customStyle="1" w:styleId="CommentSubject1">
    <w:name w:val="Comment Subject1"/>
    <w:basedOn w:val="CommentText"/>
    <w:next w:val="CommentText"/>
    <w:uiPriority w:val="99"/>
    <w:semiHidden/>
    <w:unhideWhenUsed/>
    <w:rsid w:val="0025423B"/>
    <w:pPr>
      <w:spacing w:after="200"/>
      <w:jc w:val="left"/>
    </w:pPr>
    <w:rPr>
      <w:rFonts w:ascii="Calibri" w:hAnsi="Calibri" w:cs="Arial"/>
      <w:b/>
      <w:bCs/>
    </w:rPr>
  </w:style>
  <w:style w:type="paragraph" w:customStyle="1" w:styleId="Revision1">
    <w:name w:val="Revision1"/>
    <w:next w:val="Revision"/>
    <w:hidden/>
    <w:uiPriority w:val="99"/>
    <w:semiHidden/>
    <w:rsid w:val="0025423B"/>
    <w:pPr>
      <w:spacing w:after="0" w:line="240" w:lineRule="auto"/>
    </w:pPr>
  </w:style>
  <w:style w:type="character" w:customStyle="1" w:styleId="IntenseEmphasis1">
    <w:name w:val="Intense Emphasis1"/>
    <w:basedOn w:val="DefaultParagraphFont"/>
    <w:uiPriority w:val="21"/>
    <w:rsid w:val="0025423B"/>
    <w:rPr>
      <w:i/>
      <w:iCs/>
      <w:color w:val="4472C4"/>
    </w:rPr>
  </w:style>
  <w:style w:type="character" w:customStyle="1" w:styleId="Hyperlink1">
    <w:name w:val="Hyperlink1"/>
    <w:basedOn w:val="DefaultParagraphFont"/>
    <w:uiPriority w:val="99"/>
    <w:unhideWhenUsed/>
    <w:rsid w:val="0025423B"/>
    <w:rPr>
      <w:color w:val="0563C1"/>
      <w:u w:val="single"/>
    </w:rPr>
  </w:style>
  <w:style w:type="paragraph" w:customStyle="1" w:styleId="NormalWeb1">
    <w:name w:val="Normal (Web)1"/>
    <w:basedOn w:val="Normal"/>
    <w:next w:val="NormalWeb"/>
    <w:uiPriority w:val="99"/>
    <w:unhideWhenUsed/>
    <w:rsid w:val="0025423B"/>
    <w:pPr>
      <w:spacing w:after="0" w:line="240" w:lineRule="auto"/>
    </w:pPr>
    <w:rPr>
      <w:szCs w:val="24"/>
    </w:rPr>
  </w:style>
  <w:style w:type="paragraph" w:customStyle="1" w:styleId="TOCHeading1">
    <w:name w:val="TOC Heading1"/>
    <w:basedOn w:val="Heading1"/>
    <w:next w:val="Normal"/>
    <w:uiPriority w:val="39"/>
    <w:unhideWhenUsed/>
    <w:rsid w:val="0025423B"/>
    <w:pPr>
      <w:spacing w:line="259" w:lineRule="auto"/>
      <w:outlineLvl w:val="9"/>
    </w:pPr>
    <w:rPr>
      <w:szCs w:val="32"/>
    </w:rPr>
  </w:style>
  <w:style w:type="paragraph" w:customStyle="1" w:styleId="TOC11">
    <w:name w:val="TOC 11"/>
    <w:basedOn w:val="Normal"/>
    <w:next w:val="Normal"/>
    <w:autoRedefine/>
    <w:uiPriority w:val="39"/>
    <w:unhideWhenUsed/>
    <w:rsid w:val="0025423B"/>
    <w:pPr>
      <w:spacing w:after="100" w:line="240" w:lineRule="auto"/>
    </w:pPr>
    <w:rPr>
      <w:rFonts w:cs="Arial"/>
    </w:rPr>
  </w:style>
  <w:style w:type="paragraph" w:customStyle="1" w:styleId="TOC21">
    <w:name w:val="TOC 21"/>
    <w:basedOn w:val="Normal"/>
    <w:next w:val="Normal"/>
    <w:uiPriority w:val="39"/>
    <w:semiHidden/>
    <w:unhideWhenUsed/>
    <w:rsid w:val="0025423B"/>
    <w:pPr>
      <w:tabs>
        <w:tab w:val="right" w:leader="dot" w:pos="9071"/>
      </w:tabs>
      <w:spacing w:before="60" w:line="240" w:lineRule="auto"/>
      <w:ind w:left="850" w:hanging="850"/>
    </w:pPr>
  </w:style>
  <w:style w:type="paragraph" w:customStyle="1" w:styleId="TOC31">
    <w:name w:val="TOC 31"/>
    <w:basedOn w:val="Normal"/>
    <w:next w:val="Normal"/>
    <w:uiPriority w:val="39"/>
    <w:semiHidden/>
    <w:unhideWhenUsed/>
    <w:rsid w:val="0025423B"/>
    <w:pPr>
      <w:tabs>
        <w:tab w:val="right" w:leader="dot" w:pos="9071"/>
      </w:tabs>
      <w:spacing w:before="60" w:line="240" w:lineRule="auto"/>
      <w:ind w:left="850" w:hanging="850"/>
    </w:pPr>
  </w:style>
  <w:style w:type="paragraph" w:customStyle="1" w:styleId="TOC41">
    <w:name w:val="TOC 41"/>
    <w:basedOn w:val="Normal"/>
    <w:next w:val="Normal"/>
    <w:uiPriority w:val="39"/>
    <w:semiHidden/>
    <w:unhideWhenUsed/>
    <w:rsid w:val="0025423B"/>
    <w:pPr>
      <w:tabs>
        <w:tab w:val="right" w:leader="dot" w:pos="9071"/>
      </w:tabs>
      <w:spacing w:before="60" w:line="240" w:lineRule="auto"/>
      <w:ind w:left="850" w:hanging="850"/>
    </w:pPr>
  </w:style>
  <w:style w:type="paragraph" w:customStyle="1" w:styleId="TOC51">
    <w:name w:val="TOC 51"/>
    <w:basedOn w:val="Normal"/>
    <w:next w:val="Normal"/>
    <w:uiPriority w:val="39"/>
    <w:semiHidden/>
    <w:unhideWhenUsed/>
    <w:rsid w:val="0025423B"/>
    <w:pPr>
      <w:tabs>
        <w:tab w:val="right" w:leader="dot" w:pos="9071"/>
      </w:tabs>
      <w:spacing w:before="300" w:line="240" w:lineRule="auto"/>
    </w:pPr>
  </w:style>
  <w:style w:type="paragraph" w:customStyle="1" w:styleId="TOC61">
    <w:name w:val="TOC 61"/>
    <w:basedOn w:val="Normal"/>
    <w:next w:val="Normal"/>
    <w:uiPriority w:val="39"/>
    <w:semiHidden/>
    <w:unhideWhenUsed/>
    <w:rsid w:val="0025423B"/>
    <w:pPr>
      <w:tabs>
        <w:tab w:val="right" w:leader="dot" w:pos="9071"/>
      </w:tabs>
      <w:spacing w:before="240" w:line="240" w:lineRule="auto"/>
    </w:pPr>
  </w:style>
  <w:style w:type="paragraph" w:customStyle="1" w:styleId="TOC71">
    <w:name w:val="TOC 71"/>
    <w:basedOn w:val="Normal"/>
    <w:next w:val="Normal"/>
    <w:uiPriority w:val="39"/>
    <w:semiHidden/>
    <w:unhideWhenUsed/>
    <w:rsid w:val="0025423B"/>
    <w:pPr>
      <w:tabs>
        <w:tab w:val="right" w:leader="dot" w:pos="9071"/>
      </w:tabs>
      <w:spacing w:before="180" w:line="240" w:lineRule="auto"/>
    </w:pPr>
  </w:style>
  <w:style w:type="paragraph" w:customStyle="1" w:styleId="TOC81">
    <w:name w:val="TOC 81"/>
    <w:basedOn w:val="Normal"/>
    <w:next w:val="Normal"/>
    <w:uiPriority w:val="39"/>
    <w:semiHidden/>
    <w:unhideWhenUsed/>
    <w:rsid w:val="0025423B"/>
    <w:pPr>
      <w:tabs>
        <w:tab w:val="right" w:leader="dot" w:pos="9071"/>
      </w:tabs>
      <w:spacing w:line="240" w:lineRule="auto"/>
    </w:pPr>
  </w:style>
  <w:style w:type="paragraph" w:customStyle="1" w:styleId="TOC91">
    <w:name w:val="TOC 91"/>
    <w:basedOn w:val="Normal"/>
    <w:next w:val="Normal"/>
    <w:uiPriority w:val="39"/>
    <w:semiHidden/>
    <w:unhideWhenUsed/>
    <w:rsid w:val="0025423B"/>
    <w:pPr>
      <w:tabs>
        <w:tab w:val="right" w:leader="dot" w:pos="9071"/>
      </w:tabs>
      <w:spacing w:line="240" w:lineRule="auto"/>
      <w:ind w:left="1417" w:hanging="1417"/>
    </w:pPr>
  </w:style>
  <w:style w:type="paragraph" w:customStyle="1" w:styleId="ListBullet21">
    <w:name w:val="List Bullet 21"/>
    <w:basedOn w:val="Normal"/>
    <w:next w:val="ListBullet2"/>
    <w:uiPriority w:val="99"/>
    <w:semiHidden/>
    <w:unhideWhenUsed/>
    <w:rsid w:val="0025423B"/>
    <w:pPr>
      <w:tabs>
        <w:tab w:val="num" w:pos="643"/>
      </w:tabs>
      <w:spacing w:line="240" w:lineRule="auto"/>
      <w:ind w:left="720" w:hanging="360"/>
      <w:contextualSpacing/>
      <w:jc w:val="both"/>
    </w:pPr>
  </w:style>
  <w:style w:type="paragraph" w:customStyle="1" w:styleId="ListBullet31">
    <w:name w:val="List Bullet 31"/>
    <w:basedOn w:val="Normal"/>
    <w:next w:val="ListBullet3"/>
    <w:uiPriority w:val="99"/>
    <w:semiHidden/>
    <w:unhideWhenUsed/>
    <w:rsid w:val="0025423B"/>
    <w:pPr>
      <w:tabs>
        <w:tab w:val="num" w:pos="850"/>
        <w:tab w:val="num" w:pos="926"/>
      </w:tabs>
      <w:spacing w:line="240" w:lineRule="auto"/>
      <w:ind w:left="850" w:hanging="850"/>
      <w:contextualSpacing/>
      <w:jc w:val="both"/>
    </w:pPr>
  </w:style>
  <w:style w:type="paragraph" w:customStyle="1" w:styleId="ListBullet41">
    <w:name w:val="List Bullet 41"/>
    <w:basedOn w:val="Normal"/>
    <w:next w:val="ListBullet4"/>
    <w:uiPriority w:val="99"/>
    <w:semiHidden/>
    <w:unhideWhenUsed/>
    <w:rsid w:val="0025423B"/>
    <w:pPr>
      <w:tabs>
        <w:tab w:val="num" w:pos="1209"/>
      </w:tabs>
      <w:spacing w:line="240" w:lineRule="auto"/>
      <w:ind w:left="1440" w:hanging="720"/>
      <w:contextualSpacing/>
      <w:jc w:val="both"/>
    </w:pPr>
  </w:style>
  <w:style w:type="table" w:customStyle="1" w:styleId="TableGrid11">
    <w:name w:val="Table Grid11"/>
    <w:basedOn w:val="TableNormal"/>
    <w:next w:val="TableGrid"/>
    <w:uiPriority w:val="59"/>
    <w:rsid w:val="0025423B"/>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dnoteText">
    <w:name w:val="endnote text"/>
    <w:basedOn w:val="Normal"/>
    <w:link w:val="EndnoteTextChar1"/>
    <w:uiPriority w:val="99"/>
    <w:semiHidden/>
    <w:unhideWhenUsed/>
    <w:rsid w:val="0025423B"/>
    <w:pPr>
      <w:spacing w:after="0" w:line="240" w:lineRule="auto"/>
    </w:pPr>
    <w:rPr>
      <w:sz w:val="20"/>
      <w:szCs w:val="20"/>
    </w:rPr>
  </w:style>
  <w:style w:type="character" w:customStyle="1" w:styleId="EndnoteTextChar1">
    <w:name w:val="Endnote Text Char1"/>
    <w:basedOn w:val="DefaultParagraphFont"/>
    <w:link w:val="EndnoteText"/>
    <w:uiPriority w:val="99"/>
    <w:semiHidden/>
    <w:rsid w:val="0025423B"/>
    <w:rPr>
      <w:sz w:val="20"/>
      <w:szCs w:val="20"/>
    </w:rPr>
  </w:style>
  <w:style w:type="paragraph" w:styleId="BlockText">
    <w:name w:val="Block Text"/>
    <w:basedOn w:val="Normal"/>
    <w:uiPriority w:val="99"/>
    <w:semiHidden/>
    <w:unhideWhenUsed/>
    <w:rsid w:val="0025423B"/>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i/>
      <w:iCs/>
      <w:color w:val="4472C4" w:themeColor="accent1"/>
    </w:rPr>
  </w:style>
  <w:style w:type="paragraph" w:styleId="BodyText">
    <w:name w:val="Body Text"/>
    <w:basedOn w:val="Normal"/>
    <w:link w:val="BodyTextChar1"/>
    <w:uiPriority w:val="99"/>
    <w:semiHidden/>
    <w:unhideWhenUsed/>
    <w:rsid w:val="0025423B"/>
  </w:style>
  <w:style w:type="character" w:customStyle="1" w:styleId="BodyTextChar1">
    <w:name w:val="Body Text Char1"/>
    <w:basedOn w:val="DefaultParagraphFont"/>
    <w:link w:val="BodyText"/>
    <w:uiPriority w:val="99"/>
    <w:semiHidden/>
    <w:rsid w:val="0025423B"/>
    <w:rPr>
      <w:rFonts w:ascii="Times New Roman" w:hAnsi="Times New Roman" w:cs="Times New Roman"/>
      <w:sz w:val="24"/>
    </w:rPr>
  </w:style>
  <w:style w:type="paragraph" w:styleId="BodyText2">
    <w:name w:val="Body Text 2"/>
    <w:basedOn w:val="Normal"/>
    <w:link w:val="BodyText2Char1"/>
    <w:uiPriority w:val="99"/>
    <w:semiHidden/>
    <w:unhideWhenUsed/>
    <w:rsid w:val="0025423B"/>
    <w:pPr>
      <w:spacing w:line="480" w:lineRule="auto"/>
    </w:pPr>
  </w:style>
  <w:style w:type="character" w:customStyle="1" w:styleId="BodyText2Char1">
    <w:name w:val="Body Text 2 Char1"/>
    <w:basedOn w:val="DefaultParagraphFont"/>
    <w:link w:val="BodyText2"/>
    <w:uiPriority w:val="99"/>
    <w:semiHidden/>
    <w:rsid w:val="0025423B"/>
    <w:rPr>
      <w:rFonts w:ascii="Times New Roman" w:hAnsi="Times New Roman" w:cs="Times New Roman"/>
      <w:sz w:val="24"/>
    </w:rPr>
  </w:style>
  <w:style w:type="paragraph" w:styleId="BodyText3">
    <w:name w:val="Body Text 3"/>
    <w:basedOn w:val="Normal"/>
    <w:link w:val="BodyText3Char1"/>
    <w:uiPriority w:val="99"/>
    <w:semiHidden/>
    <w:unhideWhenUsed/>
    <w:rsid w:val="0025423B"/>
    <w:rPr>
      <w:sz w:val="16"/>
      <w:szCs w:val="16"/>
    </w:rPr>
  </w:style>
  <w:style w:type="character" w:customStyle="1" w:styleId="BodyText3Char1">
    <w:name w:val="Body Text 3 Char1"/>
    <w:basedOn w:val="DefaultParagraphFont"/>
    <w:link w:val="BodyText3"/>
    <w:uiPriority w:val="99"/>
    <w:semiHidden/>
    <w:rsid w:val="0025423B"/>
    <w:rPr>
      <w:rFonts w:ascii="Times New Roman" w:hAnsi="Times New Roman" w:cs="Times New Roman"/>
      <w:sz w:val="16"/>
      <w:szCs w:val="16"/>
    </w:rPr>
  </w:style>
  <w:style w:type="paragraph" w:styleId="BodyTextFirstIndent">
    <w:name w:val="Body Text First Indent"/>
    <w:basedOn w:val="BodyText"/>
    <w:link w:val="BodyTextFirstIndentChar1"/>
    <w:uiPriority w:val="99"/>
    <w:semiHidden/>
    <w:unhideWhenUsed/>
    <w:rsid w:val="0025423B"/>
    <w:pPr>
      <w:ind w:firstLine="360"/>
    </w:pPr>
  </w:style>
  <w:style w:type="character" w:customStyle="1" w:styleId="BodyTextFirstIndentChar1">
    <w:name w:val="Body Text First Indent Char1"/>
    <w:basedOn w:val="BodyTextChar1"/>
    <w:link w:val="BodyTextFirstIndent"/>
    <w:uiPriority w:val="99"/>
    <w:semiHidden/>
    <w:rsid w:val="0025423B"/>
    <w:rPr>
      <w:rFonts w:ascii="Times New Roman" w:hAnsi="Times New Roman" w:cs="Times New Roman"/>
      <w:sz w:val="24"/>
    </w:rPr>
  </w:style>
  <w:style w:type="paragraph" w:styleId="BodyTextIndent">
    <w:name w:val="Body Text Indent"/>
    <w:basedOn w:val="Normal"/>
    <w:link w:val="BodyTextIndentChar1"/>
    <w:uiPriority w:val="99"/>
    <w:semiHidden/>
    <w:unhideWhenUsed/>
    <w:rsid w:val="0025423B"/>
    <w:pPr>
      <w:ind w:left="283"/>
    </w:pPr>
  </w:style>
  <w:style w:type="character" w:customStyle="1" w:styleId="BodyTextIndentChar1">
    <w:name w:val="Body Text Indent Char1"/>
    <w:basedOn w:val="DefaultParagraphFont"/>
    <w:link w:val="BodyTextIndent"/>
    <w:uiPriority w:val="99"/>
    <w:semiHidden/>
    <w:rsid w:val="0025423B"/>
    <w:rPr>
      <w:rFonts w:ascii="Times New Roman" w:hAnsi="Times New Roman" w:cs="Times New Roman"/>
      <w:sz w:val="24"/>
    </w:rPr>
  </w:style>
  <w:style w:type="paragraph" w:styleId="BodyTextFirstIndent2">
    <w:name w:val="Body Text First Indent 2"/>
    <w:basedOn w:val="BodyTextIndent"/>
    <w:link w:val="BodyTextFirstIndent2Char1"/>
    <w:uiPriority w:val="99"/>
    <w:semiHidden/>
    <w:unhideWhenUsed/>
    <w:rsid w:val="0025423B"/>
    <w:pPr>
      <w:ind w:left="360" w:firstLine="360"/>
    </w:pPr>
  </w:style>
  <w:style w:type="character" w:customStyle="1" w:styleId="BodyTextFirstIndent2Char1">
    <w:name w:val="Body Text First Indent 2 Char1"/>
    <w:basedOn w:val="BodyTextIndentChar1"/>
    <w:link w:val="BodyTextFirstIndent2"/>
    <w:uiPriority w:val="99"/>
    <w:semiHidden/>
    <w:rsid w:val="0025423B"/>
    <w:rPr>
      <w:rFonts w:ascii="Times New Roman" w:hAnsi="Times New Roman" w:cs="Times New Roman"/>
      <w:sz w:val="24"/>
    </w:rPr>
  </w:style>
  <w:style w:type="paragraph" w:styleId="BodyTextIndent2">
    <w:name w:val="Body Text Indent 2"/>
    <w:basedOn w:val="Normal"/>
    <w:link w:val="BodyTextIndent2Char1"/>
    <w:uiPriority w:val="99"/>
    <w:semiHidden/>
    <w:unhideWhenUsed/>
    <w:rsid w:val="0025423B"/>
    <w:pPr>
      <w:spacing w:line="480" w:lineRule="auto"/>
      <w:ind w:left="283"/>
    </w:pPr>
  </w:style>
  <w:style w:type="character" w:customStyle="1" w:styleId="BodyTextIndent2Char1">
    <w:name w:val="Body Text Indent 2 Char1"/>
    <w:basedOn w:val="DefaultParagraphFont"/>
    <w:link w:val="BodyTextIndent2"/>
    <w:uiPriority w:val="99"/>
    <w:semiHidden/>
    <w:rsid w:val="0025423B"/>
    <w:rPr>
      <w:rFonts w:ascii="Times New Roman" w:hAnsi="Times New Roman" w:cs="Times New Roman"/>
      <w:sz w:val="24"/>
    </w:rPr>
  </w:style>
  <w:style w:type="paragraph" w:styleId="BodyTextIndent3">
    <w:name w:val="Body Text Indent 3"/>
    <w:basedOn w:val="Normal"/>
    <w:link w:val="BodyTextIndent3Char1"/>
    <w:uiPriority w:val="99"/>
    <w:semiHidden/>
    <w:unhideWhenUsed/>
    <w:rsid w:val="0025423B"/>
    <w:pPr>
      <w:ind w:left="283"/>
    </w:pPr>
    <w:rPr>
      <w:sz w:val="16"/>
      <w:szCs w:val="16"/>
    </w:rPr>
  </w:style>
  <w:style w:type="character" w:customStyle="1" w:styleId="BodyTextIndent3Char1">
    <w:name w:val="Body Text Indent 3 Char1"/>
    <w:basedOn w:val="DefaultParagraphFont"/>
    <w:link w:val="BodyTextIndent3"/>
    <w:uiPriority w:val="99"/>
    <w:semiHidden/>
    <w:rsid w:val="0025423B"/>
    <w:rPr>
      <w:rFonts w:ascii="Times New Roman" w:hAnsi="Times New Roman" w:cs="Times New Roman"/>
      <w:sz w:val="16"/>
      <w:szCs w:val="16"/>
    </w:rPr>
  </w:style>
  <w:style w:type="paragraph" w:styleId="Closing">
    <w:name w:val="Closing"/>
    <w:basedOn w:val="Normal"/>
    <w:link w:val="ClosingChar1"/>
    <w:uiPriority w:val="99"/>
    <w:semiHidden/>
    <w:unhideWhenUsed/>
    <w:rsid w:val="0025423B"/>
    <w:pPr>
      <w:spacing w:after="0" w:line="240" w:lineRule="auto"/>
      <w:ind w:left="4252"/>
    </w:pPr>
  </w:style>
  <w:style w:type="character" w:customStyle="1" w:styleId="ClosingChar1">
    <w:name w:val="Closing Char1"/>
    <w:basedOn w:val="DefaultParagraphFont"/>
    <w:link w:val="Closing"/>
    <w:uiPriority w:val="99"/>
    <w:semiHidden/>
    <w:rsid w:val="0025423B"/>
  </w:style>
  <w:style w:type="table" w:styleId="ColorfulGrid">
    <w:name w:val="Colorful Grid"/>
    <w:basedOn w:val="TableNormal"/>
    <w:uiPriority w:val="73"/>
    <w:semiHidden/>
    <w:unhideWhenUsed/>
    <w:rsid w:val="0025423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5423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25423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25423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25423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25423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25423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25423B"/>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5423B"/>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25423B"/>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25423B"/>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25423B"/>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25423B"/>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25423B"/>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25423B"/>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5423B"/>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5423B"/>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5423B"/>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25423B"/>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5423B"/>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5423B"/>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5423B"/>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5423B"/>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25423B"/>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25423B"/>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25423B"/>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25423B"/>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25423B"/>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25423B"/>
  </w:style>
  <w:style w:type="character" w:customStyle="1" w:styleId="DateChar1">
    <w:name w:val="Date Char1"/>
    <w:basedOn w:val="DefaultParagraphFont"/>
    <w:uiPriority w:val="99"/>
    <w:semiHidden/>
    <w:rsid w:val="0025423B"/>
    <w:rPr>
      <w:rFonts w:ascii="Times New Roman" w:hAnsi="Times New Roman" w:cs="Times New Roman"/>
      <w:sz w:val="24"/>
    </w:rPr>
  </w:style>
  <w:style w:type="paragraph" w:styleId="DocumentMap">
    <w:name w:val="Document Map"/>
    <w:basedOn w:val="Normal"/>
    <w:link w:val="DocumentMapChar1"/>
    <w:uiPriority w:val="99"/>
    <w:semiHidden/>
    <w:unhideWhenUsed/>
    <w:rsid w:val="0025423B"/>
    <w:pPr>
      <w:spacing w:after="0" w:line="240" w:lineRule="auto"/>
    </w:pPr>
    <w:rPr>
      <w:rFonts w:ascii="Segoe UI" w:hAnsi="Segoe UI" w:cs="Segoe UI"/>
      <w:sz w:val="16"/>
      <w:szCs w:val="16"/>
    </w:rPr>
  </w:style>
  <w:style w:type="character" w:customStyle="1" w:styleId="DocumentMapChar1">
    <w:name w:val="Document Map Char1"/>
    <w:basedOn w:val="DefaultParagraphFont"/>
    <w:link w:val="DocumentMap"/>
    <w:uiPriority w:val="99"/>
    <w:semiHidden/>
    <w:rsid w:val="0025423B"/>
    <w:rPr>
      <w:rFonts w:ascii="Segoe UI" w:hAnsi="Segoe UI" w:cs="Segoe UI"/>
      <w:sz w:val="16"/>
      <w:szCs w:val="16"/>
    </w:rPr>
  </w:style>
  <w:style w:type="paragraph" w:styleId="E-mailSignature">
    <w:name w:val="E-mail Signature"/>
    <w:basedOn w:val="Normal"/>
    <w:link w:val="E-mailSignatureChar1"/>
    <w:uiPriority w:val="99"/>
    <w:semiHidden/>
    <w:unhideWhenUsed/>
    <w:rsid w:val="0025423B"/>
    <w:pPr>
      <w:spacing w:after="0" w:line="240" w:lineRule="auto"/>
    </w:pPr>
  </w:style>
  <w:style w:type="character" w:customStyle="1" w:styleId="E-mailSignatureChar1">
    <w:name w:val="E-mail Signature Char1"/>
    <w:basedOn w:val="DefaultParagraphFont"/>
    <w:link w:val="E-mailSignature"/>
    <w:uiPriority w:val="99"/>
    <w:semiHidden/>
    <w:rsid w:val="0025423B"/>
  </w:style>
  <w:style w:type="paragraph" w:styleId="EnvelopeAddress">
    <w:name w:val="envelope address"/>
    <w:basedOn w:val="Normal"/>
    <w:uiPriority w:val="99"/>
    <w:semiHidden/>
    <w:unhideWhenUsed/>
    <w:rsid w:val="0025423B"/>
    <w:pPr>
      <w:framePr w:w="7938" w:h="1985" w:hRule="exact" w:hSpace="141" w:wrap="auto" w:hAnchor="page" w:xAlign="center" w:yAlign="bottom"/>
      <w:spacing w:after="0" w:line="240" w:lineRule="auto"/>
      <w:ind w:left="2835"/>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25423B"/>
    <w:pPr>
      <w:spacing w:after="0" w:line="240" w:lineRule="auto"/>
    </w:pPr>
    <w:rPr>
      <w:rFonts w:asciiTheme="majorHAnsi" w:eastAsiaTheme="majorEastAsia" w:hAnsiTheme="majorHAnsi" w:cstheme="majorBidi"/>
      <w:sz w:val="20"/>
      <w:szCs w:val="20"/>
    </w:rPr>
  </w:style>
  <w:style w:type="paragraph" w:styleId="HTMLAddress">
    <w:name w:val="HTML Address"/>
    <w:basedOn w:val="Normal"/>
    <w:link w:val="HTMLAddressChar1"/>
    <w:uiPriority w:val="99"/>
    <w:semiHidden/>
    <w:unhideWhenUsed/>
    <w:rsid w:val="0025423B"/>
    <w:pPr>
      <w:spacing w:after="0" w:line="240" w:lineRule="auto"/>
    </w:pPr>
    <w:rPr>
      <w:i/>
      <w:iCs/>
    </w:rPr>
  </w:style>
  <w:style w:type="character" w:customStyle="1" w:styleId="HTMLAddressChar1">
    <w:name w:val="HTML Address Char1"/>
    <w:basedOn w:val="DefaultParagraphFont"/>
    <w:link w:val="HTMLAddress"/>
    <w:uiPriority w:val="99"/>
    <w:semiHidden/>
    <w:rsid w:val="0025423B"/>
    <w:rPr>
      <w:i/>
      <w:iCs/>
    </w:rPr>
  </w:style>
  <w:style w:type="paragraph" w:styleId="HTMLPreformatted">
    <w:name w:val="HTML Preformatted"/>
    <w:basedOn w:val="Normal"/>
    <w:link w:val="HTMLPreformattedChar1"/>
    <w:uiPriority w:val="99"/>
    <w:semiHidden/>
    <w:unhideWhenUsed/>
    <w:rsid w:val="0025423B"/>
    <w:pPr>
      <w:spacing w:after="0" w:line="240" w:lineRule="auto"/>
    </w:pPr>
    <w:rPr>
      <w:rFonts w:ascii="Consolas" w:hAnsi="Consolas"/>
      <w:sz w:val="20"/>
      <w:szCs w:val="20"/>
    </w:rPr>
  </w:style>
  <w:style w:type="character" w:customStyle="1" w:styleId="HTMLPreformattedChar1">
    <w:name w:val="HTML Preformatted Char1"/>
    <w:basedOn w:val="DefaultParagraphFont"/>
    <w:link w:val="HTMLPreformatted"/>
    <w:uiPriority w:val="99"/>
    <w:semiHidden/>
    <w:rsid w:val="0025423B"/>
    <w:rPr>
      <w:rFonts w:ascii="Consolas" w:hAnsi="Consolas"/>
      <w:sz w:val="20"/>
      <w:szCs w:val="20"/>
    </w:rPr>
  </w:style>
  <w:style w:type="paragraph" w:styleId="Index1">
    <w:name w:val="index 1"/>
    <w:basedOn w:val="Normal"/>
    <w:next w:val="Normal"/>
    <w:autoRedefine/>
    <w:uiPriority w:val="99"/>
    <w:semiHidden/>
    <w:unhideWhenUsed/>
    <w:rsid w:val="0025423B"/>
    <w:pPr>
      <w:spacing w:after="0" w:line="240" w:lineRule="auto"/>
      <w:ind w:left="240" w:hanging="240"/>
    </w:pPr>
  </w:style>
  <w:style w:type="paragraph" w:styleId="IntenseQuote">
    <w:name w:val="Intense Quote"/>
    <w:basedOn w:val="Normal"/>
    <w:next w:val="Normal"/>
    <w:link w:val="IntenseQuoteChar"/>
    <w:uiPriority w:val="30"/>
    <w:qFormat/>
    <w:rsid w:val="00DC139C"/>
    <w:pPr>
      <w:spacing w:before="100" w:beforeAutospacing="1" w:after="240" w:line="240" w:lineRule="auto"/>
      <w:ind w:left="720"/>
      <w:jc w:val="center"/>
    </w:pPr>
    <w:rPr>
      <w:rFonts w:asciiTheme="majorHAnsi" w:eastAsiaTheme="majorEastAsia" w:hAnsiTheme="majorHAnsi" w:cstheme="majorBidi"/>
      <w:color w:val="44546A" w:themeColor="text2"/>
      <w:sz w:val="32"/>
      <w:szCs w:val="32"/>
    </w:rPr>
  </w:style>
  <w:style w:type="character" w:customStyle="1" w:styleId="IntenseQuoteChar1">
    <w:name w:val="Intense Quote Char1"/>
    <w:basedOn w:val="DefaultParagraphFont"/>
    <w:uiPriority w:val="30"/>
    <w:rsid w:val="0025423B"/>
    <w:rPr>
      <w:rFonts w:ascii="Times New Roman" w:hAnsi="Times New Roman" w:cs="Times New Roman"/>
      <w:i/>
      <w:iCs/>
      <w:color w:val="4472C4" w:themeColor="accent1"/>
      <w:sz w:val="24"/>
    </w:rPr>
  </w:style>
  <w:style w:type="table" w:styleId="LightGrid">
    <w:name w:val="Light Grid"/>
    <w:basedOn w:val="TableNormal"/>
    <w:uiPriority w:val="62"/>
    <w:semiHidden/>
    <w:unhideWhenUsed/>
    <w:rsid w:val="0025423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5423B"/>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25423B"/>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25423B"/>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25423B"/>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25423B"/>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25423B"/>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25423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5423B"/>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25423B"/>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25423B"/>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25423B"/>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25423B"/>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25423B"/>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25423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5423B"/>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25423B"/>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25423B"/>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25423B"/>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25423B"/>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25423B"/>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uiPriority w:val="99"/>
    <w:semiHidden/>
    <w:unhideWhenUsed/>
    <w:rsid w:val="0025423B"/>
    <w:pPr>
      <w:ind w:left="283" w:hanging="283"/>
      <w:contextualSpacing/>
    </w:pPr>
  </w:style>
  <w:style w:type="paragraph" w:styleId="List2">
    <w:name w:val="List 2"/>
    <w:basedOn w:val="Normal"/>
    <w:uiPriority w:val="99"/>
    <w:semiHidden/>
    <w:unhideWhenUsed/>
    <w:rsid w:val="0025423B"/>
    <w:pPr>
      <w:ind w:left="566" w:hanging="283"/>
      <w:contextualSpacing/>
    </w:pPr>
  </w:style>
  <w:style w:type="paragraph" w:styleId="List3">
    <w:name w:val="List 3"/>
    <w:basedOn w:val="Normal"/>
    <w:uiPriority w:val="99"/>
    <w:semiHidden/>
    <w:unhideWhenUsed/>
    <w:rsid w:val="0025423B"/>
    <w:pPr>
      <w:ind w:left="849" w:hanging="283"/>
      <w:contextualSpacing/>
    </w:pPr>
  </w:style>
  <w:style w:type="paragraph" w:styleId="List4">
    <w:name w:val="List 4"/>
    <w:basedOn w:val="Normal"/>
    <w:uiPriority w:val="99"/>
    <w:semiHidden/>
    <w:unhideWhenUsed/>
    <w:rsid w:val="0025423B"/>
    <w:pPr>
      <w:ind w:left="1132" w:hanging="283"/>
      <w:contextualSpacing/>
    </w:pPr>
  </w:style>
  <w:style w:type="paragraph" w:styleId="List5">
    <w:name w:val="List 5"/>
    <w:basedOn w:val="Normal"/>
    <w:uiPriority w:val="99"/>
    <w:semiHidden/>
    <w:unhideWhenUsed/>
    <w:rsid w:val="0025423B"/>
    <w:pPr>
      <w:ind w:left="1415" w:hanging="283"/>
      <w:contextualSpacing/>
    </w:pPr>
  </w:style>
  <w:style w:type="paragraph" w:styleId="ListBullet5">
    <w:name w:val="List Bullet 5"/>
    <w:basedOn w:val="Normal"/>
    <w:uiPriority w:val="99"/>
    <w:semiHidden/>
    <w:unhideWhenUsed/>
    <w:rsid w:val="0025423B"/>
    <w:pPr>
      <w:tabs>
        <w:tab w:val="num" w:pos="567"/>
      </w:tabs>
      <w:ind w:left="567" w:hanging="567"/>
      <w:contextualSpacing/>
    </w:pPr>
  </w:style>
  <w:style w:type="paragraph" w:styleId="ListContinue">
    <w:name w:val="List Continue"/>
    <w:basedOn w:val="Normal"/>
    <w:uiPriority w:val="99"/>
    <w:semiHidden/>
    <w:unhideWhenUsed/>
    <w:rsid w:val="0025423B"/>
    <w:pPr>
      <w:ind w:left="283"/>
      <w:contextualSpacing/>
    </w:pPr>
  </w:style>
  <w:style w:type="paragraph" w:styleId="ListContinue2">
    <w:name w:val="List Continue 2"/>
    <w:basedOn w:val="Normal"/>
    <w:uiPriority w:val="99"/>
    <w:semiHidden/>
    <w:unhideWhenUsed/>
    <w:rsid w:val="0025423B"/>
    <w:pPr>
      <w:ind w:left="566"/>
      <w:contextualSpacing/>
    </w:pPr>
  </w:style>
  <w:style w:type="paragraph" w:styleId="ListContinue3">
    <w:name w:val="List Continue 3"/>
    <w:basedOn w:val="Normal"/>
    <w:uiPriority w:val="99"/>
    <w:semiHidden/>
    <w:unhideWhenUsed/>
    <w:rsid w:val="0025423B"/>
    <w:pPr>
      <w:ind w:left="849"/>
      <w:contextualSpacing/>
    </w:pPr>
  </w:style>
  <w:style w:type="paragraph" w:styleId="ListContinue4">
    <w:name w:val="List Continue 4"/>
    <w:basedOn w:val="Normal"/>
    <w:uiPriority w:val="99"/>
    <w:semiHidden/>
    <w:unhideWhenUsed/>
    <w:rsid w:val="0025423B"/>
    <w:pPr>
      <w:ind w:left="1132"/>
      <w:contextualSpacing/>
    </w:pPr>
  </w:style>
  <w:style w:type="paragraph" w:styleId="ListContinue5">
    <w:name w:val="List Continue 5"/>
    <w:basedOn w:val="Normal"/>
    <w:uiPriority w:val="99"/>
    <w:semiHidden/>
    <w:unhideWhenUsed/>
    <w:rsid w:val="0025423B"/>
    <w:pPr>
      <w:ind w:left="1415"/>
      <w:contextualSpacing/>
    </w:pPr>
  </w:style>
  <w:style w:type="paragraph" w:styleId="ListNumber">
    <w:name w:val="List Number"/>
    <w:basedOn w:val="Normal"/>
    <w:uiPriority w:val="99"/>
    <w:semiHidden/>
    <w:unhideWhenUsed/>
    <w:rsid w:val="0025423B"/>
    <w:pPr>
      <w:tabs>
        <w:tab w:val="num" w:pos="567"/>
      </w:tabs>
      <w:ind w:left="567" w:hanging="567"/>
      <w:contextualSpacing/>
    </w:pPr>
  </w:style>
  <w:style w:type="paragraph" w:styleId="ListNumber2">
    <w:name w:val="List Number 2"/>
    <w:basedOn w:val="Normal"/>
    <w:uiPriority w:val="99"/>
    <w:semiHidden/>
    <w:unhideWhenUsed/>
    <w:rsid w:val="0025423B"/>
    <w:pPr>
      <w:tabs>
        <w:tab w:val="num" w:pos="567"/>
      </w:tabs>
      <w:ind w:left="567" w:hanging="567"/>
      <w:contextualSpacing/>
    </w:pPr>
  </w:style>
  <w:style w:type="paragraph" w:styleId="ListNumber3">
    <w:name w:val="List Number 3"/>
    <w:basedOn w:val="Normal"/>
    <w:uiPriority w:val="99"/>
    <w:semiHidden/>
    <w:unhideWhenUsed/>
    <w:rsid w:val="0025423B"/>
    <w:pPr>
      <w:tabs>
        <w:tab w:val="num" w:pos="567"/>
      </w:tabs>
      <w:ind w:left="567" w:hanging="567"/>
      <w:contextualSpacing/>
    </w:pPr>
  </w:style>
  <w:style w:type="paragraph" w:styleId="ListNumber4">
    <w:name w:val="List Number 4"/>
    <w:basedOn w:val="Normal"/>
    <w:uiPriority w:val="99"/>
    <w:semiHidden/>
    <w:unhideWhenUsed/>
    <w:rsid w:val="0025423B"/>
    <w:pPr>
      <w:tabs>
        <w:tab w:val="num" w:pos="720"/>
      </w:tabs>
      <w:ind w:left="567" w:hanging="567"/>
      <w:contextualSpacing/>
    </w:pPr>
  </w:style>
  <w:style w:type="paragraph" w:styleId="ListNumber5">
    <w:name w:val="List Number 5"/>
    <w:basedOn w:val="Normal"/>
    <w:uiPriority w:val="99"/>
    <w:semiHidden/>
    <w:unhideWhenUsed/>
    <w:rsid w:val="0025423B"/>
    <w:pPr>
      <w:tabs>
        <w:tab w:val="num" w:pos="567"/>
      </w:tabs>
      <w:ind w:left="567" w:hanging="567"/>
      <w:contextualSpacing/>
    </w:pPr>
  </w:style>
  <w:style w:type="paragraph" w:styleId="MacroText">
    <w:name w:val="macro"/>
    <w:link w:val="MacroTextChar1"/>
    <w:uiPriority w:val="99"/>
    <w:semiHidden/>
    <w:unhideWhenUsed/>
    <w:rsid w:val="0025423B"/>
    <w:pPr>
      <w:tabs>
        <w:tab w:val="left" w:pos="480"/>
        <w:tab w:val="left" w:pos="960"/>
        <w:tab w:val="left" w:pos="1440"/>
        <w:tab w:val="left" w:pos="1920"/>
        <w:tab w:val="left" w:pos="2400"/>
        <w:tab w:val="left" w:pos="2880"/>
        <w:tab w:val="left" w:pos="3360"/>
        <w:tab w:val="left" w:pos="3840"/>
        <w:tab w:val="left" w:pos="4320"/>
      </w:tabs>
      <w:spacing w:before="120" w:after="0" w:line="360" w:lineRule="auto"/>
    </w:pPr>
    <w:rPr>
      <w:rFonts w:ascii="Consolas" w:hAnsi="Consolas" w:cs="Times New Roman"/>
      <w:sz w:val="20"/>
      <w:szCs w:val="20"/>
    </w:rPr>
  </w:style>
  <w:style w:type="character" w:customStyle="1" w:styleId="MacroTextChar1">
    <w:name w:val="Macro Text Char1"/>
    <w:basedOn w:val="DefaultParagraphFont"/>
    <w:link w:val="MacroText"/>
    <w:uiPriority w:val="99"/>
    <w:semiHidden/>
    <w:rsid w:val="0025423B"/>
    <w:rPr>
      <w:rFonts w:ascii="Consolas" w:hAnsi="Consolas" w:cs="Times New Roman"/>
      <w:sz w:val="20"/>
      <w:szCs w:val="20"/>
    </w:rPr>
  </w:style>
  <w:style w:type="table" w:styleId="MediumGrid1">
    <w:name w:val="Medium Grid 1"/>
    <w:basedOn w:val="TableNormal"/>
    <w:uiPriority w:val="67"/>
    <w:semiHidden/>
    <w:unhideWhenUsed/>
    <w:rsid w:val="0025423B"/>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5423B"/>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25423B"/>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25423B"/>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25423B"/>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25423B"/>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25423B"/>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5423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5423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25423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25423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25423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25423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25423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25423B"/>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5423B"/>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25423B"/>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25423B"/>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25423B"/>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25423B"/>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25423B"/>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5423B"/>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5423B"/>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5423B"/>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5423B"/>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5423B"/>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5423B"/>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5423B"/>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5423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5423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5423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5423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5423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5423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5423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1"/>
    <w:uiPriority w:val="99"/>
    <w:semiHidden/>
    <w:unhideWhenUsed/>
    <w:rsid w:val="0025423B"/>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MessageHeaderChar1">
    <w:name w:val="Message Header Char1"/>
    <w:basedOn w:val="DefaultParagraphFont"/>
    <w:link w:val="MessageHeader"/>
    <w:uiPriority w:val="99"/>
    <w:semiHidden/>
    <w:rsid w:val="0025423B"/>
    <w:rPr>
      <w:rFonts w:asciiTheme="majorHAnsi" w:eastAsiaTheme="majorEastAsia" w:hAnsiTheme="majorHAnsi" w:cstheme="majorBidi"/>
      <w:szCs w:val="24"/>
      <w:shd w:val="pct20" w:color="auto" w:fill="auto"/>
    </w:rPr>
  </w:style>
  <w:style w:type="paragraph" w:styleId="NoSpacing">
    <w:name w:val="No Spacing"/>
    <w:uiPriority w:val="1"/>
    <w:qFormat/>
    <w:rsid w:val="00DC139C"/>
    <w:pPr>
      <w:spacing w:after="0" w:line="240" w:lineRule="auto"/>
    </w:pPr>
  </w:style>
  <w:style w:type="paragraph" w:styleId="NormalIndent">
    <w:name w:val="Normal Indent"/>
    <w:basedOn w:val="Normal"/>
    <w:uiPriority w:val="99"/>
    <w:semiHidden/>
    <w:unhideWhenUsed/>
    <w:rsid w:val="0025423B"/>
    <w:pPr>
      <w:ind w:left="720"/>
    </w:pPr>
  </w:style>
  <w:style w:type="paragraph" w:styleId="NoteHeading">
    <w:name w:val="Note Heading"/>
    <w:basedOn w:val="Normal"/>
    <w:next w:val="Normal"/>
    <w:link w:val="NoteHeadingChar"/>
    <w:uiPriority w:val="99"/>
    <w:semiHidden/>
    <w:unhideWhenUsed/>
    <w:rsid w:val="0025423B"/>
    <w:pPr>
      <w:spacing w:after="0" w:line="240" w:lineRule="auto"/>
    </w:pPr>
  </w:style>
  <w:style w:type="character" w:customStyle="1" w:styleId="NoteHeadingChar1">
    <w:name w:val="Note Heading Char1"/>
    <w:basedOn w:val="DefaultParagraphFont"/>
    <w:uiPriority w:val="99"/>
    <w:semiHidden/>
    <w:rsid w:val="0025423B"/>
    <w:rPr>
      <w:rFonts w:ascii="Times New Roman" w:hAnsi="Times New Roman" w:cs="Times New Roman"/>
      <w:sz w:val="24"/>
    </w:rPr>
  </w:style>
  <w:style w:type="paragraph" w:styleId="PlainText">
    <w:name w:val="Plain Text"/>
    <w:basedOn w:val="Normal"/>
    <w:link w:val="PlainTextChar1"/>
    <w:uiPriority w:val="99"/>
    <w:semiHidden/>
    <w:unhideWhenUsed/>
    <w:rsid w:val="0025423B"/>
    <w:pPr>
      <w:spacing w:after="0" w:line="240" w:lineRule="auto"/>
    </w:pPr>
    <w:rPr>
      <w:rFonts w:ascii="Consolas" w:hAnsi="Consolas"/>
      <w:sz w:val="21"/>
      <w:szCs w:val="21"/>
    </w:rPr>
  </w:style>
  <w:style w:type="character" w:customStyle="1" w:styleId="PlainTextChar1">
    <w:name w:val="Plain Text Char1"/>
    <w:basedOn w:val="DefaultParagraphFont"/>
    <w:link w:val="PlainText"/>
    <w:uiPriority w:val="99"/>
    <w:semiHidden/>
    <w:rsid w:val="0025423B"/>
    <w:rPr>
      <w:rFonts w:ascii="Consolas" w:hAnsi="Consolas"/>
      <w:sz w:val="21"/>
      <w:szCs w:val="21"/>
    </w:rPr>
  </w:style>
  <w:style w:type="paragraph" w:styleId="Quote">
    <w:name w:val="Quote"/>
    <w:basedOn w:val="Normal"/>
    <w:next w:val="Normal"/>
    <w:link w:val="QuoteChar"/>
    <w:uiPriority w:val="29"/>
    <w:qFormat/>
    <w:rsid w:val="00DC139C"/>
    <w:pPr>
      <w:spacing w:before="120" w:after="120"/>
      <w:ind w:left="720"/>
    </w:pPr>
    <w:rPr>
      <w:color w:val="44546A" w:themeColor="text2"/>
      <w:sz w:val="24"/>
      <w:szCs w:val="24"/>
    </w:rPr>
  </w:style>
  <w:style w:type="character" w:customStyle="1" w:styleId="QuoteChar1">
    <w:name w:val="Quote Char1"/>
    <w:basedOn w:val="DefaultParagraphFont"/>
    <w:uiPriority w:val="29"/>
    <w:rsid w:val="0025423B"/>
    <w:rPr>
      <w:rFonts w:ascii="Times New Roman" w:hAnsi="Times New Roman" w:cs="Times New Roman"/>
      <w:i/>
      <w:iCs/>
      <w:color w:val="404040" w:themeColor="text1" w:themeTint="BF"/>
      <w:sz w:val="24"/>
    </w:rPr>
  </w:style>
  <w:style w:type="paragraph" w:styleId="Salutation">
    <w:name w:val="Salutation"/>
    <w:basedOn w:val="Normal"/>
    <w:next w:val="Normal"/>
    <w:link w:val="SalutationChar"/>
    <w:uiPriority w:val="99"/>
    <w:semiHidden/>
    <w:unhideWhenUsed/>
    <w:rsid w:val="0025423B"/>
  </w:style>
  <w:style w:type="character" w:customStyle="1" w:styleId="SalutationChar1">
    <w:name w:val="Salutation Char1"/>
    <w:basedOn w:val="DefaultParagraphFont"/>
    <w:uiPriority w:val="99"/>
    <w:semiHidden/>
    <w:rsid w:val="0025423B"/>
    <w:rPr>
      <w:rFonts w:ascii="Times New Roman" w:hAnsi="Times New Roman" w:cs="Times New Roman"/>
      <w:sz w:val="24"/>
    </w:rPr>
  </w:style>
  <w:style w:type="paragraph" w:styleId="Signature">
    <w:name w:val="Signature"/>
    <w:basedOn w:val="Normal"/>
    <w:link w:val="SignatureChar1"/>
    <w:uiPriority w:val="99"/>
    <w:semiHidden/>
    <w:unhideWhenUsed/>
    <w:rsid w:val="0025423B"/>
    <w:pPr>
      <w:spacing w:after="0" w:line="240" w:lineRule="auto"/>
      <w:ind w:left="4252"/>
    </w:pPr>
  </w:style>
  <w:style w:type="character" w:customStyle="1" w:styleId="SignatureChar1">
    <w:name w:val="Signature Char1"/>
    <w:basedOn w:val="DefaultParagraphFont"/>
    <w:link w:val="Signature"/>
    <w:uiPriority w:val="99"/>
    <w:semiHidden/>
    <w:rsid w:val="0025423B"/>
  </w:style>
  <w:style w:type="paragraph" w:styleId="Subtitle">
    <w:name w:val="Subtitle"/>
    <w:basedOn w:val="Normal"/>
    <w:next w:val="Normal"/>
    <w:link w:val="SubtitleChar"/>
    <w:uiPriority w:val="11"/>
    <w:qFormat/>
    <w:rsid w:val="00DC139C"/>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1">
    <w:name w:val="Subtitle Char1"/>
    <w:basedOn w:val="DefaultParagraphFont"/>
    <w:uiPriority w:val="11"/>
    <w:rsid w:val="0025423B"/>
    <w:rPr>
      <w:rFonts w:eastAsiaTheme="minorEastAsia"/>
      <w:color w:val="5A5A5A" w:themeColor="text1" w:themeTint="A5"/>
    </w:rPr>
  </w:style>
  <w:style w:type="table" w:styleId="Table3Deffects1">
    <w:name w:val="Table 3D effects 1"/>
    <w:basedOn w:val="TableNormal"/>
    <w:uiPriority w:val="99"/>
    <w:semiHidden/>
    <w:unhideWhenUsed/>
    <w:rsid w:val="0025423B"/>
    <w:pPr>
      <w:spacing w:before="120" w:after="120" w:line="36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5423B"/>
    <w:pPr>
      <w:spacing w:before="120" w:after="120" w:line="36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5423B"/>
    <w:pPr>
      <w:spacing w:before="120" w:after="120" w:line="36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5423B"/>
    <w:pPr>
      <w:spacing w:before="120" w:after="120" w:line="36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5423B"/>
    <w:pPr>
      <w:spacing w:before="120" w:after="120" w:line="36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5423B"/>
    <w:pPr>
      <w:spacing w:before="120" w:after="120" w:line="36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5423B"/>
    <w:pPr>
      <w:spacing w:before="120" w:after="120" w:line="36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5423B"/>
    <w:pPr>
      <w:spacing w:before="120" w:after="120" w:line="36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5423B"/>
    <w:pPr>
      <w:spacing w:before="120" w:after="120" w:line="36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5423B"/>
    <w:pPr>
      <w:spacing w:before="120" w:after="120" w:line="36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5423B"/>
    <w:pPr>
      <w:spacing w:before="120" w:after="120" w:line="36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5423B"/>
    <w:pPr>
      <w:spacing w:before="120" w:after="120" w:line="36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5423B"/>
    <w:pPr>
      <w:spacing w:before="120" w:after="120" w:line="36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5423B"/>
    <w:pPr>
      <w:spacing w:before="120" w:after="120" w:line="36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5423B"/>
    <w:pPr>
      <w:spacing w:before="120" w:after="120" w:line="36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5423B"/>
    <w:pPr>
      <w:spacing w:before="120" w:after="120" w:line="36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5423B"/>
    <w:pPr>
      <w:spacing w:before="120" w:after="120" w:line="36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5423B"/>
    <w:pPr>
      <w:spacing w:before="120" w:after="120" w:line="36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5423B"/>
    <w:pPr>
      <w:spacing w:before="120" w:after="120" w:line="36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5423B"/>
    <w:pPr>
      <w:spacing w:before="120" w:after="120" w:line="36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5423B"/>
    <w:pPr>
      <w:spacing w:before="120" w:after="120" w:line="36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5423B"/>
    <w:pPr>
      <w:spacing w:before="120" w:after="120" w:line="36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5423B"/>
    <w:pPr>
      <w:spacing w:before="120" w:after="120" w:line="36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5423B"/>
    <w:pPr>
      <w:spacing w:before="120" w:after="120" w:line="36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5423B"/>
    <w:pPr>
      <w:spacing w:before="120" w:after="120" w:line="36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5423B"/>
    <w:pPr>
      <w:spacing w:before="120" w:after="120" w:line="36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5423B"/>
    <w:pPr>
      <w:spacing w:before="120" w:after="120" w:line="36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5423B"/>
    <w:pPr>
      <w:spacing w:before="120" w:after="120" w:line="36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5423B"/>
    <w:pPr>
      <w:spacing w:before="120" w:after="120" w:line="36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5423B"/>
    <w:pPr>
      <w:spacing w:before="120" w:after="120" w:line="36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5423B"/>
    <w:pPr>
      <w:spacing w:before="120" w:after="120" w:line="36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5423B"/>
    <w:pPr>
      <w:spacing w:before="120" w:after="120" w:line="36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5423B"/>
    <w:pPr>
      <w:spacing w:before="120" w:after="120" w:line="36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5423B"/>
    <w:pPr>
      <w:spacing w:before="120" w:after="120" w:line="36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5423B"/>
    <w:pPr>
      <w:spacing w:before="120" w:after="120" w:line="36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5423B"/>
    <w:pPr>
      <w:spacing w:before="120" w:after="120" w:line="36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5423B"/>
    <w:pPr>
      <w:spacing w:before="120" w:after="120" w:line="36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5423B"/>
    <w:pPr>
      <w:spacing w:before="120" w:after="120" w:line="36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5423B"/>
    <w:pPr>
      <w:spacing w:before="120" w:after="120" w:line="3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5423B"/>
    <w:pPr>
      <w:spacing w:before="120" w:after="120" w:line="36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5423B"/>
    <w:pPr>
      <w:spacing w:before="120" w:after="120" w:line="36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5423B"/>
    <w:pPr>
      <w:spacing w:before="120" w:after="120" w:line="36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qFormat/>
    <w:rsid w:val="00DC139C"/>
    <w:pPr>
      <w:spacing w:after="0" w:line="204" w:lineRule="auto"/>
      <w:contextualSpacing/>
    </w:pPr>
    <w:rPr>
      <w:rFonts w:asciiTheme="majorHAnsi" w:eastAsiaTheme="majorEastAsia" w:hAnsiTheme="majorHAnsi" w:cstheme="majorBidi"/>
      <w:caps/>
      <w:color w:val="44546A" w:themeColor="text2"/>
      <w:sz w:val="72"/>
      <w:szCs w:val="72"/>
    </w:rPr>
  </w:style>
  <w:style w:type="character" w:customStyle="1" w:styleId="TitleChar1">
    <w:name w:val="Title Char1"/>
    <w:basedOn w:val="DefaultParagraphFont"/>
    <w:uiPriority w:val="10"/>
    <w:rsid w:val="0025423B"/>
    <w:rPr>
      <w:rFonts w:asciiTheme="majorHAnsi" w:eastAsiaTheme="majorEastAsia" w:hAnsiTheme="majorHAnsi" w:cstheme="majorBidi"/>
      <w:kern w:val="28"/>
      <w:sz w:val="56"/>
      <w:szCs w:val="56"/>
    </w:rPr>
  </w:style>
  <w:style w:type="character" w:customStyle="1" w:styleId="CommentTextChar1">
    <w:name w:val="Comment Text Char1"/>
    <w:basedOn w:val="DefaultParagraphFont"/>
    <w:uiPriority w:val="99"/>
    <w:rsid w:val="0025423B"/>
    <w:rPr>
      <w:rFonts w:ascii="Times New Roman" w:hAnsi="Times New Roman" w:cs="Times New Roman"/>
      <w:sz w:val="20"/>
      <w:szCs w:val="20"/>
    </w:rPr>
  </w:style>
  <w:style w:type="character" w:customStyle="1" w:styleId="BalloonTextChar1">
    <w:name w:val="Balloon Text Char1"/>
    <w:basedOn w:val="DefaultParagraphFont"/>
    <w:uiPriority w:val="99"/>
    <w:semiHidden/>
    <w:rsid w:val="0025423B"/>
    <w:rPr>
      <w:rFonts w:ascii="Segoe UI" w:hAnsi="Segoe UI" w:cs="Segoe UI"/>
      <w:sz w:val="18"/>
      <w:szCs w:val="18"/>
    </w:rPr>
  </w:style>
  <w:style w:type="character" w:customStyle="1" w:styleId="CommentSubjectChar1">
    <w:name w:val="Comment Subject Char1"/>
    <w:basedOn w:val="CommentTextChar1"/>
    <w:uiPriority w:val="99"/>
    <w:semiHidden/>
    <w:rsid w:val="0025423B"/>
    <w:rPr>
      <w:rFonts w:ascii="Times New Roman" w:hAnsi="Times New Roman" w:cs="Times New Roman"/>
      <w:b/>
      <w:bCs/>
      <w:sz w:val="20"/>
      <w:szCs w:val="20"/>
    </w:rPr>
  </w:style>
  <w:style w:type="paragraph" w:styleId="Caption">
    <w:name w:val="caption"/>
    <w:basedOn w:val="Normal"/>
    <w:next w:val="Normal"/>
    <w:uiPriority w:val="35"/>
    <w:semiHidden/>
    <w:unhideWhenUsed/>
    <w:qFormat/>
    <w:rsid w:val="005455E6"/>
    <w:pPr>
      <w:spacing w:line="240" w:lineRule="auto"/>
    </w:pPr>
    <w:rPr>
      <w:b/>
      <w:bCs/>
      <w:smallCaps/>
      <w:color w:val="44546A" w:themeColor="text2"/>
    </w:rPr>
  </w:style>
  <w:style w:type="character" w:customStyle="1" w:styleId="Mention">
    <w:name w:val="Mention"/>
    <w:basedOn w:val="DefaultParagraphFont"/>
    <w:uiPriority w:val="99"/>
    <w:unhideWhenUsed/>
    <w:rsid w:val="00C97B43"/>
    <w:rPr>
      <w:color w:val="2B579A"/>
      <w:shd w:val="clear" w:color="auto" w:fill="E1DFDD"/>
    </w:rPr>
  </w:style>
  <w:style w:type="character" w:customStyle="1" w:styleId="UnresolvedMention">
    <w:name w:val="Unresolved Mention"/>
    <w:basedOn w:val="DefaultParagraphFont"/>
    <w:uiPriority w:val="99"/>
    <w:semiHidden/>
    <w:unhideWhenUsed/>
    <w:rsid w:val="003C7D62"/>
    <w:rPr>
      <w:color w:val="605E5C"/>
      <w:shd w:val="clear" w:color="auto" w:fill="E1DFDD"/>
    </w:rPr>
  </w:style>
  <w:style w:type="paragraph" w:customStyle="1" w:styleId="P68B1DB1-Normal2">
    <w:name w:val="P68B1DB1-Normal2"/>
    <w:basedOn w:val="Normal"/>
    <w:rPr>
      <w:rFonts w:ascii="Times New Roman" w:hAnsi="Times New Roman"/>
      <w:b/>
      <w:sz w:val="24"/>
      <w:szCs w:val="24"/>
      <w:u w:val="single"/>
    </w:rPr>
  </w:style>
  <w:style w:type="paragraph" w:customStyle="1" w:styleId="P68B1DB1-Heading13">
    <w:name w:val="P68B1DB1-Heading13"/>
    <w:basedOn w:val="Heading1"/>
    <w:rPr>
      <w:rFonts w:ascii="Times New Roman" w:hAnsi="Times New Roman" w:cs="Times New Roman"/>
      <w:b/>
      <w:color w:val="auto"/>
      <w:sz w:val="24"/>
      <w:szCs w:val="24"/>
    </w:rPr>
  </w:style>
  <w:style w:type="paragraph" w:customStyle="1" w:styleId="P68B1DB1-ListParagraph4">
    <w:name w:val="P68B1DB1-ListParagraph4"/>
    <w:basedOn w:val="ListParagraph"/>
    <w:rPr>
      <w:rFonts w:ascii="Times New Roman" w:hAnsi="Times New Roman"/>
      <w:b/>
      <w:sz w:val="24"/>
    </w:rPr>
  </w:style>
  <w:style w:type="paragraph" w:customStyle="1" w:styleId="P68B1DB1-Heading25">
    <w:name w:val="P68B1DB1-Heading25"/>
    <w:basedOn w:val="Heading2"/>
    <w:rPr>
      <w:rFonts w:ascii="Times New Roman" w:hAnsi="Times New Roman"/>
      <w:b/>
      <w:color w:val="auto"/>
      <w:sz w:val="24"/>
      <w:u w:val="single"/>
    </w:rPr>
  </w:style>
  <w:style w:type="paragraph" w:customStyle="1" w:styleId="P68B1DB1-Normal6">
    <w:name w:val="P68B1DB1-Normal6"/>
    <w:basedOn w:val="Normal"/>
    <w:rPr>
      <w:rFonts w:ascii="Times New Roman" w:hAnsi="Times New Roman"/>
      <w:sz w:val="24"/>
    </w:rPr>
  </w:style>
  <w:style w:type="paragraph" w:customStyle="1" w:styleId="P68B1DB1-ListParagraph7">
    <w:name w:val="P68B1DB1-ListParagraph7"/>
    <w:basedOn w:val="ListParagraph"/>
    <w:rPr>
      <w:rFonts w:ascii="Times New Roman" w:hAnsi="Times New Roman"/>
      <w:sz w:val="24"/>
    </w:rPr>
  </w:style>
  <w:style w:type="paragraph" w:customStyle="1" w:styleId="P68B1DB1-Normal9">
    <w:name w:val="P68B1DB1-Normal9"/>
    <w:basedOn w:val="Normal"/>
    <w:rPr>
      <w:rFonts w:ascii="Times New Roman" w:hAnsi="Times New Roman" w:cs="Times New Roman"/>
      <w:sz w:val="24"/>
      <w:szCs w:val="24"/>
      <w:shd w:val="clear" w:color="auto" w:fill="FFFFFF"/>
    </w:rPr>
  </w:style>
  <w:style w:type="paragraph" w:customStyle="1" w:styleId="P68B1DB1-Heading310">
    <w:name w:val="P68B1DB1-Heading310"/>
    <w:basedOn w:val="Heading3"/>
    <w:rPr>
      <w:rFonts w:ascii="Times New Roman" w:hAnsi="Times New Roman" w:cs="Times New Roman"/>
      <w:b/>
      <w:color w:val="auto"/>
      <w:sz w:val="24"/>
      <w:szCs w:val="24"/>
      <w:u w:val="single"/>
    </w:rPr>
  </w:style>
  <w:style w:type="paragraph" w:customStyle="1" w:styleId="P68B1DB1-Heading411">
    <w:name w:val="P68B1DB1-Heading411"/>
    <w:basedOn w:val="Heading4"/>
    <w:rPr>
      <w:rFonts w:ascii="Times New Roman" w:hAnsi="Times New Roman" w:cs="Times New Roman"/>
      <w:b/>
      <w:color w:val="auto"/>
    </w:rPr>
  </w:style>
  <w:style w:type="paragraph" w:customStyle="1" w:styleId="P68B1DB1-Normal12">
    <w:name w:val="P68B1DB1-Normal12"/>
    <w:basedOn w:val="Normal"/>
    <w:rPr>
      <w:sz w:val="24"/>
    </w:rPr>
  </w:style>
  <w:style w:type="paragraph" w:customStyle="1" w:styleId="P68B1DB1-Normal17">
    <w:name w:val="P68B1DB1-Normal17"/>
    <w:basedOn w:val="Normal"/>
    <w:rPr>
      <w:sz w:val="24"/>
      <w:shd w:val="clear" w:color="auto" w:fill="FFFFFF"/>
    </w:rPr>
  </w:style>
  <w:style w:type="paragraph" w:customStyle="1" w:styleId="P68B1DB1-Normal18">
    <w:name w:val="P68B1DB1-Normal18"/>
    <w:basedOn w:val="Normal"/>
    <w:rPr>
      <w:rFonts w:ascii="Times New Roman" w:eastAsia="Calibri" w:hAnsi="Times New Roman" w:cs="Times New Roman"/>
      <w:sz w:val="24"/>
      <w:szCs w:val="24"/>
      <w:shd w:val="clear" w:color="auto" w:fill="FFFFFF"/>
    </w:rPr>
  </w:style>
  <w:style w:type="paragraph" w:customStyle="1" w:styleId="P68B1DB1-Normal19">
    <w:name w:val="P68B1DB1-Normal19"/>
    <w:basedOn w:val="Normal"/>
    <w:rPr>
      <w:rFonts w:ascii="Times New Roman" w:hAnsi="Times New Roman"/>
      <w:b/>
      <w:sz w:val="18"/>
    </w:rPr>
  </w:style>
  <w:style w:type="paragraph" w:customStyle="1" w:styleId="P68B1DB1-Normal20">
    <w:name w:val="P68B1DB1-Normal20"/>
    <w:basedOn w:val="Normal"/>
    <w:rPr>
      <w:rFonts w:ascii="Times New Roman" w:hAnsi="Times New Roman"/>
      <w:sz w:val="18"/>
    </w:rPr>
  </w:style>
  <w:style w:type="paragraph" w:customStyle="1" w:styleId="P68B1DB1-Normal26">
    <w:name w:val="P68B1DB1-Normal26"/>
    <w:basedOn w:val="Normal"/>
    <w:rPr>
      <w:sz w:val="18"/>
    </w:rPr>
  </w:style>
  <w:style w:type="paragraph" w:customStyle="1" w:styleId="P68B1DB1-Normal27">
    <w:name w:val="P68B1DB1-Normal27"/>
    <w:basedOn w:val="Normal"/>
    <w:rPr>
      <w:rFonts w:ascii="Times New Roman" w:eastAsia="Times New Roman" w:hAnsi="Times New Roman" w:cs="Times New Roman"/>
      <w:sz w:val="18"/>
      <w:szCs w:val="18"/>
    </w:rPr>
  </w:style>
  <w:style w:type="paragraph" w:customStyle="1" w:styleId="P68B1DB1-Normal32">
    <w:name w:val="P68B1DB1-Normal32"/>
    <w:basedOn w:val="Normal"/>
    <w:rPr>
      <w:rFonts w:ascii="Times New Roman" w:hAnsi="Times New Roman" w:cs="Times New Roman"/>
      <w:sz w:val="18"/>
      <w:szCs w:val="18"/>
    </w:rPr>
  </w:style>
  <w:style w:type="paragraph" w:customStyle="1" w:styleId="P68B1DB1-ListParagraph33">
    <w:name w:val="P68B1DB1-ListParagraph33"/>
    <w:basedOn w:val="ListParagraph"/>
    <w:rPr>
      <w:rFonts w:ascii="Times New Roman" w:hAnsi="Times New Roman"/>
      <w:sz w:val="18"/>
    </w:rPr>
  </w:style>
  <w:style w:type="paragraph" w:customStyle="1" w:styleId="P68B1DB1-Normal34">
    <w:name w:val="P68B1DB1-Normal34"/>
    <w:basedOn w:val="Normal"/>
    <w:rPr>
      <w:rFonts w:ascii="Times New Roman" w:hAnsi="Times New Roman" w:cs="Times New Roman"/>
      <w:sz w:val="24"/>
      <w:szCs w:val="24"/>
    </w:rPr>
  </w:style>
  <w:style w:type="paragraph" w:customStyle="1" w:styleId="P68B1DB1-ListParagraph35">
    <w:name w:val="P68B1DB1-ListParagraph35"/>
    <w:basedOn w:val="ListParagraph"/>
    <w:rPr>
      <w:rFonts w:ascii="Times New Roman" w:hAnsi="Times New Roman" w:cs="Times New Roman"/>
      <w:sz w:val="24"/>
      <w:szCs w:val="24"/>
    </w:rPr>
  </w:style>
  <w:style w:type="paragraph" w:customStyle="1" w:styleId="P68B1DB1-Normal36">
    <w:name w:val="P68B1DB1-Normal36"/>
    <w:basedOn w:val="Normal"/>
    <w:rPr>
      <w:rFonts w:ascii="Times New Roman" w:hAnsi="Times New Roman"/>
      <w:sz w:val="24"/>
      <w:szCs w:val="24"/>
    </w:rPr>
  </w:style>
  <w:style w:type="paragraph" w:customStyle="1" w:styleId="P68B1DB1-Normal37">
    <w:name w:val="P68B1DB1-Normal37"/>
    <w:basedOn w:val="Normal"/>
    <w:rPr>
      <w:rFonts w:ascii="Times New Roman" w:hAnsi="Times New Roman" w:cs="Times New Roman"/>
      <w:b/>
      <w:sz w:val="18"/>
      <w:szCs w:val="18"/>
    </w:rPr>
  </w:style>
  <w:style w:type="paragraph" w:customStyle="1" w:styleId="P68B1DB1-CommentText38">
    <w:name w:val="P68B1DB1-CommentText38"/>
    <w:basedOn w:val="CommentText"/>
    <w:rPr>
      <w:rFonts w:ascii="Times New Roman" w:hAnsi="Times New Roman" w:cs="Times New Roman"/>
      <w:sz w:val="18"/>
      <w:szCs w:val="18"/>
    </w:rPr>
  </w:style>
  <w:style w:type="paragraph" w:customStyle="1" w:styleId="P68B1DB1-Normal39">
    <w:name w:val="P68B1DB1-Normal39"/>
    <w:basedOn w:val="Normal"/>
    <w:rPr>
      <w:rFonts w:ascii="Times New Roman" w:hAnsi="Times New Roman"/>
      <w:sz w:val="24"/>
      <w:shd w:val="clear" w:color="auto" w:fill="FFFFFF"/>
    </w:rPr>
  </w:style>
  <w:style w:type="paragraph" w:customStyle="1" w:styleId="P68B1DB1-Heading440">
    <w:name w:val="P68B1DB1-Heading440"/>
    <w:basedOn w:val="Heading4"/>
    <w:rPr>
      <w:rFonts w:ascii="Times New Roman" w:hAnsi="Times New Roman" w:cs="Times New Roman"/>
      <w:b/>
      <w:color w:val="auto"/>
      <w:shd w:val="clear" w:color="auto" w:fill="FFFFFF"/>
    </w:rPr>
  </w:style>
  <w:style w:type="paragraph" w:customStyle="1" w:styleId="P68B1DB1-Normal41">
    <w:name w:val="P68B1DB1-Normal41"/>
    <w:basedOn w:val="Normal"/>
    <w:rPr>
      <w:rFonts w:ascii="Times New Roman" w:eastAsia="Times New Roman" w:hAnsi="Times New Roman" w:cs="Times New Roman"/>
      <w:color w:val="000000" w:themeColor="text1"/>
      <w:sz w:val="18"/>
      <w:szCs w:val="18"/>
    </w:rPr>
  </w:style>
  <w:style w:type="paragraph" w:customStyle="1" w:styleId="P68B1DB1-ListParagraph42">
    <w:name w:val="P68B1DB1-ListParagraph42"/>
    <w:basedOn w:val="ListParagraph"/>
    <w:rPr>
      <w:rFonts w:ascii="Times New Roman" w:eastAsia="Times New Roman" w:hAnsi="Times New Roman" w:cs="Times New Roman"/>
      <w:color w:val="000000" w:themeColor="text1"/>
      <w:sz w:val="18"/>
      <w:szCs w:val="18"/>
    </w:rPr>
  </w:style>
  <w:style w:type="paragraph" w:customStyle="1" w:styleId="P68B1DB1-ListParagraph43">
    <w:name w:val="P68B1DB1-ListParagraph43"/>
    <w:basedOn w:val="ListParagraph"/>
    <w:rPr>
      <w:rFonts w:ascii="Times New Roman" w:hAnsi="Times New Roman" w:cs="Times New Roman"/>
      <w:sz w:val="18"/>
      <w:szCs w:val="18"/>
    </w:rPr>
  </w:style>
  <w:style w:type="paragraph" w:customStyle="1" w:styleId="P68B1DB1-Normal44">
    <w:name w:val="P68B1DB1-Normal44"/>
    <w:basedOn w:val="Normal"/>
    <w:rPr>
      <w:rFonts w:ascii="Times New Roman" w:hAnsi="Times New Roman"/>
      <w:b/>
      <w:sz w:val="24"/>
      <w:u w:val="single"/>
    </w:rPr>
  </w:style>
  <w:style w:type="paragraph" w:customStyle="1" w:styleId="P68B1DB1-Text145">
    <w:name w:val="P68B1DB1-Text145"/>
    <w:basedOn w:val="Text1"/>
    <w:rPr>
      <w:rFonts w:ascii="Times New Roman" w:hAnsi="Times New Roman"/>
      <w:sz w:val="24"/>
    </w:rPr>
  </w:style>
  <w:style w:type="paragraph" w:customStyle="1" w:styleId="P68B1DB1-Text146">
    <w:name w:val="P68B1DB1-Text146"/>
    <w:basedOn w:val="Text1"/>
    <w:rPr>
      <w:rFonts w:ascii="Times New Roman" w:hAnsi="Times New Roman"/>
      <w:sz w:val="24"/>
      <w:szCs w:val="24"/>
    </w:rPr>
  </w:style>
  <w:style w:type="paragraph" w:customStyle="1" w:styleId="P68B1DB1-Text147">
    <w:name w:val="P68B1DB1-Text147"/>
    <w:basedOn w:val="Text1"/>
    <w:rPr>
      <w:sz w:val="24"/>
    </w:rPr>
  </w:style>
  <w:style w:type="paragraph" w:customStyle="1" w:styleId="P68B1DB1-Normal48">
    <w:name w:val="P68B1DB1-Normal48"/>
    <w:basedOn w:val="Normal"/>
    <w:rPr>
      <w:rFonts w:ascii="Times New Roman" w:eastAsia="Yu Mincho" w:hAnsi="Times New Roman" w:cs="Times New Roman"/>
      <w:sz w:val="24"/>
      <w:szCs w:val="24"/>
    </w:rPr>
  </w:style>
  <w:style w:type="paragraph" w:customStyle="1" w:styleId="P68B1DB1-Normal49">
    <w:name w:val="P68B1DB1-Normal49"/>
    <w:basedOn w:val="Normal"/>
    <w:rPr>
      <w:rFonts w:ascii="Times New Roman" w:eastAsia="Calibri" w:hAnsi="Times New Roman" w:cs="Times New Roman"/>
      <w:sz w:val="18"/>
      <w:szCs w:val="18"/>
    </w:rPr>
  </w:style>
  <w:style w:type="paragraph" w:customStyle="1" w:styleId="P68B1DB1-Heading350">
    <w:name w:val="P68B1DB1-Heading350"/>
    <w:basedOn w:val="Heading3"/>
    <w:rPr>
      <w:b/>
      <w:color w:val="auto"/>
      <w:sz w:val="24"/>
      <w:u w:val="single"/>
    </w:rPr>
  </w:style>
  <w:style w:type="paragraph" w:customStyle="1" w:styleId="P68B1DB1-ListParagraph51">
    <w:name w:val="P68B1DB1-ListParagraph51"/>
    <w:basedOn w:val="ListParagraph"/>
    <w:rPr>
      <w:rFonts w:ascii="Times New Roman" w:eastAsia="Calibri" w:hAnsi="Times New Roman" w:cs="Times New Roman"/>
      <w:sz w:val="18"/>
      <w:szCs w:val="18"/>
    </w:rPr>
  </w:style>
  <w:style w:type="paragraph" w:customStyle="1" w:styleId="P68B1DB1-Normal52">
    <w:name w:val="P68B1DB1-Normal52"/>
    <w:basedOn w:val="Normal"/>
    <w:rPr>
      <w:rFonts w:ascii="Times New Roman" w:hAnsi="Times New Roman"/>
      <w:color w:val="000000"/>
      <w:sz w:val="24"/>
      <w:shd w:val="clear" w:color="auto" w:fill="FFFFFF"/>
    </w:rPr>
  </w:style>
  <w:style w:type="paragraph" w:customStyle="1" w:styleId="P68B1DB1-Normal53">
    <w:name w:val="P68B1DB1-Normal53"/>
    <w:basedOn w:val="Normal"/>
    <w:rPr>
      <w:rFonts w:ascii="Times New Roman" w:hAnsi="Times New Roman" w:cs="Times New Roman"/>
      <w:b/>
      <w:sz w:val="24"/>
      <w:szCs w:val="24"/>
      <w:u w:val="single"/>
    </w:rPr>
  </w:style>
  <w:style w:type="paragraph" w:customStyle="1" w:styleId="P68B1DB1-Normal54">
    <w:name w:val="P68B1DB1-Normal54"/>
    <w:basedOn w:val="Normal"/>
    <w:rPr>
      <w:rFonts w:ascii="Times New Roman" w:eastAsiaTheme="minorHAnsi" w:hAnsi="Times New Roman" w:cs="Times New Roman"/>
      <w:sz w:val="24"/>
      <w:szCs w:val="24"/>
    </w:rPr>
  </w:style>
  <w:style w:type="paragraph" w:customStyle="1" w:styleId="P68B1DB1-P68B1DB1-Norml555">
    <w:name w:val="P68B1DB1-P68B1DB1-Norml555"/>
    <w:basedOn w:val="P68B1DB1-Norml5"/>
    <w:rPr>
      <w:sz w:val="24"/>
    </w:rPr>
  </w:style>
  <w:style w:type="paragraph" w:customStyle="1" w:styleId="P68B1DB1-P68B1DB1-Norml556">
    <w:name w:val="P68B1DB1-P68B1DB1-Norml556"/>
    <w:basedOn w:val="P68B1DB1-Norml5"/>
    <w:rPr>
      <w:rFonts w:ascii="Times New Roman" w:hAnsi="Times New Roman"/>
      <w:sz w:val="24"/>
      <w:szCs w:val="24"/>
    </w:rPr>
  </w:style>
  <w:style w:type="paragraph" w:customStyle="1" w:styleId="P68B1DB1-LegalNumPar57">
    <w:name w:val="P68B1DB1-LegalNumPar57"/>
    <w:basedOn w:val="LegalNumPar"/>
    <w:rPr>
      <w:rFonts w:ascii="Times New Roman" w:hAnsi="Times New Roman" w:cs="Times New Roman"/>
      <w:sz w:val="24"/>
      <w:szCs w:val="24"/>
    </w:rPr>
  </w:style>
  <w:style w:type="paragraph" w:customStyle="1" w:styleId="P68B1DB1-LegalNumPar258">
    <w:name w:val="P68B1DB1-LegalNumPar258"/>
    <w:basedOn w:val="LegalNumPar2"/>
    <w:rPr>
      <w:rFonts w:ascii="Times New Roman" w:hAnsi="Times New Roman" w:cs="Times New Roman"/>
      <w:sz w:val="24"/>
      <w:szCs w:val="24"/>
    </w:rPr>
  </w:style>
  <w:style w:type="paragraph" w:customStyle="1" w:styleId="P68B1DB1-Normal59">
    <w:name w:val="P68B1DB1-Normal59"/>
    <w:basedOn w:val="Normal"/>
    <w:rPr>
      <w:rFonts w:ascii="Times New Roman" w:eastAsiaTheme="minorHAnsi" w:hAnsi="Times New Roman" w:cs="Times New Roman"/>
      <w:sz w:val="24"/>
    </w:rPr>
  </w:style>
  <w:style w:type="paragraph" w:customStyle="1" w:styleId="P68B1DB1-Normal60">
    <w:name w:val="P68B1DB1-Normal60"/>
    <w:basedOn w:val="Normal"/>
    <w:rPr>
      <w:rFonts w:ascii="Times New Roman" w:eastAsia="Times New Roman" w:hAnsi="Times New Roman" w:cs="Times New Roman"/>
      <w:sz w:val="24"/>
    </w:rPr>
  </w:style>
  <w:style w:type="paragraph" w:customStyle="1" w:styleId="P68B1DB1-Normal61">
    <w:name w:val="P68B1DB1-Normal61"/>
    <w:basedOn w:val="Normal"/>
    <w:rPr>
      <w:rFonts w:ascii="Times New Roman" w:eastAsia="Times New Roman" w:hAnsi="Times New Roman" w:cs="Times New Roman"/>
      <w:sz w:val="24"/>
      <w:szCs w:val="24"/>
    </w:rPr>
  </w:style>
  <w:style w:type="paragraph" w:customStyle="1" w:styleId="P68B1DB1-Normal62">
    <w:name w:val="P68B1DB1-Normal62"/>
    <w:basedOn w:val="Normal"/>
    <w:rPr>
      <w:rFonts w:ascii="Times New Roman" w:eastAsia="Times New Roman" w:hAnsi="Times New Roman"/>
      <w:sz w:val="24"/>
      <w:szCs w:val="20"/>
    </w:rPr>
  </w:style>
  <w:style w:type="paragraph" w:customStyle="1" w:styleId="P68B1DB1-Normal63">
    <w:name w:val="P68B1DB1-Normal63"/>
    <w:basedOn w:val="Normal"/>
    <w:rPr>
      <w:rFonts w:ascii="Times New Roman" w:eastAsia="Times New Roman" w:hAnsi="Times New Roman"/>
      <w:sz w:val="24"/>
      <w:szCs w:val="24"/>
    </w:rPr>
  </w:style>
  <w:style w:type="paragraph" w:customStyle="1" w:styleId="P68B1DB1-Normal64">
    <w:name w:val="P68B1DB1-Normal64"/>
    <w:basedOn w:val="Normal"/>
    <w:rPr>
      <w:rFonts w:ascii="Times New Roman" w:hAnsi="Times New Roman" w:cs="Times New Roman"/>
      <w:sz w:val="24"/>
      <w:szCs w:val="20"/>
    </w:rPr>
  </w:style>
  <w:style w:type="paragraph" w:customStyle="1" w:styleId="P68B1DB1-paragraph65">
    <w:name w:val="P68B1DB1-paragraph65"/>
    <w:basedOn w:val="paragraph"/>
    <w:rPr>
      <w:rFonts w:ascii="Times New Roman" w:hAnsi="Times New Roman" w:cs="Times New Roman"/>
      <w:sz w:val="18"/>
      <w:szCs w:val="18"/>
    </w:rPr>
  </w:style>
  <w:style w:type="paragraph" w:customStyle="1" w:styleId="P68B1DB1-Normal66">
    <w:name w:val="P68B1DB1-Normal66"/>
    <w:basedOn w:val="Normal"/>
    <w:rPr>
      <w:rFonts w:ascii="Times New Roman" w:eastAsiaTheme="minorHAnsi" w:hAnsi="Times New Roman" w:cs="Times New Roman"/>
      <w:sz w:val="18"/>
      <w:szCs w:val="18"/>
    </w:rPr>
  </w:style>
  <w:style w:type="paragraph" w:customStyle="1" w:styleId="P68B1DB1-ListParagraph67">
    <w:name w:val="P68B1DB1-ListParagraph67"/>
    <w:basedOn w:val="ListParagraph"/>
    <w:rPr>
      <w:rFonts w:ascii="Times New Roman" w:eastAsiaTheme="minorHAnsi" w:hAnsi="Times New Roman" w:cs="Times New Roman"/>
      <w:sz w:val="18"/>
      <w:szCs w:val="18"/>
    </w:rPr>
  </w:style>
  <w:style w:type="paragraph" w:customStyle="1" w:styleId="P68B1DB1-ListParagraph68">
    <w:name w:val="P68B1DB1-ListParagraph68"/>
    <w:basedOn w:val="ListParagraph"/>
    <w:rPr>
      <w:rFonts w:ascii="Times New Roman" w:eastAsia="Times New Roman" w:hAnsi="Times New Roman" w:cs="Times New Roman"/>
      <w:sz w:val="18"/>
      <w:szCs w:val="18"/>
    </w:rPr>
  </w:style>
  <w:style w:type="paragraph" w:customStyle="1" w:styleId="P68B1DB1-Heading469">
    <w:name w:val="P68B1DB1-Heading469"/>
    <w:basedOn w:val="Heading4"/>
    <w:rPr>
      <w:rFonts w:ascii="Times New Roman" w:hAnsi="Times New Roman" w:cs="Times New Roman"/>
      <w:color w:val="auto"/>
    </w:rPr>
  </w:style>
  <w:style w:type="paragraph" w:customStyle="1" w:styleId="P68B1DB1-Normal70">
    <w:name w:val="P68B1DB1-Normal70"/>
    <w:basedOn w:val="Normal"/>
    <w:rPr>
      <w:rFonts w:ascii="Times New Roman" w:hAnsi="Times New Roman" w:cs="Times New Roman"/>
      <w:sz w:val="16"/>
      <w:szCs w:val="16"/>
    </w:rPr>
  </w:style>
  <w:style w:type="paragraph" w:customStyle="1" w:styleId="P68B1DB1-Normal71">
    <w:name w:val="P68B1DB1-Normal71"/>
    <w:basedOn w:val="Normal"/>
    <w:rPr>
      <w:rFonts w:ascii="Times New Roman" w:hAnsi="Times New Roman" w:cs="Times New Roman"/>
      <w:b/>
      <w:sz w:val="18"/>
    </w:rPr>
  </w:style>
  <w:style w:type="paragraph" w:customStyle="1" w:styleId="P68B1DB1-Normal72">
    <w:name w:val="P68B1DB1-Normal72"/>
    <w:basedOn w:val="Normal"/>
    <w:rPr>
      <w:rFonts w:ascii="Times New Roman" w:hAnsi="Times New Roman" w:cs="Times New Roman"/>
      <w:sz w:val="18"/>
    </w:rPr>
  </w:style>
  <w:style w:type="paragraph" w:customStyle="1" w:styleId="P68B1DB1-Default73">
    <w:name w:val="P68B1DB1-Default73"/>
    <w:basedOn w:val="Default"/>
    <w:rPr>
      <w:color w:val="auto"/>
      <w:sz w:val="18"/>
      <w:szCs w:val="18"/>
    </w:rPr>
  </w:style>
  <w:style w:type="paragraph" w:customStyle="1" w:styleId="P68B1DB1-Default74">
    <w:name w:val="P68B1DB1-Default74"/>
    <w:basedOn w:val="Default"/>
    <w:rPr>
      <w:sz w:val="19"/>
      <w:szCs w:val="19"/>
    </w:rPr>
  </w:style>
  <w:style w:type="paragraph" w:customStyle="1" w:styleId="P68B1DB1-Normal75">
    <w:name w:val="P68B1DB1-Normal75"/>
    <w:basedOn w:val="Normal"/>
    <w:rPr>
      <w:sz w:val="19"/>
      <w:szCs w:val="19"/>
    </w:rPr>
  </w:style>
  <w:style w:type="paragraph" w:customStyle="1" w:styleId="P68B1DB1-Normal76">
    <w:name w:val="P68B1DB1-Normal76"/>
    <w:basedOn w:val="Normal"/>
    <w:rPr>
      <w:rFonts w:ascii="Times New Roman" w:hAnsi="Times New Roman"/>
      <w:b/>
      <w:sz w:val="24"/>
    </w:rPr>
  </w:style>
  <w:style w:type="paragraph" w:customStyle="1" w:styleId="P68B1DB1-Heading277">
    <w:name w:val="P68B1DB1-Heading277"/>
    <w:basedOn w:val="Heading2"/>
    <w:rPr>
      <w:rFonts w:ascii="Times New Roman" w:hAnsi="Times New Roman" w:cs="Times New Roman"/>
      <w:b/>
      <w:color w:val="auto"/>
      <w:sz w:val="24"/>
      <w:szCs w:val="24"/>
      <w:u w:val="single"/>
    </w:rPr>
  </w:style>
  <w:style w:type="paragraph" w:customStyle="1" w:styleId="P68B1DB1-Heading378">
    <w:name w:val="P68B1DB1-Heading378"/>
    <w:basedOn w:val="Heading3"/>
    <w:rPr>
      <w:rFonts w:ascii="Times New Roman" w:hAnsi="Times New Roman" w:cs="Times New Roman"/>
      <w:b/>
      <w:color w:val="auto"/>
      <w:sz w:val="24"/>
      <w:szCs w:val="24"/>
    </w:rPr>
  </w:style>
  <w:style w:type="paragraph" w:customStyle="1" w:styleId="P68B1DB1-Normal79">
    <w:name w:val="P68B1DB1-Normal79"/>
    <w:basedOn w:val="Normal"/>
    <w:rPr>
      <w:rFonts w:ascii="Times New Roman" w:eastAsia="Times New Roman" w:hAnsi="Times New Roman" w:cs="Times New Roman"/>
      <w:b/>
    </w:rPr>
  </w:style>
  <w:style w:type="paragraph" w:customStyle="1" w:styleId="P68B1DB1-Normal80">
    <w:name w:val="P68B1DB1-Normal80"/>
    <w:basedOn w:val="Normal"/>
    <w:rPr>
      <w:rFonts w:ascii="Times New Roman" w:hAnsi="Times New Roman" w:cs="Times New Roman"/>
    </w:rPr>
  </w:style>
  <w:style w:type="paragraph" w:customStyle="1" w:styleId="P68B1DB1-CommentText81">
    <w:name w:val="P68B1DB1-CommentText81"/>
    <w:basedOn w:val="CommentText"/>
    <w:rPr>
      <w:rFonts w:ascii="Times New Roman" w:hAnsi="Times New Roman" w:cs="Times New Roman"/>
      <w:sz w:val="22"/>
      <w:szCs w:val="22"/>
    </w:rPr>
  </w:style>
  <w:style w:type="paragraph" w:customStyle="1" w:styleId="P68B1DB1-Header82">
    <w:name w:val="P68B1DB1-Header82"/>
    <w:basedOn w:val="Header"/>
    <w:rPr>
      <w:rFonts w:ascii="Times New Roman" w:hAnsi="Times New Roman" w:cs="Times New Roman"/>
    </w:rPr>
  </w:style>
  <w:style w:type="paragraph" w:customStyle="1" w:styleId="P68B1DB1-Normal83">
    <w:name w:val="P68B1DB1-Normal83"/>
    <w:basedOn w:val="Normal"/>
    <w:rPr>
      <w:rFonts w:ascii="Times New Roman" w:eastAsia="Times New Roman" w:hAnsi="Times New Roman" w:cs="Times New Roman"/>
      <w:color w:val="000000" w:themeColor="text1"/>
    </w:rPr>
  </w:style>
  <w:style w:type="paragraph" w:customStyle="1" w:styleId="P68B1DB1-Normal84">
    <w:name w:val="P68B1DB1-Normal84"/>
    <w:basedOn w:val="Normal"/>
    <w:rPr>
      <w:rFonts w:ascii="Times New Roman" w:eastAsia="Times New Roman" w:hAnsi="Times New Roman" w:cs="Times New Roman"/>
    </w:rPr>
  </w:style>
  <w:style w:type="paragraph" w:customStyle="1" w:styleId="P68B1DB1-Normal85">
    <w:name w:val="P68B1DB1-Normal85"/>
    <w:basedOn w:val="Normal"/>
    <w:rPr>
      <w:rFonts w:ascii="Times New Roman" w:eastAsiaTheme="minorHAnsi" w:hAnsi="Times New Roman" w:cs="Times New Roman"/>
    </w:rPr>
  </w:style>
  <w:style w:type="paragraph" w:customStyle="1" w:styleId="P68B1DB1-Heading286">
    <w:name w:val="P68B1DB1-Heading286"/>
    <w:basedOn w:val="Heading2"/>
    <w:rPr>
      <w:rFonts w:ascii="Times New Roman" w:hAnsi="Times New Roman" w:cs="Times New Roman"/>
      <w:b/>
      <w:color w:val="auto"/>
      <w:sz w:val="22"/>
      <w:szCs w:val="22"/>
      <w:u w:val="single"/>
    </w:rPr>
  </w:style>
  <w:style w:type="paragraph" w:customStyle="1" w:styleId="P68B1DB1-Heading387">
    <w:name w:val="P68B1DB1-Heading387"/>
    <w:basedOn w:val="Heading3"/>
    <w:rPr>
      <w:rFonts w:ascii="Times New Roman" w:hAnsi="Times New Roman" w:cs="Times New Roman"/>
      <w:b/>
      <w:color w:val="auto"/>
      <w:sz w:val="22"/>
      <w:szCs w:val="22"/>
    </w:rPr>
  </w:style>
  <w:style w:type="paragraph" w:customStyle="1" w:styleId="P68B1DB1-Normal88">
    <w:name w:val="P68B1DB1-Normal88"/>
    <w:basedOn w:val="Normal"/>
    <w:rPr>
      <w:rFonts w:ascii="Times New Roman" w:eastAsia="Calibri" w:hAnsi="Times New Roman" w:cs="Times New Roman"/>
    </w:rPr>
  </w:style>
  <w:style w:type="paragraph" w:customStyle="1" w:styleId="P68B1DB1-Default89">
    <w:name w:val="P68B1DB1-Default89"/>
    <w:basedOn w:val="Default"/>
    <w:rPr>
      <w:sz w:val="22"/>
      <w:szCs w:val="22"/>
    </w:rPr>
  </w:style>
  <w:style w:type="paragraph" w:customStyle="1" w:styleId="P68B1DB1-Heading190">
    <w:name w:val="P68B1DB1-Heading190"/>
    <w:basedOn w:val="Heading1"/>
    <w:rPr>
      <w:rFonts w:ascii="Times New Roman" w:eastAsia="Times New Roman" w:hAnsi="Times New Roman" w:cs="Times New Roman"/>
      <w:b/>
      <w:color w:val="000000" w:themeColor="text1"/>
      <w:sz w:val="24"/>
      <w:szCs w:val="24"/>
    </w:rPr>
  </w:style>
  <w:style w:type="paragraph" w:customStyle="1" w:styleId="P68B1DB1-Heading291">
    <w:name w:val="P68B1DB1-Heading291"/>
    <w:basedOn w:val="Heading2"/>
    <w:rPr>
      <w:rFonts w:ascii="Times New Roman" w:hAnsi="Times New Roman" w:cs="Times New Roman"/>
      <w:b/>
      <w:color w:val="auto"/>
      <w:sz w:val="24"/>
      <w:szCs w:val="24"/>
    </w:rPr>
  </w:style>
  <w:style w:type="paragraph" w:customStyle="1" w:styleId="P68B1DB1-Footer92">
    <w:name w:val="P68B1DB1-Footer92"/>
    <w:basedOn w:val="Footer"/>
    <w:rPr>
      <w:rFonts w:ascii="Times New Roman" w:hAnsi="Times New Roman" w:cs="Times New Roman"/>
    </w:rPr>
  </w:style>
  <w:style w:type="paragraph" w:customStyle="1" w:styleId="P68B1DB1-FootnoteText93">
    <w:name w:val="P68B1DB1-FootnoteText93"/>
    <w:basedOn w:val="FootnoteText"/>
    <w:rPr>
      <w:rFonts w:ascii="Times New Roman" w:eastAsia="EC Square Sans Pro"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86394">
      <w:bodyDiv w:val="1"/>
      <w:marLeft w:val="0"/>
      <w:marRight w:val="0"/>
      <w:marTop w:val="0"/>
      <w:marBottom w:val="0"/>
      <w:divBdr>
        <w:top w:val="none" w:sz="0" w:space="0" w:color="auto"/>
        <w:left w:val="none" w:sz="0" w:space="0" w:color="auto"/>
        <w:bottom w:val="none" w:sz="0" w:space="0" w:color="auto"/>
        <w:right w:val="none" w:sz="0" w:space="0" w:color="auto"/>
      </w:divBdr>
    </w:div>
    <w:div w:id="61677639">
      <w:bodyDiv w:val="1"/>
      <w:marLeft w:val="0"/>
      <w:marRight w:val="0"/>
      <w:marTop w:val="0"/>
      <w:marBottom w:val="0"/>
      <w:divBdr>
        <w:top w:val="none" w:sz="0" w:space="0" w:color="auto"/>
        <w:left w:val="none" w:sz="0" w:space="0" w:color="auto"/>
        <w:bottom w:val="none" w:sz="0" w:space="0" w:color="auto"/>
        <w:right w:val="none" w:sz="0" w:space="0" w:color="auto"/>
      </w:divBdr>
    </w:div>
    <w:div w:id="82528626">
      <w:bodyDiv w:val="1"/>
      <w:marLeft w:val="0"/>
      <w:marRight w:val="0"/>
      <w:marTop w:val="0"/>
      <w:marBottom w:val="0"/>
      <w:divBdr>
        <w:top w:val="none" w:sz="0" w:space="0" w:color="auto"/>
        <w:left w:val="none" w:sz="0" w:space="0" w:color="auto"/>
        <w:bottom w:val="none" w:sz="0" w:space="0" w:color="auto"/>
        <w:right w:val="none" w:sz="0" w:space="0" w:color="auto"/>
      </w:divBdr>
    </w:div>
    <w:div w:id="99302903">
      <w:bodyDiv w:val="1"/>
      <w:marLeft w:val="0"/>
      <w:marRight w:val="0"/>
      <w:marTop w:val="0"/>
      <w:marBottom w:val="0"/>
      <w:divBdr>
        <w:top w:val="none" w:sz="0" w:space="0" w:color="auto"/>
        <w:left w:val="none" w:sz="0" w:space="0" w:color="auto"/>
        <w:bottom w:val="none" w:sz="0" w:space="0" w:color="auto"/>
        <w:right w:val="none" w:sz="0" w:space="0" w:color="auto"/>
      </w:divBdr>
    </w:div>
    <w:div w:id="122894642">
      <w:bodyDiv w:val="1"/>
      <w:marLeft w:val="0"/>
      <w:marRight w:val="0"/>
      <w:marTop w:val="0"/>
      <w:marBottom w:val="0"/>
      <w:divBdr>
        <w:top w:val="none" w:sz="0" w:space="0" w:color="auto"/>
        <w:left w:val="none" w:sz="0" w:space="0" w:color="auto"/>
        <w:bottom w:val="none" w:sz="0" w:space="0" w:color="auto"/>
        <w:right w:val="none" w:sz="0" w:space="0" w:color="auto"/>
      </w:divBdr>
    </w:div>
    <w:div w:id="186673813">
      <w:bodyDiv w:val="1"/>
      <w:marLeft w:val="0"/>
      <w:marRight w:val="0"/>
      <w:marTop w:val="0"/>
      <w:marBottom w:val="0"/>
      <w:divBdr>
        <w:top w:val="none" w:sz="0" w:space="0" w:color="auto"/>
        <w:left w:val="none" w:sz="0" w:space="0" w:color="auto"/>
        <w:bottom w:val="none" w:sz="0" w:space="0" w:color="auto"/>
        <w:right w:val="none" w:sz="0" w:space="0" w:color="auto"/>
      </w:divBdr>
    </w:div>
    <w:div w:id="263542449">
      <w:bodyDiv w:val="1"/>
      <w:marLeft w:val="0"/>
      <w:marRight w:val="0"/>
      <w:marTop w:val="0"/>
      <w:marBottom w:val="0"/>
      <w:divBdr>
        <w:top w:val="none" w:sz="0" w:space="0" w:color="auto"/>
        <w:left w:val="none" w:sz="0" w:space="0" w:color="auto"/>
        <w:bottom w:val="none" w:sz="0" w:space="0" w:color="auto"/>
        <w:right w:val="none" w:sz="0" w:space="0" w:color="auto"/>
      </w:divBdr>
      <w:divsChild>
        <w:div w:id="1209105563">
          <w:marLeft w:val="0"/>
          <w:marRight w:val="0"/>
          <w:marTop w:val="0"/>
          <w:marBottom w:val="0"/>
          <w:divBdr>
            <w:top w:val="none" w:sz="0" w:space="0" w:color="auto"/>
            <w:left w:val="none" w:sz="0" w:space="0" w:color="auto"/>
            <w:bottom w:val="none" w:sz="0" w:space="0" w:color="auto"/>
            <w:right w:val="none" w:sz="0" w:space="0" w:color="auto"/>
          </w:divBdr>
        </w:div>
        <w:div w:id="1776946704">
          <w:marLeft w:val="0"/>
          <w:marRight w:val="0"/>
          <w:marTop w:val="0"/>
          <w:marBottom w:val="0"/>
          <w:divBdr>
            <w:top w:val="none" w:sz="0" w:space="0" w:color="auto"/>
            <w:left w:val="none" w:sz="0" w:space="0" w:color="auto"/>
            <w:bottom w:val="none" w:sz="0" w:space="0" w:color="auto"/>
            <w:right w:val="none" w:sz="0" w:space="0" w:color="auto"/>
          </w:divBdr>
        </w:div>
      </w:divsChild>
    </w:div>
    <w:div w:id="318461582">
      <w:bodyDiv w:val="1"/>
      <w:marLeft w:val="0"/>
      <w:marRight w:val="0"/>
      <w:marTop w:val="0"/>
      <w:marBottom w:val="0"/>
      <w:divBdr>
        <w:top w:val="none" w:sz="0" w:space="0" w:color="auto"/>
        <w:left w:val="none" w:sz="0" w:space="0" w:color="auto"/>
        <w:bottom w:val="none" w:sz="0" w:space="0" w:color="auto"/>
        <w:right w:val="none" w:sz="0" w:space="0" w:color="auto"/>
      </w:divBdr>
    </w:div>
    <w:div w:id="327637844">
      <w:bodyDiv w:val="1"/>
      <w:marLeft w:val="0"/>
      <w:marRight w:val="0"/>
      <w:marTop w:val="0"/>
      <w:marBottom w:val="0"/>
      <w:divBdr>
        <w:top w:val="none" w:sz="0" w:space="0" w:color="auto"/>
        <w:left w:val="none" w:sz="0" w:space="0" w:color="auto"/>
        <w:bottom w:val="none" w:sz="0" w:space="0" w:color="auto"/>
        <w:right w:val="none" w:sz="0" w:space="0" w:color="auto"/>
      </w:divBdr>
    </w:div>
    <w:div w:id="353730207">
      <w:bodyDiv w:val="1"/>
      <w:marLeft w:val="0"/>
      <w:marRight w:val="0"/>
      <w:marTop w:val="0"/>
      <w:marBottom w:val="0"/>
      <w:divBdr>
        <w:top w:val="none" w:sz="0" w:space="0" w:color="auto"/>
        <w:left w:val="none" w:sz="0" w:space="0" w:color="auto"/>
        <w:bottom w:val="none" w:sz="0" w:space="0" w:color="auto"/>
        <w:right w:val="none" w:sz="0" w:space="0" w:color="auto"/>
      </w:divBdr>
    </w:div>
    <w:div w:id="459232137">
      <w:bodyDiv w:val="1"/>
      <w:marLeft w:val="0"/>
      <w:marRight w:val="0"/>
      <w:marTop w:val="0"/>
      <w:marBottom w:val="0"/>
      <w:divBdr>
        <w:top w:val="none" w:sz="0" w:space="0" w:color="auto"/>
        <w:left w:val="none" w:sz="0" w:space="0" w:color="auto"/>
        <w:bottom w:val="none" w:sz="0" w:space="0" w:color="auto"/>
        <w:right w:val="none" w:sz="0" w:space="0" w:color="auto"/>
      </w:divBdr>
      <w:divsChild>
        <w:div w:id="211046123">
          <w:marLeft w:val="0"/>
          <w:marRight w:val="0"/>
          <w:marTop w:val="0"/>
          <w:marBottom w:val="0"/>
          <w:divBdr>
            <w:top w:val="none" w:sz="0" w:space="0" w:color="auto"/>
            <w:left w:val="none" w:sz="0" w:space="0" w:color="auto"/>
            <w:bottom w:val="none" w:sz="0" w:space="0" w:color="auto"/>
            <w:right w:val="none" w:sz="0" w:space="0" w:color="auto"/>
          </w:divBdr>
        </w:div>
        <w:div w:id="1706054268">
          <w:marLeft w:val="0"/>
          <w:marRight w:val="0"/>
          <w:marTop w:val="0"/>
          <w:marBottom w:val="0"/>
          <w:divBdr>
            <w:top w:val="none" w:sz="0" w:space="0" w:color="auto"/>
            <w:left w:val="none" w:sz="0" w:space="0" w:color="auto"/>
            <w:bottom w:val="none" w:sz="0" w:space="0" w:color="auto"/>
            <w:right w:val="none" w:sz="0" w:space="0" w:color="auto"/>
          </w:divBdr>
          <w:divsChild>
            <w:div w:id="436827207">
              <w:marLeft w:val="-75"/>
              <w:marRight w:val="0"/>
              <w:marTop w:val="30"/>
              <w:marBottom w:val="30"/>
              <w:divBdr>
                <w:top w:val="none" w:sz="0" w:space="0" w:color="auto"/>
                <w:left w:val="none" w:sz="0" w:space="0" w:color="auto"/>
                <w:bottom w:val="none" w:sz="0" w:space="0" w:color="auto"/>
                <w:right w:val="none" w:sz="0" w:space="0" w:color="auto"/>
              </w:divBdr>
              <w:divsChild>
                <w:div w:id="172838510">
                  <w:marLeft w:val="0"/>
                  <w:marRight w:val="0"/>
                  <w:marTop w:val="0"/>
                  <w:marBottom w:val="0"/>
                  <w:divBdr>
                    <w:top w:val="none" w:sz="0" w:space="0" w:color="auto"/>
                    <w:left w:val="none" w:sz="0" w:space="0" w:color="auto"/>
                    <w:bottom w:val="none" w:sz="0" w:space="0" w:color="auto"/>
                    <w:right w:val="none" w:sz="0" w:space="0" w:color="auto"/>
                  </w:divBdr>
                  <w:divsChild>
                    <w:div w:id="1094592945">
                      <w:marLeft w:val="0"/>
                      <w:marRight w:val="0"/>
                      <w:marTop w:val="0"/>
                      <w:marBottom w:val="0"/>
                      <w:divBdr>
                        <w:top w:val="none" w:sz="0" w:space="0" w:color="auto"/>
                        <w:left w:val="none" w:sz="0" w:space="0" w:color="auto"/>
                        <w:bottom w:val="none" w:sz="0" w:space="0" w:color="auto"/>
                        <w:right w:val="none" w:sz="0" w:space="0" w:color="auto"/>
                      </w:divBdr>
                    </w:div>
                  </w:divsChild>
                </w:div>
                <w:div w:id="500584092">
                  <w:marLeft w:val="0"/>
                  <w:marRight w:val="0"/>
                  <w:marTop w:val="0"/>
                  <w:marBottom w:val="0"/>
                  <w:divBdr>
                    <w:top w:val="none" w:sz="0" w:space="0" w:color="auto"/>
                    <w:left w:val="none" w:sz="0" w:space="0" w:color="auto"/>
                    <w:bottom w:val="none" w:sz="0" w:space="0" w:color="auto"/>
                    <w:right w:val="none" w:sz="0" w:space="0" w:color="auto"/>
                  </w:divBdr>
                  <w:divsChild>
                    <w:div w:id="2126998890">
                      <w:marLeft w:val="0"/>
                      <w:marRight w:val="0"/>
                      <w:marTop w:val="0"/>
                      <w:marBottom w:val="0"/>
                      <w:divBdr>
                        <w:top w:val="none" w:sz="0" w:space="0" w:color="auto"/>
                        <w:left w:val="none" w:sz="0" w:space="0" w:color="auto"/>
                        <w:bottom w:val="none" w:sz="0" w:space="0" w:color="auto"/>
                        <w:right w:val="none" w:sz="0" w:space="0" w:color="auto"/>
                      </w:divBdr>
                    </w:div>
                  </w:divsChild>
                </w:div>
                <w:div w:id="685641370">
                  <w:marLeft w:val="0"/>
                  <w:marRight w:val="0"/>
                  <w:marTop w:val="0"/>
                  <w:marBottom w:val="0"/>
                  <w:divBdr>
                    <w:top w:val="none" w:sz="0" w:space="0" w:color="auto"/>
                    <w:left w:val="none" w:sz="0" w:space="0" w:color="auto"/>
                    <w:bottom w:val="none" w:sz="0" w:space="0" w:color="auto"/>
                    <w:right w:val="none" w:sz="0" w:space="0" w:color="auto"/>
                  </w:divBdr>
                  <w:divsChild>
                    <w:div w:id="2057510561">
                      <w:marLeft w:val="0"/>
                      <w:marRight w:val="0"/>
                      <w:marTop w:val="0"/>
                      <w:marBottom w:val="0"/>
                      <w:divBdr>
                        <w:top w:val="none" w:sz="0" w:space="0" w:color="auto"/>
                        <w:left w:val="none" w:sz="0" w:space="0" w:color="auto"/>
                        <w:bottom w:val="none" w:sz="0" w:space="0" w:color="auto"/>
                        <w:right w:val="none" w:sz="0" w:space="0" w:color="auto"/>
                      </w:divBdr>
                    </w:div>
                  </w:divsChild>
                </w:div>
                <w:div w:id="1009871958">
                  <w:marLeft w:val="0"/>
                  <w:marRight w:val="0"/>
                  <w:marTop w:val="0"/>
                  <w:marBottom w:val="0"/>
                  <w:divBdr>
                    <w:top w:val="none" w:sz="0" w:space="0" w:color="auto"/>
                    <w:left w:val="none" w:sz="0" w:space="0" w:color="auto"/>
                    <w:bottom w:val="none" w:sz="0" w:space="0" w:color="auto"/>
                    <w:right w:val="none" w:sz="0" w:space="0" w:color="auto"/>
                  </w:divBdr>
                  <w:divsChild>
                    <w:div w:id="82384729">
                      <w:marLeft w:val="0"/>
                      <w:marRight w:val="0"/>
                      <w:marTop w:val="0"/>
                      <w:marBottom w:val="0"/>
                      <w:divBdr>
                        <w:top w:val="none" w:sz="0" w:space="0" w:color="auto"/>
                        <w:left w:val="none" w:sz="0" w:space="0" w:color="auto"/>
                        <w:bottom w:val="none" w:sz="0" w:space="0" w:color="auto"/>
                        <w:right w:val="none" w:sz="0" w:space="0" w:color="auto"/>
                      </w:divBdr>
                    </w:div>
                  </w:divsChild>
                </w:div>
                <w:div w:id="1421100426">
                  <w:marLeft w:val="0"/>
                  <w:marRight w:val="0"/>
                  <w:marTop w:val="0"/>
                  <w:marBottom w:val="0"/>
                  <w:divBdr>
                    <w:top w:val="none" w:sz="0" w:space="0" w:color="auto"/>
                    <w:left w:val="none" w:sz="0" w:space="0" w:color="auto"/>
                    <w:bottom w:val="none" w:sz="0" w:space="0" w:color="auto"/>
                    <w:right w:val="none" w:sz="0" w:space="0" w:color="auto"/>
                  </w:divBdr>
                  <w:divsChild>
                    <w:div w:id="1503740898">
                      <w:marLeft w:val="0"/>
                      <w:marRight w:val="0"/>
                      <w:marTop w:val="0"/>
                      <w:marBottom w:val="0"/>
                      <w:divBdr>
                        <w:top w:val="none" w:sz="0" w:space="0" w:color="auto"/>
                        <w:left w:val="none" w:sz="0" w:space="0" w:color="auto"/>
                        <w:bottom w:val="none" w:sz="0" w:space="0" w:color="auto"/>
                        <w:right w:val="none" w:sz="0" w:space="0" w:color="auto"/>
                      </w:divBdr>
                    </w:div>
                  </w:divsChild>
                </w:div>
                <w:div w:id="1525436178">
                  <w:marLeft w:val="0"/>
                  <w:marRight w:val="0"/>
                  <w:marTop w:val="0"/>
                  <w:marBottom w:val="0"/>
                  <w:divBdr>
                    <w:top w:val="none" w:sz="0" w:space="0" w:color="auto"/>
                    <w:left w:val="none" w:sz="0" w:space="0" w:color="auto"/>
                    <w:bottom w:val="none" w:sz="0" w:space="0" w:color="auto"/>
                    <w:right w:val="none" w:sz="0" w:space="0" w:color="auto"/>
                  </w:divBdr>
                  <w:divsChild>
                    <w:div w:id="2020885658">
                      <w:marLeft w:val="0"/>
                      <w:marRight w:val="0"/>
                      <w:marTop w:val="0"/>
                      <w:marBottom w:val="0"/>
                      <w:divBdr>
                        <w:top w:val="none" w:sz="0" w:space="0" w:color="auto"/>
                        <w:left w:val="none" w:sz="0" w:space="0" w:color="auto"/>
                        <w:bottom w:val="none" w:sz="0" w:space="0" w:color="auto"/>
                        <w:right w:val="none" w:sz="0" w:space="0" w:color="auto"/>
                      </w:divBdr>
                    </w:div>
                  </w:divsChild>
                </w:div>
                <w:div w:id="1635210708">
                  <w:marLeft w:val="0"/>
                  <w:marRight w:val="0"/>
                  <w:marTop w:val="0"/>
                  <w:marBottom w:val="0"/>
                  <w:divBdr>
                    <w:top w:val="none" w:sz="0" w:space="0" w:color="auto"/>
                    <w:left w:val="none" w:sz="0" w:space="0" w:color="auto"/>
                    <w:bottom w:val="none" w:sz="0" w:space="0" w:color="auto"/>
                    <w:right w:val="none" w:sz="0" w:space="0" w:color="auto"/>
                  </w:divBdr>
                  <w:divsChild>
                    <w:div w:id="396169393">
                      <w:marLeft w:val="0"/>
                      <w:marRight w:val="0"/>
                      <w:marTop w:val="0"/>
                      <w:marBottom w:val="0"/>
                      <w:divBdr>
                        <w:top w:val="none" w:sz="0" w:space="0" w:color="auto"/>
                        <w:left w:val="none" w:sz="0" w:space="0" w:color="auto"/>
                        <w:bottom w:val="none" w:sz="0" w:space="0" w:color="auto"/>
                        <w:right w:val="none" w:sz="0" w:space="0" w:color="auto"/>
                      </w:divBdr>
                    </w:div>
                  </w:divsChild>
                </w:div>
                <w:div w:id="1659845120">
                  <w:marLeft w:val="0"/>
                  <w:marRight w:val="0"/>
                  <w:marTop w:val="0"/>
                  <w:marBottom w:val="0"/>
                  <w:divBdr>
                    <w:top w:val="none" w:sz="0" w:space="0" w:color="auto"/>
                    <w:left w:val="none" w:sz="0" w:space="0" w:color="auto"/>
                    <w:bottom w:val="none" w:sz="0" w:space="0" w:color="auto"/>
                    <w:right w:val="none" w:sz="0" w:space="0" w:color="auto"/>
                  </w:divBdr>
                  <w:divsChild>
                    <w:div w:id="768502187">
                      <w:marLeft w:val="0"/>
                      <w:marRight w:val="0"/>
                      <w:marTop w:val="0"/>
                      <w:marBottom w:val="0"/>
                      <w:divBdr>
                        <w:top w:val="none" w:sz="0" w:space="0" w:color="auto"/>
                        <w:left w:val="none" w:sz="0" w:space="0" w:color="auto"/>
                        <w:bottom w:val="none" w:sz="0" w:space="0" w:color="auto"/>
                        <w:right w:val="none" w:sz="0" w:space="0" w:color="auto"/>
                      </w:divBdr>
                    </w:div>
                  </w:divsChild>
                </w:div>
                <w:div w:id="1809665731">
                  <w:marLeft w:val="0"/>
                  <w:marRight w:val="0"/>
                  <w:marTop w:val="0"/>
                  <w:marBottom w:val="0"/>
                  <w:divBdr>
                    <w:top w:val="none" w:sz="0" w:space="0" w:color="auto"/>
                    <w:left w:val="none" w:sz="0" w:space="0" w:color="auto"/>
                    <w:bottom w:val="none" w:sz="0" w:space="0" w:color="auto"/>
                    <w:right w:val="none" w:sz="0" w:space="0" w:color="auto"/>
                  </w:divBdr>
                  <w:divsChild>
                    <w:div w:id="1436901479">
                      <w:marLeft w:val="0"/>
                      <w:marRight w:val="0"/>
                      <w:marTop w:val="0"/>
                      <w:marBottom w:val="0"/>
                      <w:divBdr>
                        <w:top w:val="none" w:sz="0" w:space="0" w:color="auto"/>
                        <w:left w:val="none" w:sz="0" w:space="0" w:color="auto"/>
                        <w:bottom w:val="none" w:sz="0" w:space="0" w:color="auto"/>
                        <w:right w:val="none" w:sz="0" w:space="0" w:color="auto"/>
                      </w:divBdr>
                    </w:div>
                  </w:divsChild>
                </w:div>
                <w:div w:id="1814983999">
                  <w:marLeft w:val="0"/>
                  <w:marRight w:val="0"/>
                  <w:marTop w:val="0"/>
                  <w:marBottom w:val="0"/>
                  <w:divBdr>
                    <w:top w:val="none" w:sz="0" w:space="0" w:color="auto"/>
                    <w:left w:val="none" w:sz="0" w:space="0" w:color="auto"/>
                    <w:bottom w:val="none" w:sz="0" w:space="0" w:color="auto"/>
                    <w:right w:val="none" w:sz="0" w:space="0" w:color="auto"/>
                  </w:divBdr>
                  <w:divsChild>
                    <w:div w:id="748768668">
                      <w:marLeft w:val="0"/>
                      <w:marRight w:val="0"/>
                      <w:marTop w:val="0"/>
                      <w:marBottom w:val="0"/>
                      <w:divBdr>
                        <w:top w:val="none" w:sz="0" w:space="0" w:color="auto"/>
                        <w:left w:val="none" w:sz="0" w:space="0" w:color="auto"/>
                        <w:bottom w:val="none" w:sz="0" w:space="0" w:color="auto"/>
                        <w:right w:val="none" w:sz="0" w:space="0" w:color="auto"/>
                      </w:divBdr>
                    </w:div>
                  </w:divsChild>
                </w:div>
                <w:div w:id="2021347070">
                  <w:marLeft w:val="0"/>
                  <w:marRight w:val="0"/>
                  <w:marTop w:val="0"/>
                  <w:marBottom w:val="0"/>
                  <w:divBdr>
                    <w:top w:val="none" w:sz="0" w:space="0" w:color="auto"/>
                    <w:left w:val="none" w:sz="0" w:space="0" w:color="auto"/>
                    <w:bottom w:val="none" w:sz="0" w:space="0" w:color="auto"/>
                    <w:right w:val="none" w:sz="0" w:space="0" w:color="auto"/>
                  </w:divBdr>
                  <w:divsChild>
                    <w:div w:id="151094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3739401">
      <w:bodyDiv w:val="1"/>
      <w:marLeft w:val="0"/>
      <w:marRight w:val="0"/>
      <w:marTop w:val="0"/>
      <w:marBottom w:val="0"/>
      <w:divBdr>
        <w:top w:val="none" w:sz="0" w:space="0" w:color="auto"/>
        <w:left w:val="none" w:sz="0" w:space="0" w:color="auto"/>
        <w:bottom w:val="none" w:sz="0" w:space="0" w:color="auto"/>
        <w:right w:val="none" w:sz="0" w:space="0" w:color="auto"/>
      </w:divBdr>
    </w:div>
    <w:div w:id="501625649">
      <w:bodyDiv w:val="1"/>
      <w:marLeft w:val="0"/>
      <w:marRight w:val="0"/>
      <w:marTop w:val="0"/>
      <w:marBottom w:val="0"/>
      <w:divBdr>
        <w:top w:val="none" w:sz="0" w:space="0" w:color="auto"/>
        <w:left w:val="none" w:sz="0" w:space="0" w:color="auto"/>
        <w:bottom w:val="none" w:sz="0" w:space="0" w:color="auto"/>
        <w:right w:val="none" w:sz="0" w:space="0" w:color="auto"/>
      </w:divBdr>
    </w:div>
    <w:div w:id="527643592">
      <w:bodyDiv w:val="1"/>
      <w:marLeft w:val="0"/>
      <w:marRight w:val="0"/>
      <w:marTop w:val="0"/>
      <w:marBottom w:val="0"/>
      <w:divBdr>
        <w:top w:val="none" w:sz="0" w:space="0" w:color="auto"/>
        <w:left w:val="none" w:sz="0" w:space="0" w:color="auto"/>
        <w:bottom w:val="none" w:sz="0" w:space="0" w:color="auto"/>
        <w:right w:val="none" w:sz="0" w:space="0" w:color="auto"/>
      </w:divBdr>
    </w:div>
    <w:div w:id="531380286">
      <w:bodyDiv w:val="1"/>
      <w:marLeft w:val="0"/>
      <w:marRight w:val="0"/>
      <w:marTop w:val="0"/>
      <w:marBottom w:val="0"/>
      <w:divBdr>
        <w:top w:val="none" w:sz="0" w:space="0" w:color="auto"/>
        <w:left w:val="none" w:sz="0" w:space="0" w:color="auto"/>
        <w:bottom w:val="none" w:sz="0" w:space="0" w:color="auto"/>
        <w:right w:val="none" w:sz="0" w:space="0" w:color="auto"/>
      </w:divBdr>
    </w:div>
    <w:div w:id="537353464">
      <w:bodyDiv w:val="1"/>
      <w:marLeft w:val="0"/>
      <w:marRight w:val="0"/>
      <w:marTop w:val="0"/>
      <w:marBottom w:val="0"/>
      <w:divBdr>
        <w:top w:val="none" w:sz="0" w:space="0" w:color="auto"/>
        <w:left w:val="none" w:sz="0" w:space="0" w:color="auto"/>
        <w:bottom w:val="none" w:sz="0" w:space="0" w:color="auto"/>
        <w:right w:val="none" w:sz="0" w:space="0" w:color="auto"/>
      </w:divBdr>
    </w:div>
    <w:div w:id="556472296">
      <w:bodyDiv w:val="1"/>
      <w:marLeft w:val="0"/>
      <w:marRight w:val="0"/>
      <w:marTop w:val="0"/>
      <w:marBottom w:val="0"/>
      <w:divBdr>
        <w:top w:val="none" w:sz="0" w:space="0" w:color="auto"/>
        <w:left w:val="none" w:sz="0" w:space="0" w:color="auto"/>
        <w:bottom w:val="none" w:sz="0" w:space="0" w:color="auto"/>
        <w:right w:val="none" w:sz="0" w:space="0" w:color="auto"/>
      </w:divBdr>
    </w:div>
    <w:div w:id="573587924">
      <w:bodyDiv w:val="1"/>
      <w:marLeft w:val="0"/>
      <w:marRight w:val="0"/>
      <w:marTop w:val="0"/>
      <w:marBottom w:val="0"/>
      <w:divBdr>
        <w:top w:val="none" w:sz="0" w:space="0" w:color="auto"/>
        <w:left w:val="none" w:sz="0" w:space="0" w:color="auto"/>
        <w:bottom w:val="none" w:sz="0" w:space="0" w:color="auto"/>
        <w:right w:val="none" w:sz="0" w:space="0" w:color="auto"/>
      </w:divBdr>
    </w:div>
    <w:div w:id="584732588">
      <w:bodyDiv w:val="1"/>
      <w:marLeft w:val="0"/>
      <w:marRight w:val="0"/>
      <w:marTop w:val="0"/>
      <w:marBottom w:val="0"/>
      <w:divBdr>
        <w:top w:val="none" w:sz="0" w:space="0" w:color="auto"/>
        <w:left w:val="none" w:sz="0" w:space="0" w:color="auto"/>
        <w:bottom w:val="none" w:sz="0" w:space="0" w:color="auto"/>
        <w:right w:val="none" w:sz="0" w:space="0" w:color="auto"/>
      </w:divBdr>
    </w:div>
    <w:div w:id="588152245">
      <w:bodyDiv w:val="1"/>
      <w:marLeft w:val="0"/>
      <w:marRight w:val="0"/>
      <w:marTop w:val="0"/>
      <w:marBottom w:val="0"/>
      <w:divBdr>
        <w:top w:val="none" w:sz="0" w:space="0" w:color="auto"/>
        <w:left w:val="none" w:sz="0" w:space="0" w:color="auto"/>
        <w:bottom w:val="none" w:sz="0" w:space="0" w:color="auto"/>
        <w:right w:val="none" w:sz="0" w:space="0" w:color="auto"/>
      </w:divBdr>
    </w:div>
    <w:div w:id="667296035">
      <w:bodyDiv w:val="1"/>
      <w:marLeft w:val="0"/>
      <w:marRight w:val="0"/>
      <w:marTop w:val="0"/>
      <w:marBottom w:val="0"/>
      <w:divBdr>
        <w:top w:val="none" w:sz="0" w:space="0" w:color="auto"/>
        <w:left w:val="none" w:sz="0" w:space="0" w:color="auto"/>
        <w:bottom w:val="none" w:sz="0" w:space="0" w:color="auto"/>
        <w:right w:val="none" w:sz="0" w:space="0" w:color="auto"/>
      </w:divBdr>
    </w:div>
    <w:div w:id="681904626">
      <w:bodyDiv w:val="1"/>
      <w:marLeft w:val="0"/>
      <w:marRight w:val="0"/>
      <w:marTop w:val="0"/>
      <w:marBottom w:val="0"/>
      <w:divBdr>
        <w:top w:val="none" w:sz="0" w:space="0" w:color="auto"/>
        <w:left w:val="none" w:sz="0" w:space="0" w:color="auto"/>
        <w:bottom w:val="none" w:sz="0" w:space="0" w:color="auto"/>
        <w:right w:val="none" w:sz="0" w:space="0" w:color="auto"/>
      </w:divBdr>
    </w:div>
    <w:div w:id="712001318">
      <w:bodyDiv w:val="1"/>
      <w:marLeft w:val="0"/>
      <w:marRight w:val="0"/>
      <w:marTop w:val="0"/>
      <w:marBottom w:val="0"/>
      <w:divBdr>
        <w:top w:val="none" w:sz="0" w:space="0" w:color="auto"/>
        <w:left w:val="none" w:sz="0" w:space="0" w:color="auto"/>
        <w:bottom w:val="none" w:sz="0" w:space="0" w:color="auto"/>
        <w:right w:val="none" w:sz="0" w:space="0" w:color="auto"/>
      </w:divBdr>
    </w:div>
    <w:div w:id="834882343">
      <w:bodyDiv w:val="1"/>
      <w:marLeft w:val="0"/>
      <w:marRight w:val="0"/>
      <w:marTop w:val="0"/>
      <w:marBottom w:val="0"/>
      <w:divBdr>
        <w:top w:val="none" w:sz="0" w:space="0" w:color="auto"/>
        <w:left w:val="none" w:sz="0" w:space="0" w:color="auto"/>
        <w:bottom w:val="none" w:sz="0" w:space="0" w:color="auto"/>
        <w:right w:val="none" w:sz="0" w:space="0" w:color="auto"/>
      </w:divBdr>
    </w:div>
    <w:div w:id="854418164">
      <w:bodyDiv w:val="1"/>
      <w:marLeft w:val="0"/>
      <w:marRight w:val="0"/>
      <w:marTop w:val="0"/>
      <w:marBottom w:val="0"/>
      <w:divBdr>
        <w:top w:val="none" w:sz="0" w:space="0" w:color="auto"/>
        <w:left w:val="none" w:sz="0" w:space="0" w:color="auto"/>
        <w:bottom w:val="none" w:sz="0" w:space="0" w:color="auto"/>
        <w:right w:val="none" w:sz="0" w:space="0" w:color="auto"/>
      </w:divBdr>
      <w:divsChild>
        <w:div w:id="1148085890">
          <w:marLeft w:val="0"/>
          <w:marRight w:val="0"/>
          <w:marTop w:val="0"/>
          <w:marBottom w:val="0"/>
          <w:divBdr>
            <w:top w:val="none" w:sz="0" w:space="0" w:color="auto"/>
            <w:left w:val="none" w:sz="0" w:space="0" w:color="auto"/>
            <w:bottom w:val="none" w:sz="0" w:space="0" w:color="auto"/>
            <w:right w:val="none" w:sz="0" w:space="0" w:color="auto"/>
          </w:divBdr>
          <w:divsChild>
            <w:div w:id="196152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009284">
      <w:bodyDiv w:val="1"/>
      <w:marLeft w:val="0"/>
      <w:marRight w:val="0"/>
      <w:marTop w:val="0"/>
      <w:marBottom w:val="0"/>
      <w:divBdr>
        <w:top w:val="none" w:sz="0" w:space="0" w:color="auto"/>
        <w:left w:val="none" w:sz="0" w:space="0" w:color="auto"/>
        <w:bottom w:val="none" w:sz="0" w:space="0" w:color="auto"/>
        <w:right w:val="none" w:sz="0" w:space="0" w:color="auto"/>
      </w:divBdr>
    </w:div>
    <w:div w:id="868447930">
      <w:bodyDiv w:val="1"/>
      <w:marLeft w:val="0"/>
      <w:marRight w:val="0"/>
      <w:marTop w:val="0"/>
      <w:marBottom w:val="0"/>
      <w:divBdr>
        <w:top w:val="none" w:sz="0" w:space="0" w:color="auto"/>
        <w:left w:val="none" w:sz="0" w:space="0" w:color="auto"/>
        <w:bottom w:val="none" w:sz="0" w:space="0" w:color="auto"/>
        <w:right w:val="none" w:sz="0" w:space="0" w:color="auto"/>
      </w:divBdr>
    </w:div>
    <w:div w:id="870143635">
      <w:bodyDiv w:val="1"/>
      <w:marLeft w:val="0"/>
      <w:marRight w:val="0"/>
      <w:marTop w:val="0"/>
      <w:marBottom w:val="0"/>
      <w:divBdr>
        <w:top w:val="none" w:sz="0" w:space="0" w:color="auto"/>
        <w:left w:val="none" w:sz="0" w:space="0" w:color="auto"/>
        <w:bottom w:val="none" w:sz="0" w:space="0" w:color="auto"/>
        <w:right w:val="none" w:sz="0" w:space="0" w:color="auto"/>
      </w:divBdr>
    </w:div>
    <w:div w:id="890458174">
      <w:bodyDiv w:val="1"/>
      <w:marLeft w:val="0"/>
      <w:marRight w:val="0"/>
      <w:marTop w:val="0"/>
      <w:marBottom w:val="0"/>
      <w:divBdr>
        <w:top w:val="none" w:sz="0" w:space="0" w:color="auto"/>
        <w:left w:val="none" w:sz="0" w:space="0" w:color="auto"/>
        <w:bottom w:val="none" w:sz="0" w:space="0" w:color="auto"/>
        <w:right w:val="none" w:sz="0" w:space="0" w:color="auto"/>
      </w:divBdr>
    </w:div>
    <w:div w:id="896745711">
      <w:bodyDiv w:val="1"/>
      <w:marLeft w:val="0"/>
      <w:marRight w:val="0"/>
      <w:marTop w:val="0"/>
      <w:marBottom w:val="0"/>
      <w:divBdr>
        <w:top w:val="none" w:sz="0" w:space="0" w:color="auto"/>
        <w:left w:val="none" w:sz="0" w:space="0" w:color="auto"/>
        <w:bottom w:val="none" w:sz="0" w:space="0" w:color="auto"/>
        <w:right w:val="none" w:sz="0" w:space="0" w:color="auto"/>
      </w:divBdr>
      <w:divsChild>
        <w:div w:id="294604790">
          <w:marLeft w:val="0"/>
          <w:marRight w:val="0"/>
          <w:marTop w:val="0"/>
          <w:marBottom w:val="0"/>
          <w:divBdr>
            <w:top w:val="none" w:sz="0" w:space="0" w:color="auto"/>
            <w:left w:val="none" w:sz="0" w:space="0" w:color="auto"/>
            <w:bottom w:val="none" w:sz="0" w:space="0" w:color="auto"/>
            <w:right w:val="none" w:sz="0" w:space="0" w:color="auto"/>
          </w:divBdr>
        </w:div>
        <w:div w:id="581330069">
          <w:marLeft w:val="0"/>
          <w:marRight w:val="0"/>
          <w:marTop w:val="0"/>
          <w:marBottom w:val="0"/>
          <w:divBdr>
            <w:top w:val="none" w:sz="0" w:space="0" w:color="auto"/>
            <w:left w:val="none" w:sz="0" w:space="0" w:color="auto"/>
            <w:bottom w:val="none" w:sz="0" w:space="0" w:color="auto"/>
            <w:right w:val="none" w:sz="0" w:space="0" w:color="auto"/>
          </w:divBdr>
        </w:div>
        <w:div w:id="808128492">
          <w:marLeft w:val="0"/>
          <w:marRight w:val="0"/>
          <w:marTop w:val="0"/>
          <w:marBottom w:val="0"/>
          <w:divBdr>
            <w:top w:val="none" w:sz="0" w:space="0" w:color="auto"/>
            <w:left w:val="none" w:sz="0" w:space="0" w:color="auto"/>
            <w:bottom w:val="none" w:sz="0" w:space="0" w:color="auto"/>
            <w:right w:val="none" w:sz="0" w:space="0" w:color="auto"/>
          </w:divBdr>
        </w:div>
        <w:div w:id="1102337857">
          <w:marLeft w:val="0"/>
          <w:marRight w:val="0"/>
          <w:marTop w:val="0"/>
          <w:marBottom w:val="0"/>
          <w:divBdr>
            <w:top w:val="none" w:sz="0" w:space="0" w:color="auto"/>
            <w:left w:val="none" w:sz="0" w:space="0" w:color="auto"/>
            <w:bottom w:val="none" w:sz="0" w:space="0" w:color="auto"/>
            <w:right w:val="none" w:sz="0" w:space="0" w:color="auto"/>
          </w:divBdr>
        </w:div>
        <w:div w:id="1125855104">
          <w:marLeft w:val="0"/>
          <w:marRight w:val="0"/>
          <w:marTop w:val="0"/>
          <w:marBottom w:val="0"/>
          <w:divBdr>
            <w:top w:val="none" w:sz="0" w:space="0" w:color="auto"/>
            <w:left w:val="none" w:sz="0" w:space="0" w:color="auto"/>
            <w:bottom w:val="none" w:sz="0" w:space="0" w:color="auto"/>
            <w:right w:val="none" w:sz="0" w:space="0" w:color="auto"/>
          </w:divBdr>
        </w:div>
        <w:div w:id="1399747594">
          <w:marLeft w:val="0"/>
          <w:marRight w:val="0"/>
          <w:marTop w:val="0"/>
          <w:marBottom w:val="0"/>
          <w:divBdr>
            <w:top w:val="none" w:sz="0" w:space="0" w:color="auto"/>
            <w:left w:val="none" w:sz="0" w:space="0" w:color="auto"/>
            <w:bottom w:val="none" w:sz="0" w:space="0" w:color="auto"/>
            <w:right w:val="none" w:sz="0" w:space="0" w:color="auto"/>
          </w:divBdr>
        </w:div>
        <w:div w:id="1407802356">
          <w:marLeft w:val="0"/>
          <w:marRight w:val="0"/>
          <w:marTop w:val="0"/>
          <w:marBottom w:val="0"/>
          <w:divBdr>
            <w:top w:val="none" w:sz="0" w:space="0" w:color="auto"/>
            <w:left w:val="none" w:sz="0" w:space="0" w:color="auto"/>
            <w:bottom w:val="none" w:sz="0" w:space="0" w:color="auto"/>
            <w:right w:val="none" w:sz="0" w:space="0" w:color="auto"/>
          </w:divBdr>
        </w:div>
        <w:div w:id="1583293002">
          <w:marLeft w:val="0"/>
          <w:marRight w:val="0"/>
          <w:marTop w:val="0"/>
          <w:marBottom w:val="0"/>
          <w:divBdr>
            <w:top w:val="none" w:sz="0" w:space="0" w:color="auto"/>
            <w:left w:val="none" w:sz="0" w:space="0" w:color="auto"/>
            <w:bottom w:val="none" w:sz="0" w:space="0" w:color="auto"/>
            <w:right w:val="none" w:sz="0" w:space="0" w:color="auto"/>
          </w:divBdr>
        </w:div>
        <w:div w:id="1598828151">
          <w:marLeft w:val="0"/>
          <w:marRight w:val="0"/>
          <w:marTop w:val="0"/>
          <w:marBottom w:val="0"/>
          <w:divBdr>
            <w:top w:val="none" w:sz="0" w:space="0" w:color="auto"/>
            <w:left w:val="none" w:sz="0" w:space="0" w:color="auto"/>
            <w:bottom w:val="none" w:sz="0" w:space="0" w:color="auto"/>
            <w:right w:val="none" w:sz="0" w:space="0" w:color="auto"/>
          </w:divBdr>
        </w:div>
        <w:div w:id="1999842606">
          <w:marLeft w:val="0"/>
          <w:marRight w:val="0"/>
          <w:marTop w:val="0"/>
          <w:marBottom w:val="0"/>
          <w:divBdr>
            <w:top w:val="none" w:sz="0" w:space="0" w:color="auto"/>
            <w:left w:val="none" w:sz="0" w:space="0" w:color="auto"/>
            <w:bottom w:val="none" w:sz="0" w:space="0" w:color="auto"/>
            <w:right w:val="none" w:sz="0" w:space="0" w:color="auto"/>
          </w:divBdr>
        </w:div>
      </w:divsChild>
    </w:div>
    <w:div w:id="909509709">
      <w:bodyDiv w:val="1"/>
      <w:marLeft w:val="0"/>
      <w:marRight w:val="0"/>
      <w:marTop w:val="0"/>
      <w:marBottom w:val="0"/>
      <w:divBdr>
        <w:top w:val="none" w:sz="0" w:space="0" w:color="auto"/>
        <w:left w:val="none" w:sz="0" w:space="0" w:color="auto"/>
        <w:bottom w:val="none" w:sz="0" w:space="0" w:color="auto"/>
        <w:right w:val="none" w:sz="0" w:space="0" w:color="auto"/>
      </w:divBdr>
    </w:div>
    <w:div w:id="942886149">
      <w:bodyDiv w:val="1"/>
      <w:marLeft w:val="0"/>
      <w:marRight w:val="0"/>
      <w:marTop w:val="0"/>
      <w:marBottom w:val="0"/>
      <w:divBdr>
        <w:top w:val="none" w:sz="0" w:space="0" w:color="auto"/>
        <w:left w:val="none" w:sz="0" w:space="0" w:color="auto"/>
        <w:bottom w:val="none" w:sz="0" w:space="0" w:color="auto"/>
        <w:right w:val="none" w:sz="0" w:space="0" w:color="auto"/>
      </w:divBdr>
    </w:div>
    <w:div w:id="951009324">
      <w:bodyDiv w:val="1"/>
      <w:marLeft w:val="0"/>
      <w:marRight w:val="0"/>
      <w:marTop w:val="0"/>
      <w:marBottom w:val="0"/>
      <w:divBdr>
        <w:top w:val="none" w:sz="0" w:space="0" w:color="auto"/>
        <w:left w:val="none" w:sz="0" w:space="0" w:color="auto"/>
        <w:bottom w:val="none" w:sz="0" w:space="0" w:color="auto"/>
        <w:right w:val="none" w:sz="0" w:space="0" w:color="auto"/>
      </w:divBdr>
    </w:div>
    <w:div w:id="987395929">
      <w:bodyDiv w:val="1"/>
      <w:marLeft w:val="0"/>
      <w:marRight w:val="0"/>
      <w:marTop w:val="0"/>
      <w:marBottom w:val="0"/>
      <w:divBdr>
        <w:top w:val="none" w:sz="0" w:space="0" w:color="auto"/>
        <w:left w:val="none" w:sz="0" w:space="0" w:color="auto"/>
        <w:bottom w:val="none" w:sz="0" w:space="0" w:color="auto"/>
        <w:right w:val="none" w:sz="0" w:space="0" w:color="auto"/>
      </w:divBdr>
    </w:div>
    <w:div w:id="992836393">
      <w:bodyDiv w:val="1"/>
      <w:marLeft w:val="0"/>
      <w:marRight w:val="0"/>
      <w:marTop w:val="0"/>
      <w:marBottom w:val="0"/>
      <w:divBdr>
        <w:top w:val="none" w:sz="0" w:space="0" w:color="auto"/>
        <w:left w:val="none" w:sz="0" w:space="0" w:color="auto"/>
        <w:bottom w:val="none" w:sz="0" w:space="0" w:color="auto"/>
        <w:right w:val="none" w:sz="0" w:space="0" w:color="auto"/>
      </w:divBdr>
    </w:div>
    <w:div w:id="1045714342">
      <w:bodyDiv w:val="1"/>
      <w:marLeft w:val="0"/>
      <w:marRight w:val="0"/>
      <w:marTop w:val="0"/>
      <w:marBottom w:val="0"/>
      <w:divBdr>
        <w:top w:val="none" w:sz="0" w:space="0" w:color="auto"/>
        <w:left w:val="none" w:sz="0" w:space="0" w:color="auto"/>
        <w:bottom w:val="none" w:sz="0" w:space="0" w:color="auto"/>
        <w:right w:val="none" w:sz="0" w:space="0" w:color="auto"/>
      </w:divBdr>
    </w:div>
    <w:div w:id="1058748380">
      <w:bodyDiv w:val="1"/>
      <w:marLeft w:val="0"/>
      <w:marRight w:val="0"/>
      <w:marTop w:val="0"/>
      <w:marBottom w:val="0"/>
      <w:divBdr>
        <w:top w:val="none" w:sz="0" w:space="0" w:color="auto"/>
        <w:left w:val="none" w:sz="0" w:space="0" w:color="auto"/>
        <w:bottom w:val="none" w:sz="0" w:space="0" w:color="auto"/>
        <w:right w:val="none" w:sz="0" w:space="0" w:color="auto"/>
      </w:divBdr>
    </w:div>
    <w:div w:id="1073695307">
      <w:bodyDiv w:val="1"/>
      <w:marLeft w:val="0"/>
      <w:marRight w:val="0"/>
      <w:marTop w:val="0"/>
      <w:marBottom w:val="0"/>
      <w:divBdr>
        <w:top w:val="none" w:sz="0" w:space="0" w:color="auto"/>
        <w:left w:val="none" w:sz="0" w:space="0" w:color="auto"/>
        <w:bottom w:val="none" w:sz="0" w:space="0" w:color="auto"/>
        <w:right w:val="none" w:sz="0" w:space="0" w:color="auto"/>
      </w:divBdr>
    </w:div>
    <w:div w:id="1076779478">
      <w:bodyDiv w:val="1"/>
      <w:marLeft w:val="0"/>
      <w:marRight w:val="0"/>
      <w:marTop w:val="0"/>
      <w:marBottom w:val="0"/>
      <w:divBdr>
        <w:top w:val="none" w:sz="0" w:space="0" w:color="auto"/>
        <w:left w:val="none" w:sz="0" w:space="0" w:color="auto"/>
        <w:bottom w:val="none" w:sz="0" w:space="0" w:color="auto"/>
        <w:right w:val="none" w:sz="0" w:space="0" w:color="auto"/>
      </w:divBdr>
    </w:div>
    <w:div w:id="1089816238">
      <w:bodyDiv w:val="1"/>
      <w:marLeft w:val="0"/>
      <w:marRight w:val="0"/>
      <w:marTop w:val="0"/>
      <w:marBottom w:val="0"/>
      <w:divBdr>
        <w:top w:val="none" w:sz="0" w:space="0" w:color="auto"/>
        <w:left w:val="none" w:sz="0" w:space="0" w:color="auto"/>
        <w:bottom w:val="none" w:sz="0" w:space="0" w:color="auto"/>
        <w:right w:val="none" w:sz="0" w:space="0" w:color="auto"/>
      </w:divBdr>
      <w:divsChild>
        <w:div w:id="198396427">
          <w:marLeft w:val="0"/>
          <w:marRight w:val="0"/>
          <w:marTop w:val="0"/>
          <w:marBottom w:val="0"/>
          <w:divBdr>
            <w:top w:val="none" w:sz="0" w:space="0" w:color="auto"/>
            <w:left w:val="none" w:sz="0" w:space="0" w:color="auto"/>
            <w:bottom w:val="none" w:sz="0" w:space="0" w:color="auto"/>
            <w:right w:val="none" w:sz="0" w:space="0" w:color="auto"/>
          </w:divBdr>
        </w:div>
        <w:div w:id="202404985">
          <w:marLeft w:val="0"/>
          <w:marRight w:val="0"/>
          <w:marTop w:val="0"/>
          <w:marBottom w:val="0"/>
          <w:divBdr>
            <w:top w:val="none" w:sz="0" w:space="0" w:color="auto"/>
            <w:left w:val="none" w:sz="0" w:space="0" w:color="auto"/>
            <w:bottom w:val="none" w:sz="0" w:space="0" w:color="auto"/>
            <w:right w:val="none" w:sz="0" w:space="0" w:color="auto"/>
          </w:divBdr>
        </w:div>
        <w:div w:id="471479946">
          <w:marLeft w:val="0"/>
          <w:marRight w:val="0"/>
          <w:marTop w:val="0"/>
          <w:marBottom w:val="0"/>
          <w:divBdr>
            <w:top w:val="none" w:sz="0" w:space="0" w:color="auto"/>
            <w:left w:val="none" w:sz="0" w:space="0" w:color="auto"/>
            <w:bottom w:val="none" w:sz="0" w:space="0" w:color="auto"/>
            <w:right w:val="none" w:sz="0" w:space="0" w:color="auto"/>
          </w:divBdr>
        </w:div>
        <w:div w:id="614096587">
          <w:marLeft w:val="0"/>
          <w:marRight w:val="0"/>
          <w:marTop w:val="0"/>
          <w:marBottom w:val="0"/>
          <w:divBdr>
            <w:top w:val="none" w:sz="0" w:space="0" w:color="auto"/>
            <w:left w:val="none" w:sz="0" w:space="0" w:color="auto"/>
            <w:bottom w:val="none" w:sz="0" w:space="0" w:color="auto"/>
            <w:right w:val="none" w:sz="0" w:space="0" w:color="auto"/>
          </w:divBdr>
        </w:div>
        <w:div w:id="831531926">
          <w:marLeft w:val="0"/>
          <w:marRight w:val="0"/>
          <w:marTop w:val="0"/>
          <w:marBottom w:val="0"/>
          <w:divBdr>
            <w:top w:val="none" w:sz="0" w:space="0" w:color="auto"/>
            <w:left w:val="none" w:sz="0" w:space="0" w:color="auto"/>
            <w:bottom w:val="none" w:sz="0" w:space="0" w:color="auto"/>
            <w:right w:val="none" w:sz="0" w:space="0" w:color="auto"/>
          </w:divBdr>
        </w:div>
        <w:div w:id="1019283062">
          <w:marLeft w:val="0"/>
          <w:marRight w:val="0"/>
          <w:marTop w:val="0"/>
          <w:marBottom w:val="0"/>
          <w:divBdr>
            <w:top w:val="none" w:sz="0" w:space="0" w:color="auto"/>
            <w:left w:val="none" w:sz="0" w:space="0" w:color="auto"/>
            <w:bottom w:val="none" w:sz="0" w:space="0" w:color="auto"/>
            <w:right w:val="none" w:sz="0" w:space="0" w:color="auto"/>
          </w:divBdr>
        </w:div>
        <w:div w:id="1453404444">
          <w:marLeft w:val="0"/>
          <w:marRight w:val="0"/>
          <w:marTop w:val="0"/>
          <w:marBottom w:val="0"/>
          <w:divBdr>
            <w:top w:val="none" w:sz="0" w:space="0" w:color="auto"/>
            <w:left w:val="none" w:sz="0" w:space="0" w:color="auto"/>
            <w:bottom w:val="none" w:sz="0" w:space="0" w:color="auto"/>
            <w:right w:val="none" w:sz="0" w:space="0" w:color="auto"/>
          </w:divBdr>
        </w:div>
        <w:div w:id="1602643242">
          <w:marLeft w:val="0"/>
          <w:marRight w:val="0"/>
          <w:marTop w:val="0"/>
          <w:marBottom w:val="0"/>
          <w:divBdr>
            <w:top w:val="none" w:sz="0" w:space="0" w:color="auto"/>
            <w:left w:val="none" w:sz="0" w:space="0" w:color="auto"/>
            <w:bottom w:val="none" w:sz="0" w:space="0" w:color="auto"/>
            <w:right w:val="none" w:sz="0" w:space="0" w:color="auto"/>
          </w:divBdr>
        </w:div>
        <w:div w:id="2034113285">
          <w:marLeft w:val="0"/>
          <w:marRight w:val="0"/>
          <w:marTop w:val="0"/>
          <w:marBottom w:val="0"/>
          <w:divBdr>
            <w:top w:val="none" w:sz="0" w:space="0" w:color="auto"/>
            <w:left w:val="none" w:sz="0" w:space="0" w:color="auto"/>
            <w:bottom w:val="none" w:sz="0" w:space="0" w:color="auto"/>
            <w:right w:val="none" w:sz="0" w:space="0" w:color="auto"/>
          </w:divBdr>
        </w:div>
        <w:div w:id="2131778623">
          <w:marLeft w:val="0"/>
          <w:marRight w:val="0"/>
          <w:marTop w:val="0"/>
          <w:marBottom w:val="0"/>
          <w:divBdr>
            <w:top w:val="none" w:sz="0" w:space="0" w:color="auto"/>
            <w:left w:val="none" w:sz="0" w:space="0" w:color="auto"/>
            <w:bottom w:val="none" w:sz="0" w:space="0" w:color="auto"/>
            <w:right w:val="none" w:sz="0" w:space="0" w:color="auto"/>
          </w:divBdr>
        </w:div>
      </w:divsChild>
    </w:div>
    <w:div w:id="1094477066">
      <w:bodyDiv w:val="1"/>
      <w:marLeft w:val="0"/>
      <w:marRight w:val="0"/>
      <w:marTop w:val="0"/>
      <w:marBottom w:val="0"/>
      <w:divBdr>
        <w:top w:val="none" w:sz="0" w:space="0" w:color="auto"/>
        <w:left w:val="none" w:sz="0" w:space="0" w:color="auto"/>
        <w:bottom w:val="none" w:sz="0" w:space="0" w:color="auto"/>
        <w:right w:val="none" w:sz="0" w:space="0" w:color="auto"/>
      </w:divBdr>
    </w:div>
    <w:div w:id="1133400008">
      <w:bodyDiv w:val="1"/>
      <w:marLeft w:val="0"/>
      <w:marRight w:val="0"/>
      <w:marTop w:val="0"/>
      <w:marBottom w:val="0"/>
      <w:divBdr>
        <w:top w:val="none" w:sz="0" w:space="0" w:color="auto"/>
        <w:left w:val="none" w:sz="0" w:space="0" w:color="auto"/>
        <w:bottom w:val="none" w:sz="0" w:space="0" w:color="auto"/>
        <w:right w:val="none" w:sz="0" w:space="0" w:color="auto"/>
      </w:divBdr>
    </w:div>
    <w:div w:id="1140734365">
      <w:bodyDiv w:val="1"/>
      <w:marLeft w:val="0"/>
      <w:marRight w:val="0"/>
      <w:marTop w:val="0"/>
      <w:marBottom w:val="0"/>
      <w:divBdr>
        <w:top w:val="none" w:sz="0" w:space="0" w:color="auto"/>
        <w:left w:val="none" w:sz="0" w:space="0" w:color="auto"/>
        <w:bottom w:val="none" w:sz="0" w:space="0" w:color="auto"/>
        <w:right w:val="none" w:sz="0" w:space="0" w:color="auto"/>
      </w:divBdr>
    </w:div>
    <w:div w:id="1177885318">
      <w:bodyDiv w:val="1"/>
      <w:marLeft w:val="0"/>
      <w:marRight w:val="0"/>
      <w:marTop w:val="0"/>
      <w:marBottom w:val="0"/>
      <w:divBdr>
        <w:top w:val="none" w:sz="0" w:space="0" w:color="auto"/>
        <w:left w:val="none" w:sz="0" w:space="0" w:color="auto"/>
        <w:bottom w:val="none" w:sz="0" w:space="0" w:color="auto"/>
        <w:right w:val="none" w:sz="0" w:space="0" w:color="auto"/>
      </w:divBdr>
    </w:div>
    <w:div w:id="1185023869">
      <w:bodyDiv w:val="1"/>
      <w:marLeft w:val="0"/>
      <w:marRight w:val="0"/>
      <w:marTop w:val="0"/>
      <w:marBottom w:val="0"/>
      <w:divBdr>
        <w:top w:val="none" w:sz="0" w:space="0" w:color="auto"/>
        <w:left w:val="none" w:sz="0" w:space="0" w:color="auto"/>
        <w:bottom w:val="none" w:sz="0" w:space="0" w:color="auto"/>
        <w:right w:val="none" w:sz="0" w:space="0" w:color="auto"/>
      </w:divBdr>
    </w:div>
    <w:div w:id="1228615511">
      <w:bodyDiv w:val="1"/>
      <w:marLeft w:val="0"/>
      <w:marRight w:val="0"/>
      <w:marTop w:val="0"/>
      <w:marBottom w:val="0"/>
      <w:divBdr>
        <w:top w:val="none" w:sz="0" w:space="0" w:color="auto"/>
        <w:left w:val="none" w:sz="0" w:space="0" w:color="auto"/>
        <w:bottom w:val="none" w:sz="0" w:space="0" w:color="auto"/>
        <w:right w:val="none" w:sz="0" w:space="0" w:color="auto"/>
      </w:divBdr>
      <w:divsChild>
        <w:div w:id="1686126669">
          <w:marLeft w:val="0"/>
          <w:marRight w:val="0"/>
          <w:marTop w:val="0"/>
          <w:marBottom w:val="0"/>
          <w:divBdr>
            <w:top w:val="none" w:sz="0" w:space="0" w:color="auto"/>
            <w:left w:val="none" w:sz="0" w:space="0" w:color="auto"/>
            <w:bottom w:val="none" w:sz="0" w:space="0" w:color="auto"/>
            <w:right w:val="none" w:sz="0" w:space="0" w:color="auto"/>
          </w:divBdr>
        </w:div>
        <w:div w:id="1983196629">
          <w:marLeft w:val="0"/>
          <w:marRight w:val="0"/>
          <w:marTop w:val="0"/>
          <w:marBottom w:val="0"/>
          <w:divBdr>
            <w:top w:val="none" w:sz="0" w:space="0" w:color="auto"/>
            <w:left w:val="none" w:sz="0" w:space="0" w:color="auto"/>
            <w:bottom w:val="none" w:sz="0" w:space="0" w:color="auto"/>
            <w:right w:val="none" w:sz="0" w:space="0" w:color="auto"/>
          </w:divBdr>
        </w:div>
      </w:divsChild>
    </w:div>
    <w:div w:id="1247568268">
      <w:bodyDiv w:val="1"/>
      <w:marLeft w:val="0"/>
      <w:marRight w:val="0"/>
      <w:marTop w:val="0"/>
      <w:marBottom w:val="0"/>
      <w:divBdr>
        <w:top w:val="none" w:sz="0" w:space="0" w:color="auto"/>
        <w:left w:val="none" w:sz="0" w:space="0" w:color="auto"/>
        <w:bottom w:val="none" w:sz="0" w:space="0" w:color="auto"/>
        <w:right w:val="none" w:sz="0" w:space="0" w:color="auto"/>
      </w:divBdr>
    </w:div>
    <w:div w:id="1253127730">
      <w:bodyDiv w:val="1"/>
      <w:marLeft w:val="0"/>
      <w:marRight w:val="0"/>
      <w:marTop w:val="0"/>
      <w:marBottom w:val="0"/>
      <w:divBdr>
        <w:top w:val="none" w:sz="0" w:space="0" w:color="auto"/>
        <w:left w:val="none" w:sz="0" w:space="0" w:color="auto"/>
        <w:bottom w:val="none" w:sz="0" w:space="0" w:color="auto"/>
        <w:right w:val="none" w:sz="0" w:space="0" w:color="auto"/>
      </w:divBdr>
    </w:div>
    <w:div w:id="1442989041">
      <w:bodyDiv w:val="1"/>
      <w:marLeft w:val="0"/>
      <w:marRight w:val="0"/>
      <w:marTop w:val="0"/>
      <w:marBottom w:val="0"/>
      <w:divBdr>
        <w:top w:val="none" w:sz="0" w:space="0" w:color="auto"/>
        <w:left w:val="none" w:sz="0" w:space="0" w:color="auto"/>
        <w:bottom w:val="none" w:sz="0" w:space="0" w:color="auto"/>
        <w:right w:val="none" w:sz="0" w:space="0" w:color="auto"/>
      </w:divBdr>
    </w:div>
    <w:div w:id="1526938111">
      <w:bodyDiv w:val="1"/>
      <w:marLeft w:val="0"/>
      <w:marRight w:val="0"/>
      <w:marTop w:val="0"/>
      <w:marBottom w:val="0"/>
      <w:divBdr>
        <w:top w:val="none" w:sz="0" w:space="0" w:color="auto"/>
        <w:left w:val="none" w:sz="0" w:space="0" w:color="auto"/>
        <w:bottom w:val="none" w:sz="0" w:space="0" w:color="auto"/>
        <w:right w:val="none" w:sz="0" w:space="0" w:color="auto"/>
      </w:divBdr>
    </w:div>
    <w:div w:id="1613634244">
      <w:bodyDiv w:val="1"/>
      <w:marLeft w:val="0"/>
      <w:marRight w:val="0"/>
      <w:marTop w:val="0"/>
      <w:marBottom w:val="0"/>
      <w:divBdr>
        <w:top w:val="none" w:sz="0" w:space="0" w:color="auto"/>
        <w:left w:val="none" w:sz="0" w:space="0" w:color="auto"/>
        <w:bottom w:val="none" w:sz="0" w:space="0" w:color="auto"/>
        <w:right w:val="none" w:sz="0" w:space="0" w:color="auto"/>
      </w:divBdr>
    </w:div>
    <w:div w:id="1625694151">
      <w:bodyDiv w:val="1"/>
      <w:marLeft w:val="0"/>
      <w:marRight w:val="0"/>
      <w:marTop w:val="0"/>
      <w:marBottom w:val="0"/>
      <w:divBdr>
        <w:top w:val="none" w:sz="0" w:space="0" w:color="auto"/>
        <w:left w:val="none" w:sz="0" w:space="0" w:color="auto"/>
        <w:bottom w:val="none" w:sz="0" w:space="0" w:color="auto"/>
        <w:right w:val="none" w:sz="0" w:space="0" w:color="auto"/>
      </w:divBdr>
    </w:div>
    <w:div w:id="1649630952">
      <w:bodyDiv w:val="1"/>
      <w:marLeft w:val="0"/>
      <w:marRight w:val="0"/>
      <w:marTop w:val="0"/>
      <w:marBottom w:val="0"/>
      <w:divBdr>
        <w:top w:val="none" w:sz="0" w:space="0" w:color="auto"/>
        <w:left w:val="none" w:sz="0" w:space="0" w:color="auto"/>
        <w:bottom w:val="none" w:sz="0" w:space="0" w:color="auto"/>
        <w:right w:val="none" w:sz="0" w:space="0" w:color="auto"/>
      </w:divBdr>
    </w:div>
    <w:div w:id="1709991611">
      <w:bodyDiv w:val="1"/>
      <w:marLeft w:val="0"/>
      <w:marRight w:val="0"/>
      <w:marTop w:val="0"/>
      <w:marBottom w:val="0"/>
      <w:divBdr>
        <w:top w:val="none" w:sz="0" w:space="0" w:color="auto"/>
        <w:left w:val="none" w:sz="0" w:space="0" w:color="auto"/>
        <w:bottom w:val="none" w:sz="0" w:space="0" w:color="auto"/>
        <w:right w:val="none" w:sz="0" w:space="0" w:color="auto"/>
      </w:divBdr>
      <w:divsChild>
        <w:div w:id="501047065">
          <w:marLeft w:val="0"/>
          <w:marRight w:val="0"/>
          <w:marTop w:val="0"/>
          <w:marBottom w:val="0"/>
          <w:divBdr>
            <w:top w:val="none" w:sz="0" w:space="0" w:color="auto"/>
            <w:left w:val="none" w:sz="0" w:space="0" w:color="auto"/>
            <w:bottom w:val="none" w:sz="0" w:space="0" w:color="auto"/>
            <w:right w:val="none" w:sz="0" w:space="0" w:color="auto"/>
          </w:divBdr>
        </w:div>
        <w:div w:id="1710035449">
          <w:marLeft w:val="0"/>
          <w:marRight w:val="0"/>
          <w:marTop w:val="0"/>
          <w:marBottom w:val="0"/>
          <w:divBdr>
            <w:top w:val="none" w:sz="0" w:space="0" w:color="auto"/>
            <w:left w:val="none" w:sz="0" w:space="0" w:color="auto"/>
            <w:bottom w:val="none" w:sz="0" w:space="0" w:color="auto"/>
            <w:right w:val="none" w:sz="0" w:space="0" w:color="auto"/>
          </w:divBdr>
          <w:divsChild>
            <w:div w:id="912544299">
              <w:marLeft w:val="-75"/>
              <w:marRight w:val="0"/>
              <w:marTop w:val="30"/>
              <w:marBottom w:val="30"/>
              <w:divBdr>
                <w:top w:val="none" w:sz="0" w:space="0" w:color="auto"/>
                <w:left w:val="none" w:sz="0" w:space="0" w:color="auto"/>
                <w:bottom w:val="none" w:sz="0" w:space="0" w:color="auto"/>
                <w:right w:val="none" w:sz="0" w:space="0" w:color="auto"/>
              </w:divBdr>
              <w:divsChild>
                <w:div w:id="473984732">
                  <w:marLeft w:val="0"/>
                  <w:marRight w:val="0"/>
                  <w:marTop w:val="0"/>
                  <w:marBottom w:val="0"/>
                  <w:divBdr>
                    <w:top w:val="none" w:sz="0" w:space="0" w:color="auto"/>
                    <w:left w:val="none" w:sz="0" w:space="0" w:color="auto"/>
                    <w:bottom w:val="none" w:sz="0" w:space="0" w:color="auto"/>
                    <w:right w:val="none" w:sz="0" w:space="0" w:color="auto"/>
                  </w:divBdr>
                  <w:divsChild>
                    <w:div w:id="426848777">
                      <w:marLeft w:val="0"/>
                      <w:marRight w:val="0"/>
                      <w:marTop w:val="0"/>
                      <w:marBottom w:val="0"/>
                      <w:divBdr>
                        <w:top w:val="none" w:sz="0" w:space="0" w:color="auto"/>
                        <w:left w:val="none" w:sz="0" w:space="0" w:color="auto"/>
                        <w:bottom w:val="none" w:sz="0" w:space="0" w:color="auto"/>
                        <w:right w:val="none" w:sz="0" w:space="0" w:color="auto"/>
                      </w:divBdr>
                    </w:div>
                  </w:divsChild>
                </w:div>
                <w:div w:id="1067846679">
                  <w:marLeft w:val="0"/>
                  <w:marRight w:val="0"/>
                  <w:marTop w:val="0"/>
                  <w:marBottom w:val="0"/>
                  <w:divBdr>
                    <w:top w:val="none" w:sz="0" w:space="0" w:color="auto"/>
                    <w:left w:val="none" w:sz="0" w:space="0" w:color="auto"/>
                    <w:bottom w:val="none" w:sz="0" w:space="0" w:color="auto"/>
                    <w:right w:val="none" w:sz="0" w:space="0" w:color="auto"/>
                  </w:divBdr>
                  <w:divsChild>
                    <w:div w:id="1481310793">
                      <w:marLeft w:val="0"/>
                      <w:marRight w:val="0"/>
                      <w:marTop w:val="0"/>
                      <w:marBottom w:val="0"/>
                      <w:divBdr>
                        <w:top w:val="none" w:sz="0" w:space="0" w:color="auto"/>
                        <w:left w:val="none" w:sz="0" w:space="0" w:color="auto"/>
                        <w:bottom w:val="none" w:sz="0" w:space="0" w:color="auto"/>
                        <w:right w:val="none" w:sz="0" w:space="0" w:color="auto"/>
                      </w:divBdr>
                    </w:div>
                  </w:divsChild>
                </w:div>
                <w:div w:id="1160658573">
                  <w:marLeft w:val="0"/>
                  <w:marRight w:val="0"/>
                  <w:marTop w:val="0"/>
                  <w:marBottom w:val="0"/>
                  <w:divBdr>
                    <w:top w:val="none" w:sz="0" w:space="0" w:color="auto"/>
                    <w:left w:val="none" w:sz="0" w:space="0" w:color="auto"/>
                    <w:bottom w:val="none" w:sz="0" w:space="0" w:color="auto"/>
                    <w:right w:val="none" w:sz="0" w:space="0" w:color="auto"/>
                  </w:divBdr>
                  <w:divsChild>
                    <w:div w:id="404959461">
                      <w:marLeft w:val="0"/>
                      <w:marRight w:val="0"/>
                      <w:marTop w:val="0"/>
                      <w:marBottom w:val="0"/>
                      <w:divBdr>
                        <w:top w:val="none" w:sz="0" w:space="0" w:color="auto"/>
                        <w:left w:val="none" w:sz="0" w:space="0" w:color="auto"/>
                        <w:bottom w:val="none" w:sz="0" w:space="0" w:color="auto"/>
                        <w:right w:val="none" w:sz="0" w:space="0" w:color="auto"/>
                      </w:divBdr>
                    </w:div>
                  </w:divsChild>
                </w:div>
                <w:div w:id="1211459882">
                  <w:marLeft w:val="0"/>
                  <w:marRight w:val="0"/>
                  <w:marTop w:val="0"/>
                  <w:marBottom w:val="0"/>
                  <w:divBdr>
                    <w:top w:val="none" w:sz="0" w:space="0" w:color="auto"/>
                    <w:left w:val="none" w:sz="0" w:space="0" w:color="auto"/>
                    <w:bottom w:val="none" w:sz="0" w:space="0" w:color="auto"/>
                    <w:right w:val="none" w:sz="0" w:space="0" w:color="auto"/>
                  </w:divBdr>
                  <w:divsChild>
                    <w:div w:id="1734230709">
                      <w:marLeft w:val="0"/>
                      <w:marRight w:val="0"/>
                      <w:marTop w:val="0"/>
                      <w:marBottom w:val="0"/>
                      <w:divBdr>
                        <w:top w:val="none" w:sz="0" w:space="0" w:color="auto"/>
                        <w:left w:val="none" w:sz="0" w:space="0" w:color="auto"/>
                        <w:bottom w:val="none" w:sz="0" w:space="0" w:color="auto"/>
                        <w:right w:val="none" w:sz="0" w:space="0" w:color="auto"/>
                      </w:divBdr>
                    </w:div>
                  </w:divsChild>
                </w:div>
                <w:div w:id="1265655695">
                  <w:marLeft w:val="0"/>
                  <w:marRight w:val="0"/>
                  <w:marTop w:val="0"/>
                  <w:marBottom w:val="0"/>
                  <w:divBdr>
                    <w:top w:val="none" w:sz="0" w:space="0" w:color="auto"/>
                    <w:left w:val="none" w:sz="0" w:space="0" w:color="auto"/>
                    <w:bottom w:val="none" w:sz="0" w:space="0" w:color="auto"/>
                    <w:right w:val="none" w:sz="0" w:space="0" w:color="auto"/>
                  </w:divBdr>
                  <w:divsChild>
                    <w:div w:id="1404066324">
                      <w:marLeft w:val="0"/>
                      <w:marRight w:val="0"/>
                      <w:marTop w:val="0"/>
                      <w:marBottom w:val="0"/>
                      <w:divBdr>
                        <w:top w:val="none" w:sz="0" w:space="0" w:color="auto"/>
                        <w:left w:val="none" w:sz="0" w:space="0" w:color="auto"/>
                        <w:bottom w:val="none" w:sz="0" w:space="0" w:color="auto"/>
                        <w:right w:val="none" w:sz="0" w:space="0" w:color="auto"/>
                      </w:divBdr>
                    </w:div>
                  </w:divsChild>
                </w:div>
                <w:div w:id="1282885152">
                  <w:marLeft w:val="0"/>
                  <w:marRight w:val="0"/>
                  <w:marTop w:val="0"/>
                  <w:marBottom w:val="0"/>
                  <w:divBdr>
                    <w:top w:val="none" w:sz="0" w:space="0" w:color="auto"/>
                    <w:left w:val="none" w:sz="0" w:space="0" w:color="auto"/>
                    <w:bottom w:val="none" w:sz="0" w:space="0" w:color="auto"/>
                    <w:right w:val="none" w:sz="0" w:space="0" w:color="auto"/>
                  </w:divBdr>
                  <w:divsChild>
                    <w:div w:id="1230532444">
                      <w:marLeft w:val="0"/>
                      <w:marRight w:val="0"/>
                      <w:marTop w:val="0"/>
                      <w:marBottom w:val="0"/>
                      <w:divBdr>
                        <w:top w:val="none" w:sz="0" w:space="0" w:color="auto"/>
                        <w:left w:val="none" w:sz="0" w:space="0" w:color="auto"/>
                        <w:bottom w:val="none" w:sz="0" w:space="0" w:color="auto"/>
                        <w:right w:val="none" w:sz="0" w:space="0" w:color="auto"/>
                      </w:divBdr>
                    </w:div>
                  </w:divsChild>
                </w:div>
                <w:div w:id="1341078745">
                  <w:marLeft w:val="0"/>
                  <w:marRight w:val="0"/>
                  <w:marTop w:val="0"/>
                  <w:marBottom w:val="0"/>
                  <w:divBdr>
                    <w:top w:val="none" w:sz="0" w:space="0" w:color="auto"/>
                    <w:left w:val="none" w:sz="0" w:space="0" w:color="auto"/>
                    <w:bottom w:val="none" w:sz="0" w:space="0" w:color="auto"/>
                    <w:right w:val="none" w:sz="0" w:space="0" w:color="auto"/>
                  </w:divBdr>
                  <w:divsChild>
                    <w:div w:id="426848949">
                      <w:marLeft w:val="0"/>
                      <w:marRight w:val="0"/>
                      <w:marTop w:val="0"/>
                      <w:marBottom w:val="0"/>
                      <w:divBdr>
                        <w:top w:val="none" w:sz="0" w:space="0" w:color="auto"/>
                        <w:left w:val="none" w:sz="0" w:space="0" w:color="auto"/>
                        <w:bottom w:val="none" w:sz="0" w:space="0" w:color="auto"/>
                        <w:right w:val="none" w:sz="0" w:space="0" w:color="auto"/>
                      </w:divBdr>
                    </w:div>
                  </w:divsChild>
                </w:div>
                <w:div w:id="1398431408">
                  <w:marLeft w:val="0"/>
                  <w:marRight w:val="0"/>
                  <w:marTop w:val="0"/>
                  <w:marBottom w:val="0"/>
                  <w:divBdr>
                    <w:top w:val="none" w:sz="0" w:space="0" w:color="auto"/>
                    <w:left w:val="none" w:sz="0" w:space="0" w:color="auto"/>
                    <w:bottom w:val="none" w:sz="0" w:space="0" w:color="auto"/>
                    <w:right w:val="none" w:sz="0" w:space="0" w:color="auto"/>
                  </w:divBdr>
                  <w:divsChild>
                    <w:div w:id="1478454395">
                      <w:marLeft w:val="0"/>
                      <w:marRight w:val="0"/>
                      <w:marTop w:val="0"/>
                      <w:marBottom w:val="0"/>
                      <w:divBdr>
                        <w:top w:val="none" w:sz="0" w:space="0" w:color="auto"/>
                        <w:left w:val="none" w:sz="0" w:space="0" w:color="auto"/>
                        <w:bottom w:val="none" w:sz="0" w:space="0" w:color="auto"/>
                        <w:right w:val="none" w:sz="0" w:space="0" w:color="auto"/>
                      </w:divBdr>
                    </w:div>
                  </w:divsChild>
                </w:div>
                <w:div w:id="1522622710">
                  <w:marLeft w:val="0"/>
                  <w:marRight w:val="0"/>
                  <w:marTop w:val="0"/>
                  <w:marBottom w:val="0"/>
                  <w:divBdr>
                    <w:top w:val="none" w:sz="0" w:space="0" w:color="auto"/>
                    <w:left w:val="none" w:sz="0" w:space="0" w:color="auto"/>
                    <w:bottom w:val="none" w:sz="0" w:space="0" w:color="auto"/>
                    <w:right w:val="none" w:sz="0" w:space="0" w:color="auto"/>
                  </w:divBdr>
                  <w:divsChild>
                    <w:div w:id="1840853848">
                      <w:marLeft w:val="0"/>
                      <w:marRight w:val="0"/>
                      <w:marTop w:val="0"/>
                      <w:marBottom w:val="0"/>
                      <w:divBdr>
                        <w:top w:val="none" w:sz="0" w:space="0" w:color="auto"/>
                        <w:left w:val="none" w:sz="0" w:space="0" w:color="auto"/>
                        <w:bottom w:val="none" w:sz="0" w:space="0" w:color="auto"/>
                        <w:right w:val="none" w:sz="0" w:space="0" w:color="auto"/>
                      </w:divBdr>
                    </w:div>
                  </w:divsChild>
                </w:div>
                <w:div w:id="1724059064">
                  <w:marLeft w:val="0"/>
                  <w:marRight w:val="0"/>
                  <w:marTop w:val="0"/>
                  <w:marBottom w:val="0"/>
                  <w:divBdr>
                    <w:top w:val="none" w:sz="0" w:space="0" w:color="auto"/>
                    <w:left w:val="none" w:sz="0" w:space="0" w:color="auto"/>
                    <w:bottom w:val="none" w:sz="0" w:space="0" w:color="auto"/>
                    <w:right w:val="none" w:sz="0" w:space="0" w:color="auto"/>
                  </w:divBdr>
                  <w:divsChild>
                    <w:div w:id="409087252">
                      <w:marLeft w:val="0"/>
                      <w:marRight w:val="0"/>
                      <w:marTop w:val="0"/>
                      <w:marBottom w:val="0"/>
                      <w:divBdr>
                        <w:top w:val="none" w:sz="0" w:space="0" w:color="auto"/>
                        <w:left w:val="none" w:sz="0" w:space="0" w:color="auto"/>
                        <w:bottom w:val="none" w:sz="0" w:space="0" w:color="auto"/>
                        <w:right w:val="none" w:sz="0" w:space="0" w:color="auto"/>
                      </w:divBdr>
                    </w:div>
                  </w:divsChild>
                </w:div>
                <w:div w:id="1880121740">
                  <w:marLeft w:val="0"/>
                  <w:marRight w:val="0"/>
                  <w:marTop w:val="0"/>
                  <w:marBottom w:val="0"/>
                  <w:divBdr>
                    <w:top w:val="none" w:sz="0" w:space="0" w:color="auto"/>
                    <w:left w:val="none" w:sz="0" w:space="0" w:color="auto"/>
                    <w:bottom w:val="none" w:sz="0" w:space="0" w:color="auto"/>
                    <w:right w:val="none" w:sz="0" w:space="0" w:color="auto"/>
                  </w:divBdr>
                  <w:divsChild>
                    <w:div w:id="86337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418144">
      <w:bodyDiv w:val="1"/>
      <w:marLeft w:val="0"/>
      <w:marRight w:val="0"/>
      <w:marTop w:val="0"/>
      <w:marBottom w:val="0"/>
      <w:divBdr>
        <w:top w:val="none" w:sz="0" w:space="0" w:color="auto"/>
        <w:left w:val="none" w:sz="0" w:space="0" w:color="auto"/>
        <w:bottom w:val="none" w:sz="0" w:space="0" w:color="auto"/>
        <w:right w:val="none" w:sz="0" w:space="0" w:color="auto"/>
      </w:divBdr>
    </w:div>
    <w:div w:id="1711882283">
      <w:bodyDiv w:val="1"/>
      <w:marLeft w:val="0"/>
      <w:marRight w:val="0"/>
      <w:marTop w:val="0"/>
      <w:marBottom w:val="0"/>
      <w:divBdr>
        <w:top w:val="none" w:sz="0" w:space="0" w:color="auto"/>
        <w:left w:val="none" w:sz="0" w:space="0" w:color="auto"/>
        <w:bottom w:val="none" w:sz="0" w:space="0" w:color="auto"/>
        <w:right w:val="none" w:sz="0" w:space="0" w:color="auto"/>
      </w:divBdr>
    </w:div>
    <w:div w:id="1733501281">
      <w:bodyDiv w:val="1"/>
      <w:marLeft w:val="0"/>
      <w:marRight w:val="0"/>
      <w:marTop w:val="0"/>
      <w:marBottom w:val="0"/>
      <w:divBdr>
        <w:top w:val="none" w:sz="0" w:space="0" w:color="auto"/>
        <w:left w:val="none" w:sz="0" w:space="0" w:color="auto"/>
        <w:bottom w:val="none" w:sz="0" w:space="0" w:color="auto"/>
        <w:right w:val="none" w:sz="0" w:space="0" w:color="auto"/>
      </w:divBdr>
      <w:divsChild>
        <w:div w:id="358821441">
          <w:marLeft w:val="0"/>
          <w:marRight w:val="0"/>
          <w:marTop w:val="0"/>
          <w:marBottom w:val="0"/>
          <w:divBdr>
            <w:top w:val="none" w:sz="0" w:space="0" w:color="auto"/>
            <w:left w:val="none" w:sz="0" w:space="0" w:color="auto"/>
            <w:bottom w:val="none" w:sz="0" w:space="0" w:color="auto"/>
            <w:right w:val="none" w:sz="0" w:space="0" w:color="auto"/>
          </w:divBdr>
        </w:div>
        <w:div w:id="488253230">
          <w:marLeft w:val="0"/>
          <w:marRight w:val="0"/>
          <w:marTop w:val="0"/>
          <w:marBottom w:val="0"/>
          <w:divBdr>
            <w:top w:val="none" w:sz="0" w:space="0" w:color="auto"/>
            <w:left w:val="none" w:sz="0" w:space="0" w:color="auto"/>
            <w:bottom w:val="none" w:sz="0" w:space="0" w:color="auto"/>
            <w:right w:val="none" w:sz="0" w:space="0" w:color="auto"/>
          </w:divBdr>
        </w:div>
        <w:div w:id="2144887277">
          <w:marLeft w:val="0"/>
          <w:marRight w:val="0"/>
          <w:marTop w:val="0"/>
          <w:marBottom w:val="0"/>
          <w:divBdr>
            <w:top w:val="none" w:sz="0" w:space="0" w:color="auto"/>
            <w:left w:val="none" w:sz="0" w:space="0" w:color="auto"/>
            <w:bottom w:val="none" w:sz="0" w:space="0" w:color="auto"/>
            <w:right w:val="none" w:sz="0" w:space="0" w:color="auto"/>
          </w:divBdr>
        </w:div>
      </w:divsChild>
    </w:div>
    <w:div w:id="1772122499">
      <w:bodyDiv w:val="1"/>
      <w:marLeft w:val="0"/>
      <w:marRight w:val="0"/>
      <w:marTop w:val="0"/>
      <w:marBottom w:val="0"/>
      <w:divBdr>
        <w:top w:val="none" w:sz="0" w:space="0" w:color="auto"/>
        <w:left w:val="none" w:sz="0" w:space="0" w:color="auto"/>
        <w:bottom w:val="none" w:sz="0" w:space="0" w:color="auto"/>
        <w:right w:val="none" w:sz="0" w:space="0" w:color="auto"/>
      </w:divBdr>
    </w:div>
    <w:div w:id="1775592393">
      <w:bodyDiv w:val="1"/>
      <w:marLeft w:val="0"/>
      <w:marRight w:val="0"/>
      <w:marTop w:val="0"/>
      <w:marBottom w:val="0"/>
      <w:divBdr>
        <w:top w:val="none" w:sz="0" w:space="0" w:color="auto"/>
        <w:left w:val="none" w:sz="0" w:space="0" w:color="auto"/>
        <w:bottom w:val="none" w:sz="0" w:space="0" w:color="auto"/>
        <w:right w:val="none" w:sz="0" w:space="0" w:color="auto"/>
      </w:divBdr>
    </w:div>
    <w:div w:id="1790203936">
      <w:bodyDiv w:val="1"/>
      <w:marLeft w:val="0"/>
      <w:marRight w:val="0"/>
      <w:marTop w:val="0"/>
      <w:marBottom w:val="0"/>
      <w:divBdr>
        <w:top w:val="none" w:sz="0" w:space="0" w:color="auto"/>
        <w:left w:val="none" w:sz="0" w:space="0" w:color="auto"/>
        <w:bottom w:val="none" w:sz="0" w:space="0" w:color="auto"/>
        <w:right w:val="none" w:sz="0" w:space="0" w:color="auto"/>
      </w:divBdr>
      <w:divsChild>
        <w:div w:id="307591726">
          <w:marLeft w:val="0"/>
          <w:marRight w:val="0"/>
          <w:marTop w:val="0"/>
          <w:marBottom w:val="0"/>
          <w:divBdr>
            <w:top w:val="none" w:sz="0" w:space="0" w:color="auto"/>
            <w:left w:val="none" w:sz="0" w:space="0" w:color="auto"/>
            <w:bottom w:val="none" w:sz="0" w:space="0" w:color="auto"/>
            <w:right w:val="none" w:sz="0" w:space="0" w:color="auto"/>
          </w:divBdr>
          <w:divsChild>
            <w:div w:id="810512562">
              <w:marLeft w:val="0"/>
              <w:marRight w:val="0"/>
              <w:marTop w:val="0"/>
              <w:marBottom w:val="0"/>
              <w:divBdr>
                <w:top w:val="none" w:sz="0" w:space="0" w:color="auto"/>
                <w:left w:val="none" w:sz="0" w:space="0" w:color="auto"/>
                <w:bottom w:val="none" w:sz="0" w:space="0" w:color="auto"/>
                <w:right w:val="none" w:sz="0" w:space="0" w:color="auto"/>
              </w:divBdr>
            </w:div>
          </w:divsChild>
        </w:div>
        <w:div w:id="495851910">
          <w:marLeft w:val="0"/>
          <w:marRight w:val="0"/>
          <w:marTop w:val="0"/>
          <w:marBottom w:val="0"/>
          <w:divBdr>
            <w:top w:val="none" w:sz="0" w:space="0" w:color="auto"/>
            <w:left w:val="none" w:sz="0" w:space="0" w:color="auto"/>
            <w:bottom w:val="none" w:sz="0" w:space="0" w:color="auto"/>
            <w:right w:val="none" w:sz="0" w:space="0" w:color="auto"/>
          </w:divBdr>
          <w:divsChild>
            <w:div w:id="1889418602">
              <w:marLeft w:val="0"/>
              <w:marRight w:val="0"/>
              <w:marTop w:val="0"/>
              <w:marBottom w:val="0"/>
              <w:divBdr>
                <w:top w:val="none" w:sz="0" w:space="0" w:color="auto"/>
                <w:left w:val="none" w:sz="0" w:space="0" w:color="auto"/>
                <w:bottom w:val="none" w:sz="0" w:space="0" w:color="auto"/>
                <w:right w:val="none" w:sz="0" w:space="0" w:color="auto"/>
              </w:divBdr>
            </w:div>
          </w:divsChild>
        </w:div>
        <w:div w:id="529881411">
          <w:marLeft w:val="0"/>
          <w:marRight w:val="0"/>
          <w:marTop w:val="0"/>
          <w:marBottom w:val="0"/>
          <w:divBdr>
            <w:top w:val="none" w:sz="0" w:space="0" w:color="auto"/>
            <w:left w:val="none" w:sz="0" w:space="0" w:color="auto"/>
            <w:bottom w:val="none" w:sz="0" w:space="0" w:color="auto"/>
            <w:right w:val="none" w:sz="0" w:space="0" w:color="auto"/>
          </w:divBdr>
          <w:divsChild>
            <w:div w:id="1026446299">
              <w:marLeft w:val="0"/>
              <w:marRight w:val="0"/>
              <w:marTop w:val="0"/>
              <w:marBottom w:val="0"/>
              <w:divBdr>
                <w:top w:val="none" w:sz="0" w:space="0" w:color="auto"/>
                <w:left w:val="none" w:sz="0" w:space="0" w:color="auto"/>
                <w:bottom w:val="none" w:sz="0" w:space="0" w:color="auto"/>
                <w:right w:val="none" w:sz="0" w:space="0" w:color="auto"/>
              </w:divBdr>
            </w:div>
          </w:divsChild>
        </w:div>
        <w:div w:id="565840732">
          <w:marLeft w:val="0"/>
          <w:marRight w:val="0"/>
          <w:marTop w:val="0"/>
          <w:marBottom w:val="0"/>
          <w:divBdr>
            <w:top w:val="none" w:sz="0" w:space="0" w:color="auto"/>
            <w:left w:val="none" w:sz="0" w:space="0" w:color="auto"/>
            <w:bottom w:val="none" w:sz="0" w:space="0" w:color="auto"/>
            <w:right w:val="none" w:sz="0" w:space="0" w:color="auto"/>
          </w:divBdr>
          <w:divsChild>
            <w:div w:id="1698852516">
              <w:marLeft w:val="0"/>
              <w:marRight w:val="0"/>
              <w:marTop w:val="0"/>
              <w:marBottom w:val="0"/>
              <w:divBdr>
                <w:top w:val="none" w:sz="0" w:space="0" w:color="auto"/>
                <w:left w:val="none" w:sz="0" w:space="0" w:color="auto"/>
                <w:bottom w:val="none" w:sz="0" w:space="0" w:color="auto"/>
                <w:right w:val="none" w:sz="0" w:space="0" w:color="auto"/>
              </w:divBdr>
            </w:div>
          </w:divsChild>
        </w:div>
        <w:div w:id="644893570">
          <w:marLeft w:val="0"/>
          <w:marRight w:val="0"/>
          <w:marTop w:val="0"/>
          <w:marBottom w:val="0"/>
          <w:divBdr>
            <w:top w:val="none" w:sz="0" w:space="0" w:color="auto"/>
            <w:left w:val="none" w:sz="0" w:space="0" w:color="auto"/>
            <w:bottom w:val="none" w:sz="0" w:space="0" w:color="auto"/>
            <w:right w:val="none" w:sz="0" w:space="0" w:color="auto"/>
          </w:divBdr>
          <w:divsChild>
            <w:div w:id="1751386671">
              <w:marLeft w:val="0"/>
              <w:marRight w:val="0"/>
              <w:marTop w:val="0"/>
              <w:marBottom w:val="0"/>
              <w:divBdr>
                <w:top w:val="none" w:sz="0" w:space="0" w:color="auto"/>
                <w:left w:val="none" w:sz="0" w:space="0" w:color="auto"/>
                <w:bottom w:val="none" w:sz="0" w:space="0" w:color="auto"/>
                <w:right w:val="none" w:sz="0" w:space="0" w:color="auto"/>
              </w:divBdr>
            </w:div>
          </w:divsChild>
        </w:div>
        <w:div w:id="770664497">
          <w:marLeft w:val="0"/>
          <w:marRight w:val="0"/>
          <w:marTop w:val="0"/>
          <w:marBottom w:val="0"/>
          <w:divBdr>
            <w:top w:val="none" w:sz="0" w:space="0" w:color="auto"/>
            <w:left w:val="none" w:sz="0" w:space="0" w:color="auto"/>
            <w:bottom w:val="none" w:sz="0" w:space="0" w:color="auto"/>
            <w:right w:val="none" w:sz="0" w:space="0" w:color="auto"/>
          </w:divBdr>
          <w:divsChild>
            <w:div w:id="1356274834">
              <w:marLeft w:val="0"/>
              <w:marRight w:val="0"/>
              <w:marTop w:val="0"/>
              <w:marBottom w:val="0"/>
              <w:divBdr>
                <w:top w:val="none" w:sz="0" w:space="0" w:color="auto"/>
                <w:left w:val="none" w:sz="0" w:space="0" w:color="auto"/>
                <w:bottom w:val="none" w:sz="0" w:space="0" w:color="auto"/>
                <w:right w:val="none" w:sz="0" w:space="0" w:color="auto"/>
              </w:divBdr>
            </w:div>
          </w:divsChild>
        </w:div>
        <w:div w:id="786461225">
          <w:marLeft w:val="0"/>
          <w:marRight w:val="0"/>
          <w:marTop w:val="0"/>
          <w:marBottom w:val="0"/>
          <w:divBdr>
            <w:top w:val="none" w:sz="0" w:space="0" w:color="auto"/>
            <w:left w:val="none" w:sz="0" w:space="0" w:color="auto"/>
            <w:bottom w:val="none" w:sz="0" w:space="0" w:color="auto"/>
            <w:right w:val="none" w:sz="0" w:space="0" w:color="auto"/>
          </w:divBdr>
          <w:divsChild>
            <w:div w:id="2007584988">
              <w:marLeft w:val="0"/>
              <w:marRight w:val="0"/>
              <w:marTop w:val="0"/>
              <w:marBottom w:val="0"/>
              <w:divBdr>
                <w:top w:val="none" w:sz="0" w:space="0" w:color="auto"/>
                <w:left w:val="none" w:sz="0" w:space="0" w:color="auto"/>
                <w:bottom w:val="none" w:sz="0" w:space="0" w:color="auto"/>
                <w:right w:val="none" w:sz="0" w:space="0" w:color="auto"/>
              </w:divBdr>
            </w:div>
          </w:divsChild>
        </w:div>
        <w:div w:id="859245724">
          <w:marLeft w:val="0"/>
          <w:marRight w:val="0"/>
          <w:marTop w:val="0"/>
          <w:marBottom w:val="0"/>
          <w:divBdr>
            <w:top w:val="none" w:sz="0" w:space="0" w:color="auto"/>
            <w:left w:val="none" w:sz="0" w:space="0" w:color="auto"/>
            <w:bottom w:val="none" w:sz="0" w:space="0" w:color="auto"/>
            <w:right w:val="none" w:sz="0" w:space="0" w:color="auto"/>
          </w:divBdr>
          <w:divsChild>
            <w:div w:id="371003765">
              <w:marLeft w:val="0"/>
              <w:marRight w:val="0"/>
              <w:marTop w:val="0"/>
              <w:marBottom w:val="0"/>
              <w:divBdr>
                <w:top w:val="none" w:sz="0" w:space="0" w:color="auto"/>
                <w:left w:val="none" w:sz="0" w:space="0" w:color="auto"/>
                <w:bottom w:val="none" w:sz="0" w:space="0" w:color="auto"/>
                <w:right w:val="none" w:sz="0" w:space="0" w:color="auto"/>
              </w:divBdr>
            </w:div>
          </w:divsChild>
        </w:div>
        <w:div w:id="877087595">
          <w:marLeft w:val="0"/>
          <w:marRight w:val="0"/>
          <w:marTop w:val="0"/>
          <w:marBottom w:val="0"/>
          <w:divBdr>
            <w:top w:val="none" w:sz="0" w:space="0" w:color="auto"/>
            <w:left w:val="none" w:sz="0" w:space="0" w:color="auto"/>
            <w:bottom w:val="none" w:sz="0" w:space="0" w:color="auto"/>
            <w:right w:val="none" w:sz="0" w:space="0" w:color="auto"/>
          </w:divBdr>
          <w:divsChild>
            <w:div w:id="1470628929">
              <w:marLeft w:val="0"/>
              <w:marRight w:val="0"/>
              <w:marTop w:val="0"/>
              <w:marBottom w:val="0"/>
              <w:divBdr>
                <w:top w:val="none" w:sz="0" w:space="0" w:color="auto"/>
                <w:left w:val="none" w:sz="0" w:space="0" w:color="auto"/>
                <w:bottom w:val="none" w:sz="0" w:space="0" w:color="auto"/>
                <w:right w:val="none" w:sz="0" w:space="0" w:color="auto"/>
              </w:divBdr>
            </w:div>
          </w:divsChild>
        </w:div>
        <w:div w:id="993988378">
          <w:marLeft w:val="0"/>
          <w:marRight w:val="0"/>
          <w:marTop w:val="0"/>
          <w:marBottom w:val="0"/>
          <w:divBdr>
            <w:top w:val="none" w:sz="0" w:space="0" w:color="auto"/>
            <w:left w:val="none" w:sz="0" w:space="0" w:color="auto"/>
            <w:bottom w:val="none" w:sz="0" w:space="0" w:color="auto"/>
            <w:right w:val="none" w:sz="0" w:space="0" w:color="auto"/>
          </w:divBdr>
          <w:divsChild>
            <w:div w:id="213586380">
              <w:marLeft w:val="0"/>
              <w:marRight w:val="0"/>
              <w:marTop w:val="0"/>
              <w:marBottom w:val="0"/>
              <w:divBdr>
                <w:top w:val="none" w:sz="0" w:space="0" w:color="auto"/>
                <w:left w:val="none" w:sz="0" w:space="0" w:color="auto"/>
                <w:bottom w:val="none" w:sz="0" w:space="0" w:color="auto"/>
                <w:right w:val="none" w:sz="0" w:space="0" w:color="auto"/>
              </w:divBdr>
            </w:div>
          </w:divsChild>
        </w:div>
        <w:div w:id="1054936341">
          <w:marLeft w:val="0"/>
          <w:marRight w:val="0"/>
          <w:marTop w:val="0"/>
          <w:marBottom w:val="0"/>
          <w:divBdr>
            <w:top w:val="none" w:sz="0" w:space="0" w:color="auto"/>
            <w:left w:val="none" w:sz="0" w:space="0" w:color="auto"/>
            <w:bottom w:val="none" w:sz="0" w:space="0" w:color="auto"/>
            <w:right w:val="none" w:sz="0" w:space="0" w:color="auto"/>
          </w:divBdr>
          <w:divsChild>
            <w:div w:id="1780292298">
              <w:marLeft w:val="0"/>
              <w:marRight w:val="0"/>
              <w:marTop w:val="0"/>
              <w:marBottom w:val="0"/>
              <w:divBdr>
                <w:top w:val="none" w:sz="0" w:space="0" w:color="auto"/>
                <w:left w:val="none" w:sz="0" w:space="0" w:color="auto"/>
                <w:bottom w:val="none" w:sz="0" w:space="0" w:color="auto"/>
                <w:right w:val="none" w:sz="0" w:space="0" w:color="auto"/>
              </w:divBdr>
            </w:div>
          </w:divsChild>
        </w:div>
        <w:div w:id="1065952015">
          <w:marLeft w:val="0"/>
          <w:marRight w:val="0"/>
          <w:marTop w:val="0"/>
          <w:marBottom w:val="0"/>
          <w:divBdr>
            <w:top w:val="none" w:sz="0" w:space="0" w:color="auto"/>
            <w:left w:val="none" w:sz="0" w:space="0" w:color="auto"/>
            <w:bottom w:val="none" w:sz="0" w:space="0" w:color="auto"/>
            <w:right w:val="none" w:sz="0" w:space="0" w:color="auto"/>
          </w:divBdr>
          <w:divsChild>
            <w:div w:id="1508522567">
              <w:marLeft w:val="0"/>
              <w:marRight w:val="0"/>
              <w:marTop w:val="0"/>
              <w:marBottom w:val="0"/>
              <w:divBdr>
                <w:top w:val="none" w:sz="0" w:space="0" w:color="auto"/>
                <w:left w:val="none" w:sz="0" w:space="0" w:color="auto"/>
                <w:bottom w:val="none" w:sz="0" w:space="0" w:color="auto"/>
                <w:right w:val="none" w:sz="0" w:space="0" w:color="auto"/>
              </w:divBdr>
            </w:div>
          </w:divsChild>
        </w:div>
        <w:div w:id="1125612495">
          <w:marLeft w:val="0"/>
          <w:marRight w:val="0"/>
          <w:marTop w:val="0"/>
          <w:marBottom w:val="0"/>
          <w:divBdr>
            <w:top w:val="none" w:sz="0" w:space="0" w:color="auto"/>
            <w:left w:val="none" w:sz="0" w:space="0" w:color="auto"/>
            <w:bottom w:val="none" w:sz="0" w:space="0" w:color="auto"/>
            <w:right w:val="none" w:sz="0" w:space="0" w:color="auto"/>
          </w:divBdr>
          <w:divsChild>
            <w:div w:id="683826451">
              <w:marLeft w:val="0"/>
              <w:marRight w:val="0"/>
              <w:marTop w:val="0"/>
              <w:marBottom w:val="0"/>
              <w:divBdr>
                <w:top w:val="none" w:sz="0" w:space="0" w:color="auto"/>
                <w:left w:val="none" w:sz="0" w:space="0" w:color="auto"/>
                <w:bottom w:val="none" w:sz="0" w:space="0" w:color="auto"/>
                <w:right w:val="none" w:sz="0" w:space="0" w:color="auto"/>
              </w:divBdr>
            </w:div>
          </w:divsChild>
        </w:div>
        <w:div w:id="1139614623">
          <w:marLeft w:val="0"/>
          <w:marRight w:val="0"/>
          <w:marTop w:val="0"/>
          <w:marBottom w:val="0"/>
          <w:divBdr>
            <w:top w:val="none" w:sz="0" w:space="0" w:color="auto"/>
            <w:left w:val="none" w:sz="0" w:space="0" w:color="auto"/>
            <w:bottom w:val="none" w:sz="0" w:space="0" w:color="auto"/>
            <w:right w:val="none" w:sz="0" w:space="0" w:color="auto"/>
          </w:divBdr>
          <w:divsChild>
            <w:div w:id="1054890412">
              <w:marLeft w:val="0"/>
              <w:marRight w:val="0"/>
              <w:marTop w:val="0"/>
              <w:marBottom w:val="0"/>
              <w:divBdr>
                <w:top w:val="none" w:sz="0" w:space="0" w:color="auto"/>
                <w:left w:val="none" w:sz="0" w:space="0" w:color="auto"/>
                <w:bottom w:val="none" w:sz="0" w:space="0" w:color="auto"/>
                <w:right w:val="none" w:sz="0" w:space="0" w:color="auto"/>
              </w:divBdr>
            </w:div>
          </w:divsChild>
        </w:div>
        <w:div w:id="1366129485">
          <w:marLeft w:val="0"/>
          <w:marRight w:val="0"/>
          <w:marTop w:val="0"/>
          <w:marBottom w:val="0"/>
          <w:divBdr>
            <w:top w:val="none" w:sz="0" w:space="0" w:color="auto"/>
            <w:left w:val="none" w:sz="0" w:space="0" w:color="auto"/>
            <w:bottom w:val="none" w:sz="0" w:space="0" w:color="auto"/>
            <w:right w:val="none" w:sz="0" w:space="0" w:color="auto"/>
          </w:divBdr>
          <w:divsChild>
            <w:div w:id="38287486">
              <w:marLeft w:val="0"/>
              <w:marRight w:val="0"/>
              <w:marTop w:val="0"/>
              <w:marBottom w:val="0"/>
              <w:divBdr>
                <w:top w:val="none" w:sz="0" w:space="0" w:color="auto"/>
                <w:left w:val="none" w:sz="0" w:space="0" w:color="auto"/>
                <w:bottom w:val="none" w:sz="0" w:space="0" w:color="auto"/>
                <w:right w:val="none" w:sz="0" w:space="0" w:color="auto"/>
              </w:divBdr>
            </w:div>
          </w:divsChild>
        </w:div>
        <w:div w:id="1395473689">
          <w:marLeft w:val="0"/>
          <w:marRight w:val="0"/>
          <w:marTop w:val="0"/>
          <w:marBottom w:val="0"/>
          <w:divBdr>
            <w:top w:val="none" w:sz="0" w:space="0" w:color="auto"/>
            <w:left w:val="none" w:sz="0" w:space="0" w:color="auto"/>
            <w:bottom w:val="none" w:sz="0" w:space="0" w:color="auto"/>
            <w:right w:val="none" w:sz="0" w:space="0" w:color="auto"/>
          </w:divBdr>
          <w:divsChild>
            <w:div w:id="1265765989">
              <w:marLeft w:val="0"/>
              <w:marRight w:val="0"/>
              <w:marTop w:val="0"/>
              <w:marBottom w:val="0"/>
              <w:divBdr>
                <w:top w:val="none" w:sz="0" w:space="0" w:color="auto"/>
                <w:left w:val="none" w:sz="0" w:space="0" w:color="auto"/>
                <w:bottom w:val="none" w:sz="0" w:space="0" w:color="auto"/>
                <w:right w:val="none" w:sz="0" w:space="0" w:color="auto"/>
              </w:divBdr>
            </w:div>
          </w:divsChild>
        </w:div>
        <w:div w:id="1450317720">
          <w:marLeft w:val="0"/>
          <w:marRight w:val="0"/>
          <w:marTop w:val="0"/>
          <w:marBottom w:val="0"/>
          <w:divBdr>
            <w:top w:val="none" w:sz="0" w:space="0" w:color="auto"/>
            <w:left w:val="none" w:sz="0" w:space="0" w:color="auto"/>
            <w:bottom w:val="none" w:sz="0" w:space="0" w:color="auto"/>
            <w:right w:val="none" w:sz="0" w:space="0" w:color="auto"/>
          </w:divBdr>
          <w:divsChild>
            <w:div w:id="1702851294">
              <w:marLeft w:val="0"/>
              <w:marRight w:val="0"/>
              <w:marTop w:val="0"/>
              <w:marBottom w:val="0"/>
              <w:divBdr>
                <w:top w:val="none" w:sz="0" w:space="0" w:color="auto"/>
                <w:left w:val="none" w:sz="0" w:space="0" w:color="auto"/>
                <w:bottom w:val="none" w:sz="0" w:space="0" w:color="auto"/>
                <w:right w:val="none" w:sz="0" w:space="0" w:color="auto"/>
              </w:divBdr>
            </w:div>
          </w:divsChild>
        </w:div>
        <w:div w:id="1536576412">
          <w:marLeft w:val="0"/>
          <w:marRight w:val="0"/>
          <w:marTop w:val="0"/>
          <w:marBottom w:val="0"/>
          <w:divBdr>
            <w:top w:val="none" w:sz="0" w:space="0" w:color="auto"/>
            <w:left w:val="none" w:sz="0" w:space="0" w:color="auto"/>
            <w:bottom w:val="none" w:sz="0" w:space="0" w:color="auto"/>
            <w:right w:val="none" w:sz="0" w:space="0" w:color="auto"/>
          </w:divBdr>
          <w:divsChild>
            <w:div w:id="1906335906">
              <w:marLeft w:val="0"/>
              <w:marRight w:val="0"/>
              <w:marTop w:val="0"/>
              <w:marBottom w:val="0"/>
              <w:divBdr>
                <w:top w:val="none" w:sz="0" w:space="0" w:color="auto"/>
                <w:left w:val="none" w:sz="0" w:space="0" w:color="auto"/>
                <w:bottom w:val="none" w:sz="0" w:space="0" w:color="auto"/>
                <w:right w:val="none" w:sz="0" w:space="0" w:color="auto"/>
              </w:divBdr>
            </w:div>
          </w:divsChild>
        </w:div>
        <w:div w:id="1648167817">
          <w:marLeft w:val="0"/>
          <w:marRight w:val="0"/>
          <w:marTop w:val="0"/>
          <w:marBottom w:val="0"/>
          <w:divBdr>
            <w:top w:val="none" w:sz="0" w:space="0" w:color="auto"/>
            <w:left w:val="none" w:sz="0" w:space="0" w:color="auto"/>
            <w:bottom w:val="none" w:sz="0" w:space="0" w:color="auto"/>
            <w:right w:val="none" w:sz="0" w:space="0" w:color="auto"/>
          </w:divBdr>
          <w:divsChild>
            <w:div w:id="1975595598">
              <w:marLeft w:val="0"/>
              <w:marRight w:val="0"/>
              <w:marTop w:val="0"/>
              <w:marBottom w:val="0"/>
              <w:divBdr>
                <w:top w:val="none" w:sz="0" w:space="0" w:color="auto"/>
                <w:left w:val="none" w:sz="0" w:space="0" w:color="auto"/>
                <w:bottom w:val="none" w:sz="0" w:space="0" w:color="auto"/>
                <w:right w:val="none" w:sz="0" w:space="0" w:color="auto"/>
              </w:divBdr>
            </w:div>
          </w:divsChild>
        </w:div>
        <w:div w:id="1708329357">
          <w:marLeft w:val="0"/>
          <w:marRight w:val="0"/>
          <w:marTop w:val="0"/>
          <w:marBottom w:val="0"/>
          <w:divBdr>
            <w:top w:val="none" w:sz="0" w:space="0" w:color="auto"/>
            <w:left w:val="none" w:sz="0" w:space="0" w:color="auto"/>
            <w:bottom w:val="none" w:sz="0" w:space="0" w:color="auto"/>
            <w:right w:val="none" w:sz="0" w:space="0" w:color="auto"/>
          </w:divBdr>
          <w:divsChild>
            <w:div w:id="460656637">
              <w:marLeft w:val="0"/>
              <w:marRight w:val="0"/>
              <w:marTop w:val="0"/>
              <w:marBottom w:val="0"/>
              <w:divBdr>
                <w:top w:val="none" w:sz="0" w:space="0" w:color="auto"/>
                <w:left w:val="none" w:sz="0" w:space="0" w:color="auto"/>
                <w:bottom w:val="none" w:sz="0" w:space="0" w:color="auto"/>
                <w:right w:val="none" w:sz="0" w:space="0" w:color="auto"/>
              </w:divBdr>
            </w:div>
          </w:divsChild>
        </w:div>
        <w:div w:id="1798982784">
          <w:marLeft w:val="0"/>
          <w:marRight w:val="0"/>
          <w:marTop w:val="0"/>
          <w:marBottom w:val="0"/>
          <w:divBdr>
            <w:top w:val="none" w:sz="0" w:space="0" w:color="auto"/>
            <w:left w:val="none" w:sz="0" w:space="0" w:color="auto"/>
            <w:bottom w:val="none" w:sz="0" w:space="0" w:color="auto"/>
            <w:right w:val="none" w:sz="0" w:space="0" w:color="auto"/>
          </w:divBdr>
          <w:divsChild>
            <w:div w:id="8919858">
              <w:marLeft w:val="0"/>
              <w:marRight w:val="0"/>
              <w:marTop w:val="0"/>
              <w:marBottom w:val="0"/>
              <w:divBdr>
                <w:top w:val="none" w:sz="0" w:space="0" w:color="auto"/>
                <w:left w:val="none" w:sz="0" w:space="0" w:color="auto"/>
                <w:bottom w:val="none" w:sz="0" w:space="0" w:color="auto"/>
                <w:right w:val="none" w:sz="0" w:space="0" w:color="auto"/>
              </w:divBdr>
            </w:div>
          </w:divsChild>
        </w:div>
        <w:div w:id="1965454096">
          <w:marLeft w:val="0"/>
          <w:marRight w:val="0"/>
          <w:marTop w:val="0"/>
          <w:marBottom w:val="0"/>
          <w:divBdr>
            <w:top w:val="none" w:sz="0" w:space="0" w:color="auto"/>
            <w:left w:val="none" w:sz="0" w:space="0" w:color="auto"/>
            <w:bottom w:val="none" w:sz="0" w:space="0" w:color="auto"/>
            <w:right w:val="none" w:sz="0" w:space="0" w:color="auto"/>
          </w:divBdr>
          <w:divsChild>
            <w:div w:id="1926453904">
              <w:marLeft w:val="0"/>
              <w:marRight w:val="0"/>
              <w:marTop w:val="0"/>
              <w:marBottom w:val="0"/>
              <w:divBdr>
                <w:top w:val="none" w:sz="0" w:space="0" w:color="auto"/>
                <w:left w:val="none" w:sz="0" w:space="0" w:color="auto"/>
                <w:bottom w:val="none" w:sz="0" w:space="0" w:color="auto"/>
                <w:right w:val="none" w:sz="0" w:space="0" w:color="auto"/>
              </w:divBdr>
            </w:div>
          </w:divsChild>
        </w:div>
        <w:div w:id="2035688010">
          <w:marLeft w:val="0"/>
          <w:marRight w:val="0"/>
          <w:marTop w:val="0"/>
          <w:marBottom w:val="0"/>
          <w:divBdr>
            <w:top w:val="none" w:sz="0" w:space="0" w:color="auto"/>
            <w:left w:val="none" w:sz="0" w:space="0" w:color="auto"/>
            <w:bottom w:val="none" w:sz="0" w:space="0" w:color="auto"/>
            <w:right w:val="none" w:sz="0" w:space="0" w:color="auto"/>
          </w:divBdr>
          <w:divsChild>
            <w:div w:id="1853375359">
              <w:marLeft w:val="0"/>
              <w:marRight w:val="0"/>
              <w:marTop w:val="0"/>
              <w:marBottom w:val="0"/>
              <w:divBdr>
                <w:top w:val="none" w:sz="0" w:space="0" w:color="auto"/>
                <w:left w:val="none" w:sz="0" w:space="0" w:color="auto"/>
                <w:bottom w:val="none" w:sz="0" w:space="0" w:color="auto"/>
                <w:right w:val="none" w:sz="0" w:space="0" w:color="auto"/>
              </w:divBdr>
            </w:div>
          </w:divsChild>
        </w:div>
        <w:div w:id="2141216958">
          <w:marLeft w:val="0"/>
          <w:marRight w:val="0"/>
          <w:marTop w:val="0"/>
          <w:marBottom w:val="0"/>
          <w:divBdr>
            <w:top w:val="none" w:sz="0" w:space="0" w:color="auto"/>
            <w:left w:val="none" w:sz="0" w:space="0" w:color="auto"/>
            <w:bottom w:val="none" w:sz="0" w:space="0" w:color="auto"/>
            <w:right w:val="none" w:sz="0" w:space="0" w:color="auto"/>
          </w:divBdr>
          <w:divsChild>
            <w:div w:id="894971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166125">
      <w:bodyDiv w:val="1"/>
      <w:marLeft w:val="0"/>
      <w:marRight w:val="0"/>
      <w:marTop w:val="0"/>
      <w:marBottom w:val="0"/>
      <w:divBdr>
        <w:top w:val="none" w:sz="0" w:space="0" w:color="auto"/>
        <w:left w:val="none" w:sz="0" w:space="0" w:color="auto"/>
        <w:bottom w:val="none" w:sz="0" w:space="0" w:color="auto"/>
        <w:right w:val="none" w:sz="0" w:space="0" w:color="auto"/>
      </w:divBdr>
    </w:div>
    <w:div w:id="1957637082">
      <w:bodyDiv w:val="1"/>
      <w:marLeft w:val="0"/>
      <w:marRight w:val="0"/>
      <w:marTop w:val="0"/>
      <w:marBottom w:val="0"/>
      <w:divBdr>
        <w:top w:val="none" w:sz="0" w:space="0" w:color="auto"/>
        <w:left w:val="none" w:sz="0" w:space="0" w:color="auto"/>
        <w:bottom w:val="none" w:sz="0" w:space="0" w:color="auto"/>
        <w:right w:val="none" w:sz="0" w:space="0" w:color="auto"/>
      </w:divBdr>
    </w:div>
    <w:div w:id="1978073150">
      <w:bodyDiv w:val="1"/>
      <w:marLeft w:val="0"/>
      <w:marRight w:val="0"/>
      <w:marTop w:val="0"/>
      <w:marBottom w:val="0"/>
      <w:divBdr>
        <w:top w:val="none" w:sz="0" w:space="0" w:color="auto"/>
        <w:left w:val="none" w:sz="0" w:space="0" w:color="auto"/>
        <w:bottom w:val="none" w:sz="0" w:space="0" w:color="auto"/>
        <w:right w:val="none" w:sz="0" w:space="0" w:color="auto"/>
      </w:divBdr>
    </w:div>
    <w:div w:id="2034722730">
      <w:bodyDiv w:val="1"/>
      <w:marLeft w:val="0"/>
      <w:marRight w:val="0"/>
      <w:marTop w:val="0"/>
      <w:marBottom w:val="0"/>
      <w:divBdr>
        <w:top w:val="none" w:sz="0" w:space="0" w:color="auto"/>
        <w:left w:val="none" w:sz="0" w:space="0" w:color="auto"/>
        <w:bottom w:val="none" w:sz="0" w:space="0" w:color="auto"/>
        <w:right w:val="none" w:sz="0" w:space="0" w:color="auto"/>
      </w:divBdr>
    </w:div>
    <w:div w:id="2051950737">
      <w:bodyDiv w:val="1"/>
      <w:marLeft w:val="0"/>
      <w:marRight w:val="0"/>
      <w:marTop w:val="0"/>
      <w:marBottom w:val="0"/>
      <w:divBdr>
        <w:top w:val="none" w:sz="0" w:space="0" w:color="auto"/>
        <w:left w:val="none" w:sz="0" w:space="0" w:color="auto"/>
        <w:bottom w:val="none" w:sz="0" w:space="0" w:color="auto"/>
        <w:right w:val="none" w:sz="0" w:space="0" w:color="auto"/>
      </w:divBdr>
      <w:divsChild>
        <w:div w:id="181239733">
          <w:marLeft w:val="0"/>
          <w:marRight w:val="0"/>
          <w:marTop w:val="0"/>
          <w:marBottom w:val="0"/>
          <w:divBdr>
            <w:top w:val="none" w:sz="0" w:space="0" w:color="auto"/>
            <w:left w:val="none" w:sz="0" w:space="0" w:color="auto"/>
            <w:bottom w:val="none" w:sz="0" w:space="0" w:color="auto"/>
            <w:right w:val="none" w:sz="0" w:space="0" w:color="auto"/>
          </w:divBdr>
          <w:divsChild>
            <w:div w:id="1864827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310990">
      <w:bodyDiv w:val="1"/>
      <w:marLeft w:val="0"/>
      <w:marRight w:val="0"/>
      <w:marTop w:val="0"/>
      <w:marBottom w:val="0"/>
      <w:divBdr>
        <w:top w:val="none" w:sz="0" w:space="0" w:color="auto"/>
        <w:left w:val="none" w:sz="0" w:space="0" w:color="auto"/>
        <w:bottom w:val="none" w:sz="0" w:space="0" w:color="auto"/>
        <w:right w:val="none" w:sz="0" w:space="0" w:color="auto"/>
      </w:divBdr>
    </w:div>
    <w:div w:id="2104716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7.xml"/><Relationship Id="rId117" Type="http://schemas.openxmlformats.org/officeDocument/2006/relationships/footer" Target="footer53.xml"/><Relationship Id="rId21" Type="http://schemas.openxmlformats.org/officeDocument/2006/relationships/footer" Target="footer5.xml"/><Relationship Id="rId42" Type="http://schemas.openxmlformats.org/officeDocument/2006/relationships/header" Target="header16.xml"/><Relationship Id="rId47" Type="http://schemas.openxmlformats.org/officeDocument/2006/relationships/footer" Target="footer18.xml"/><Relationship Id="rId63" Type="http://schemas.openxmlformats.org/officeDocument/2006/relationships/footer" Target="footer26.xml"/><Relationship Id="rId68" Type="http://schemas.openxmlformats.org/officeDocument/2006/relationships/footer" Target="footer28.xml"/><Relationship Id="rId84" Type="http://schemas.openxmlformats.org/officeDocument/2006/relationships/footer" Target="footer36.xml"/><Relationship Id="rId89" Type="http://schemas.openxmlformats.org/officeDocument/2006/relationships/header" Target="header40.xml"/><Relationship Id="rId112" Type="http://schemas.openxmlformats.org/officeDocument/2006/relationships/footer" Target="footer50.xml"/><Relationship Id="rId133" Type="http://schemas.openxmlformats.org/officeDocument/2006/relationships/theme" Target="theme/theme1.xml"/><Relationship Id="rId16" Type="http://schemas.openxmlformats.org/officeDocument/2006/relationships/header" Target="header3.xml"/><Relationship Id="rId107" Type="http://schemas.openxmlformats.org/officeDocument/2006/relationships/footer" Target="footer48.xml"/><Relationship Id="rId11" Type="http://schemas.openxmlformats.org/officeDocument/2006/relationships/image" Target="media/image1.emf"/><Relationship Id="rId32" Type="http://schemas.openxmlformats.org/officeDocument/2006/relationships/footer" Target="footer10.xml"/><Relationship Id="rId37" Type="http://schemas.openxmlformats.org/officeDocument/2006/relationships/header" Target="header14.xml"/><Relationship Id="rId53" Type="http://schemas.openxmlformats.org/officeDocument/2006/relationships/footer" Target="footer21.xml"/><Relationship Id="rId58" Type="http://schemas.openxmlformats.org/officeDocument/2006/relationships/header" Target="header24.xml"/><Relationship Id="rId74" Type="http://schemas.openxmlformats.org/officeDocument/2006/relationships/footer" Target="footer31.xml"/><Relationship Id="rId79" Type="http://schemas.openxmlformats.org/officeDocument/2006/relationships/footer" Target="footer34.xml"/><Relationship Id="rId102" Type="http://schemas.openxmlformats.org/officeDocument/2006/relationships/header" Target="header46.xml"/><Relationship Id="rId123" Type="http://schemas.openxmlformats.org/officeDocument/2006/relationships/footer" Target="footer56.xml"/><Relationship Id="rId128" Type="http://schemas.openxmlformats.org/officeDocument/2006/relationships/header" Target="header59.xml"/><Relationship Id="rId5" Type="http://schemas.openxmlformats.org/officeDocument/2006/relationships/numbering" Target="numbering.xml"/><Relationship Id="rId90" Type="http://schemas.openxmlformats.org/officeDocument/2006/relationships/footer" Target="footer39.xml"/><Relationship Id="rId95" Type="http://schemas.openxmlformats.org/officeDocument/2006/relationships/header" Target="header43.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footer" Target="footer12.xml"/><Relationship Id="rId43" Type="http://schemas.openxmlformats.org/officeDocument/2006/relationships/header" Target="header17.xml"/><Relationship Id="rId48" Type="http://schemas.openxmlformats.org/officeDocument/2006/relationships/header" Target="header19.xml"/><Relationship Id="rId56" Type="http://schemas.openxmlformats.org/officeDocument/2006/relationships/footer" Target="footer22.xml"/><Relationship Id="rId64" Type="http://schemas.openxmlformats.org/officeDocument/2006/relationships/header" Target="header27.xml"/><Relationship Id="rId69" Type="http://schemas.openxmlformats.org/officeDocument/2006/relationships/footer" Target="footer29.xml"/><Relationship Id="rId77" Type="http://schemas.openxmlformats.org/officeDocument/2006/relationships/footer" Target="footer33.xml"/><Relationship Id="rId100" Type="http://schemas.openxmlformats.org/officeDocument/2006/relationships/header" Target="header45.xml"/><Relationship Id="rId105" Type="http://schemas.openxmlformats.org/officeDocument/2006/relationships/footer" Target="footer47.xml"/><Relationship Id="rId113" Type="http://schemas.openxmlformats.org/officeDocument/2006/relationships/footer" Target="footer51.xml"/><Relationship Id="rId118" Type="http://schemas.openxmlformats.org/officeDocument/2006/relationships/header" Target="header54.xml"/><Relationship Id="rId126" Type="http://schemas.openxmlformats.org/officeDocument/2006/relationships/header" Target="header58.xml"/><Relationship Id="rId8" Type="http://schemas.openxmlformats.org/officeDocument/2006/relationships/webSettings" Target="webSettings.xml"/><Relationship Id="rId51" Type="http://schemas.openxmlformats.org/officeDocument/2006/relationships/footer" Target="footer20.xml"/><Relationship Id="rId72" Type="http://schemas.openxmlformats.org/officeDocument/2006/relationships/header" Target="header31.xml"/><Relationship Id="rId80" Type="http://schemas.openxmlformats.org/officeDocument/2006/relationships/header" Target="header35.xml"/><Relationship Id="rId85" Type="http://schemas.openxmlformats.org/officeDocument/2006/relationships/footer" Target="footer37.xml"/><Relationship Id="rId93" Type="http://schemas.openxmlformats.org/officeDocument/2006/relationships/footer" Target="footer41.xml"/><Relationship Id="rId98" Type="http://schemas.openxmlformats.org/officeDocument/2006/relationships/header" Target="header44.xml"/><Relationship Id="rId121" Type="http://schemas.openxmlformats.org/officeDocument/2006/relationships/footer" Target="footer55.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8.xml"/><Relationship Id="rId33" Type="http://schemas.openxmlformats.org/officeDocument/2006/relationships/footer" Target="footer11.xml"/><Relationship Id="rId38" Type="http://schemas.openxmlformats.org/officeDocument/2006/relationships/footer" Target="footer13.xml"/><Relationship Id="rId46" Type="http://schemas.openxmlformats.org/officeDocument/2006/relationships/header" Target="header18.xml"/><Relationship Id="rId59" Type="http://schemas.openxmlformats.org/officeDocument/2006/relationships/footer" Target="footer24.xml"/><Relationship Id="rId67" Type="http://schemas.openxmlformats.org/officeDocument/2006/relationships/header" Target="header29.xml"/><Relationship Id="rId103" Type="http://schemas.openxmlformats.org/officeDocument/2006/relationships/footer" Target="footer46.xml"/><Relationship Id="rId108" Type="http://schemas.openxmlformats.org/officeDocument/2006/relationships/header" Target="header49.xml"/><Relationship Id="rId116" Type="http://schemas.openxmlformats.org/officeDocument/2006/relationships/header" Target="header53.xml"/><Relationship Id="rId124" Type="http://schemas.openxmlformats.org/officeDocument/2006/relationships/header" Target="header57.xml"/><Relationship Id="rId129" Type="http://schemas.openxmlformats.org/officeDocument/2006/relationships/footer" Target="footer59.xml"/><Relationship Id="rId20" Type="http://schemas.openxmlformats.org/officeDocument/2006/relationships/footer" Target="footer4.xml"/><Relationship Id="rId41" Type="http://schemas.openxmlformats.org/officeDocument/2006/relationships/footer" Target="footer15.xml"/><Relationship Id="rId54" Type="http://schemas.openxmlformats.org/officeDocument/2006/relationships/header" Target="header22.xml"/><Relationship Id="rId62" Type="http://schemas.openxmlformats.org/officeDocument/2006/relationships/footer" Target="footer25.xml"/><Relationship Id="rId70" Type="http://schemas.openxmlformats.org/officeDocument/2006/relationships/header" Target="header30.xml"/><Relationship Id="rId75" Type="http://schemas.openxmlformats.org/officeDocument/2006/relationships/footer" Target="footer32.xml"/><Relationship Id="rId83" Type="http://schemas.openxmlformats.org/officeDocument/2006/relationships/header" Target="header37.xml"/><Relationship Id="rId88" Type="http://schemas.openxmlformats.org/officeDocument/2006/relationships/header" Target="header39.xml"/><Relationship Id="rId91" Type="http://schemas.openxmlformats.org/officeDocument/2006/relationships/footer" Target="footer40.xml"/><Relationship Id="rId96" Type="http://schemas.openxmlformats.org/officeDocument/2006/relationships/footer" Target="footer42.xml"/><Relationship Id="rId111" Type="http://schemas.openxmlformats.org/officeDocument/2006/relationships/header" Target="header51.xml"/><Relationship Id="rId13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36" Type="http://schemas.openxmlformats.org/officeDocument/2006/relationships/header" Target="header13.xml"/><Relationship Id="rId49" Type="http://schemas.openxmlformats.org/officeDocument/2006/relationships/header" Target="header20.xml"/><Relationship Id="rId57" Type="http://schemas.openxmlformats.org/officeDocument/2006/relationships/footer" Target="footer23.xml"/><Relationship Id="rId106" Type="http://schemas.openxmlformats.org/officeDocument/2006/relationships/header" Target="header48.xml"/><Relationship Id="rId114" Type="http://schemas.openxmlformats.org/officeDocument/2006/relationships/header" Target="header52.xml"/><Relationship Id="rId119" Type="http://schemas.openxmlformats.org/officeDocument/2006/relationships/footer" Target="footer54.xml"/><Relationship Id="rId127" Type="http://schemas.openxmlformats.org/officeDocument/2006/relationships/footer" Target="footer58.xml"/><Relationship Id="rId10" Type="http://schemas.openxmlformats.org/officeDocument/2006/relationships/endnotes" Target="endnotes.xml"/><Relationship Id="rId31" Type="http://schemas.openxmlformats.org/officeDocument/2006/relationships/header" Target="header11.xml"/><Relationship Id="rId44" Type="http://schemas.openxmlformats.org/officeDocument/2006/relationships/footer" Target="footer16.xml"/><Relationship Id="rId52" Type="http://schemas.openxmlformats.org/officeDocument/2006/relationships/header" Target="header21.xml"/><Relationship Id="rId60" Type="http://schemas.openxmlformats.org/officeDocument/2006/relationships/header" Target="header25.xml"/><Relationship Id="rId65" Type="http://schemas.openxmlformats.org/officeDocument/2006/relationships/footer" Target="footer27.xml"/><Relationship Id="rId73" Type="http://schemas.openxmlformats.org/officeDocument/2006/relationships/header" Target="header32.xml"/><Relationship Id="rId78" Type="http://schemas.openxmlformats.org/officeDocument/2006/relationships/header" Target="header34.xml"/><Relationship Id="rId81" Type="http://schemas.openxmlformats.org/officeDocument/2006/relationships/footer" Target="footer35.xml"/><Relationship Id="rId86" Type="http://schemas.openxmlformats.org/officeDocument/2006/relationships/header" Target="header38.xml"/><Relationship Id="rId94" Type="http://schemas.openxmlformats.org/officeDocument/2006/relationships/header" Target="header42.xml"/><Relationship Id="rId99" Type="http://schemas.openxmlformats.org/officeDocument/2006/relationships/footer" Target="footer44.xml"/><Relationship Id="rId101" Type="http://schemas.openxmlformats.org/officeDocument/2006/relationships/footer" Target="footer45.xml"/><Relationship Id="rId122" Type="http://schemas.openxmlformats.org/officeDocument/2006/relationships/header" Target="header56.xml"/><Relationship Id="rId130" Type="http://schemas.openxmlformats.org/officeDocument/2006/relationships/header" Target="header60.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footer" Target="footer14.xml"/><Relationship Id="rId109" Type="http://schemas.openxmlformats.org/officeDocument/2006/relationships/footer" Target="footer49.xml"/><Relationship Id="rId34" Type="http://schemas.openxmlformats.org/officeDocument/2006/relationships/header" Target="header12.xml"/><Relationship Id="rId50" Type="http://schemas.openxmlformats.org/officeDocument/2006/relationships/footer" Target="footer19.xml"/><Relationship Id="rId55" Type="http://schemas.openxmlformats.org/officeDocument/2006/relationships/header" Target="header23.xml"/><Relationship Id="rId76" Type="http://schemas.openxmlformats.org/officeDocument/2006/relationships/header" Target="header33.xml"/><Relationship Id="rId97" Type="http://schemas.openxmlformats.org/officeDocument/2006/relationships/footer" Target="footer43.xml"/><Relationship Id="rId104" Type="http://schemas.openxmlformats.org/officeDocument/2006/relationships/header" Target="header47.xml"/><Relationship Id="rId120" Type="http://schemas.openxmlformats.org/officeDocument/2006/relationships/header" Target="header55.xml"/><Relationship Id="rId125" Type="http://schemas.openxmlformats.org/officeDocument/2006/relationships/footer" Target="footer57.xml"/><Relationship Id="rId7" Type="http://schemas.openxmlformats.org/officeDocument/2006/relationships/settings" Target="settings.xml"/><Relationship Id="rId71" Type="http://schemas.openxmlformats.org/officeDocument/2006/relationships/footer" Target="footer30.xml"/><Relationship Id="rId92" Type="http://schemas.openxmlformats.org/officeDocument/2006/relationships/header" Target="header41.xml"/><Relationship Id="rId2" Type="http://schemas.openxmlformats.org/officeDocument/2006/relationships/customXml" Target="../customXml/item2.xml"/><Relationship Id="rId29" Type="http://schemas.openxmlformats.org/officeDocument/2006/relationships/footer" Target="footer9.xml"/><Relationship Id="rId24" Type="http://schemas.openxmlformats.org/officeDocument/2006/relationships/header" Target="header7.xml"/><Relationship Id="rId40" Type="http://schemas.openxmlformats.org/officeDocument/2006/relationships/header" Target="header15.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footer" Target="footer38.xml"/><Relationship Id="rId110" Type="http://schemas.openxmlformats.org/officeDocument/2006/relationships/header" Target="header50.xml"/><Relationship Id="rId115" Type="http://schemas.openxmlformats.org/officeDocument/2006/relationships/footer" Target="footer52.xml"/><Relationship Id="rId131" Type="http://schemas.openxmlformats.org/officeDocument/2006/relationships/footer" Target="footer60.xml"/><Relationship Id="rId61" Type="http://schemas.openxmlformats.org/officeDocument/2006/relationships/header" Target="header26.xml"/><Relationship Id="rId82" Type="http://schemas.openxmlformats.org/officeDocument/2006/relationships/header" Target="header36.xml"/><Relationship Id="rId19"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1198b08-d09d-409c-a169-ca1eb44fa897" xsi:nil="true"/>
    <lcf76f155ced4ddcb4097134ff3c332f xmlns="69540217-dd4d-4552-b080-f316f8754f8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904E1EBFBC69D4E9F6EFDF5C754386E" ma:contentTypeVersion="16" ma:contentTypeDescription="Create a new document." ma:contentTypeScope="" ma:versionID="dd72b0324ba1bc46df9db2936d5e3f4c">
  <xsd:schema xmlns:xsd="http://www.w3.org/2001/XMLSchema" xmlns:xs="http://www.w3.org/2001/XMLSchema" xmlns:p="http://schemas.microsoft.com/office/2006/metadata/properties" xmlns:ns2="69540217-dd4d-4552-b080-f316f8754f84" xmlns:ns3="41198b08-d09d-409c-a169-ca1eb44fa897" targetNamespace="http://schemas.microsoft.com/office/2006/metadata/properties" ma:root="true" ma:fieldsID="5f650c50da735bfe429d6c471b96cda8" ns2:_="" ns3:_="">
    <xsd:import namespace="69540217-dd4d-4552-b080-f316f8754f84"/>
    <xsd:import namespace="41198b08-d09d-409c-a169-ca1eb44fa89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540217-dd4d-4552-b080-f316f8754f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1198b08-d09d-409c-a169-ca1eb44fa89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6b26485-ab18-407d-bb14-1129d8d1ec71}" ma:internalName="TaxCatchAll" ma:showField="CatchAllData" ma:web="41198b08-d09d-409c-a169-ca1eb44fa8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1B3A3C-6834-4398-A32D-2C6EDD04C92D}">
  <ds:schemaRefs>
    <ds:schemaRef ds:uri="http://purl.org/dc/elements/1.1/"/>
    <ds:schemaRef ds:uri="http://purl.org/dc/dcmitype/"/>
    <ds:schemaRef ds:uri="http://www.w3.org/XML/1998/namespace"/>
    <ds:schemaRef ds:uri="http://schemas.microsoft.com/office/2006/documentManagement/types"/>
    <ds:schemaRef ds:uri="http://purl.org/dc/terms/"/>
    <ds:schemaRef ds:uri="http://schemas.microsoft.com/office/infopath/2007/PartnerControls"/>
    <ds:schemaRef ds:uri="41198b08-d09d-409c-a169-ca1eb44fa897"/>
    <ds:schemaRef ds:uri="http://schemas.openxmlformats.org/package/2006/metadata/core-properties"/>
    <ds:schemaRef ds:uri="69540217-dd4d-4552-b080-f316f8754f84"/>
    <ds:schemaRef ds:uri="http://schemas.microsoft.com/office/2006/metadata/properties"/>
  </ds:schemaRefs>
</ds:datastoreItem>
</file>

<file path=customXml/itemProps2.xml><?xml version="1.0" encoding="utf-8"?>
<ds:datastoreItem xmlns:ds="http://schemas.openxmlformats.org/officeDocument/2006/customXml" ds:itemID="{3C3F91A7-3617-4E71-8288-2C645E5841A9}">
  <ds:schemaRefs>
    <ds:schemaRef ds:uri="http://schemas.microsoft.com/sharepoint/v3/contenttype/forms"/>
  </ds:schemaRefs>
</ds:datastoreItem>
</file>

<file path=customXml/itemProps3.xml><?xml version="1.0" encoding="utf-8"?>
<ds:datastoreItem xmlns:ds="http://schemas.openxmlformats.org/officeDocument/2006/customXml" ds:itemID="{7C164D12-D13F-4DC2-8D5D-747A487C66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540217-dd4d-4552-b080-f316f8754f84"/>
    <ds:schemaRef ds:uri="41198b08-d09d-409c-a169-ca1eb44fa8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10E9354-E273-4F35-A6B2-5D4596F0830F}">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Normal.dotm</Template>
  <TotalTime>440</TotalTime>
  <Pages>7</Pages>
  <Words>42183</Words>
  <Characters>240448</Characters>
  <Application>Microsoft Office Word</Application>
  <DocSecurity>0</DocSecurity>
  <Lines>2003</Lines>
  <Paragraphs>564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282067</CharactersWithSpaces>
  <SharedDoc>false</SharedDoc>
  <HLinks>
    <vt:vector size="48" baseType="variant">
      <vt:variant>
        <vt:i4>2097175</vt:i4>
      </vt:variant>
      <vt:variant>
        <vt:i4>21</vt:i4>
      </vt:variant>
      <vt:variant>
        <vt:i4>0</vt:i4>
      </vt:variant>
      <vt:variant>
        <vt:i4>5</vt:i4>
      </vt:variant>
      <vt:variant>
        <vt:lpwstr>mailto:Manuele.ZANNINI@ec.europa.eu</vt:lpwstr>
      </vt:variant>
      <vt:variant>
        <vt:lpwstr/>
      </vt:variant>
      <vt:variant>
        <vt:i4>2097175</vt:i4>
      </vt:variant>
      <vt:variant>
        <vt:i4>18</vt:i4>
      </vt:variant>
      <vt:variant>
        <vt:i4>0</vt:i4>
      </vt:variant>
      <vt:variant>
        <vt:i4>5</vt:i4>
      </vt:variant>
      <vt:variant>
        <vt:lpwstr>mailto:Manuele.ZANNINI@ec.europa.eu</vt:lpwstr>
      </vt:variant>
      <vt:variant>
        <vt:lpwstr/>
      </vt:variant>
      <vt:variant>
        <vt:i4>5308527</vt:i4>
      </vt:variant>
      <vt:variant>
        <vt:i4>15</vt:i4>
      </vt:variant>
      <vt:variant>
        <vt:i4>0</vt:i4>
      </vt:variant>
      <vt:variant>
        <vt:i4>5</vt:i4>
      </vt:variant>
      <vt:variant>
        <vt:lpwstr>mailto:Andrea.COLOMBO@ec.europa.eu</vt:lpwstr>
      </vt:variant>
      <vt:variant>
        <vt:lpwstr/>
      </vt:variant>
      <vt:variant>
        <vt:i4>6422528</vt:i4>
      </vt:variant>
      <vt:variant>
        <vt:i4>12</vt:i4>
      </vt:variant>
      <vt:variant>
        <vt:i4>0</vt:i4>
      </vt:variant>
      <vt:variant>
        <vt:i4>5</vt:i4>
      </vt:variant>
      <vt:variant>
        <vt:lpwstr>mailto:Gabriella.ELBERT-OLGYAY@ec.europa.eu</vt:lpwstr>
      </vt:variant>
      <vt:variant>
        <vt:lpwstr/>
      </vt:variant>
      <vt:variant>
        <vt:i4>6291525</vt:i4>
      </vt:variant>
      <vt:variant>
        <vt:i4>9</vt:i4>
      </vt:variant>
      <vt:variant>
        <vt:i4>0</vt:i4>
      </vt:variant>
      <vt:variant>
        <vt:i4>5</vt:i4>
      </vt:variant>
      <vt:variant>
        <vt:lpwstr>mailto:Liliana.ZUGO@ec.europa.eu</vt:lpwstr>
      </vt:variant>
      <vt:variant>
        <vt:lpwstr/>
      </vt:variant>
      <vt:variant>
        <vt:i4>6291525</vt:i4>
      </vt:variant>
      <vt:variant>
        <vt:i4>6</vt:i4>
      </vt:variant>
      <vt:variant>
        <vt:i4>0</vt:i4>
      </vt:variant>
      <vt:variant>
        <vt:i4>5</vt:i4>
      </vt:variant>
      <vt:variant>
        <vt:lpwstr>mailto:Liliana.ZUGO@ec.europa.eu</vt:lpwstr>
      </vt:variant>
      <vt:variant>
        <vt:lpwstr/>
      </vt:variant>
      <vt:variant>
        <vt:i4>6029419</vt:i4>
      </vt:variant>
      <vt:variant>
        <vt:i4>3</vt:i4>
      </vt:variant>
      <vt:variant>
        <vt:i4>0</vt:i4>
      </vt:variant>
      <vt:variant>
        <vt:i4>5</vt:i4>
      </vt:variant>
      <vt:variant>
        <vt:lpwstr>mailto:Ioana.CIUCANU@ec.europa.eu</vt:lpwstr>
      </vt:variant>
      <vt:variant>
        <vt:lpwstr/>
      </vt:variant>
      <vt:variant>
        <vt:i4>6029419</vt:i4>
      </vt:variant>
      <vt:variant>
        <vt:i4>0</vt:i4>
      </vt:variant>
      <vt:variant>
        <vt:i4>0</vt:i4>
      </vt:variant>
      <vt:variant>
        <vt:i4>5</vt:i4>
      </vt:variant>
      <vt:variant>
        <vt:lpwstr>mailto:Ioana.CIUCANU@ec.europa.eu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54</cp:revision>
  <cp:lastPrinted>2026-03-04T00:28:00Z</cp:lastPrinted>
  <dcterms:created xsi:type="dcterms:W3CDTF">2026-06-16T14:26:00Z</dcterms:created>
  <dcterms:modified xsi:type="dcterms:W3CDTF">2026-06-25T13:17:00Z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Created using">
    <vt:lpwstr>LW 9.2, Build 20250828</vt:lpwstr>
  </property>
  <property fmtid="{D5CDD505-2E9C-101B-9397-08002B2CF9AE}" pid="4" name="Category">
    <vt:lpwstr>DW/RECTIF/FINAL</vt:lpwstr>
  </property>
  <property fmtid="{D5CDD505-2E9C-101B-9397-08002B2CF9AE}" pid="5" name="MSIP_Label_af60b174-6478-47f9-866e-33f097bb6603_Enabled">
    <vt:lpwstr>true</vt:lpwstr>
  </property>
  <property fmtid="{D5CDD505-2E9C-101B-9397-08002B2CF9AE}" pid="6" name="MSIP_Label_af60b174-6478-47f9-866e-33f097bb6603_SetDate">
    <vt:lpwstr>2024-10-14T08:03:30Z</vt:lpwstr>
  </property>
  <property fmtid="{D5CDD505-2E9C-101B-9397-08002B2CF9AE}" pid="7" name="MSIP_Label_af60b174-6478-47f9-866e-33f097bb6603_Method">
    <vt:lpwstr>Privileged</vt:lpwstr>
  </property>
  <property fmtid="{D5CDD505-2E9C-101B-9397-08002B2CF9AE}" pid="8" name="MSIP_Label_af60b174-6478-47f9-866e-33f097bb6603_Name">
    <vt:lpwstr>GSCEU - PUBLIC Label</vt:lpwstr>
  </property>
  <property fmtid="{D5CDD505-2E9C-101B-9397-08002B2CF9AE}" pid="9" name="MSIP_Label_af60b174-6478-47f9-866e-33f097bb6603_SiteId">
    <vt:lpwstr>03ad1c97-0a4d-4e82-8f93-27291a6a0767</vt:lpwstr>
  </property>
  <property fmtid="{D5CDD505-2E9C-101B-9397-08002B2CF9AE}" pid="10" name="MSIP_Label_af60b174-6478-47f9-866e-33f097bb6603_ActionId">
    <vt:lpwstr>703e5db1-cfb1-4fa8-9264-c43daf6c0221</vt:lpwstr>
  </property>
  <property fmtid="{D5CDD505-2E9C-101B-9397-08002B2CF9AE}" pid="11" name="MSIP_Label_af60b174-6478-47f9-866e-33f097bb6603_ContentBits">
    <vt:lpwstr>0</vt:lpwstr>
  </property>
  <property fmtid="{D5CDD505-2E9C-101B-9397-08002B2CF9AE}" pid="12" name="MSIP_Label_6bd9ddd1-4d20-43f6-abfa-fc3c07406f94_Enabled">
    <vt:lpwstr>true</vt:lpwstr>
  </property>
  <property fmtid="{D5CDD505-2E9C-101B-9397-08002B2CF9AE}" pid="13" name="MSIP_Label_6bd9ddd1-4d20-43f6-abfa-fc3c07406f94_SetDate">
    <vt:lpwstr>2025-07-18T13:07:03Z</vt:lpwstr>
  </property>
  <property fmtid="{D5CDD505-2E9C-101B-9397-08002B2CF9AE}" pid="14" name="MSIP_Label_6bd9ddd1-4d20-43f6-abfa-fc3c07406f94_Method">
    <vt:lpwstr>Standard</vt:lpwstr>
  </property>
  <property fmtid="{D5CDD505-2E9C-101B-9397-08002B2CF9AE}" pid="15" name="MSIP_Label_6bd9ddd1-4d20-43f6-abfa-fc3c07406f94_Name">
    <vt:lpwstr>Commission Use</vt:lpwstr>
  </property>
  <property fmtid="{D5CDD505-2E9C-101B-9397-08002B2CF9AE}" pid="16" name="MSIP_Label_6bd9ddd1-4d20-43f6-abfa-fc3c07406f94_SiteId">
    <vt:lpwstr>b24c8b06-522c-46fe-9080-70926f8dddb1</vt:lpwstr>
  </property>
  <property fmtid="{D5CDD505-2E9C-101B-9397-08002B2CF9AE}" pid="17" name="MSIP_Label_6bd9ddd1-4d20-43f6-abfa-fc3c07406f94_ActionId">
    <vt:lpwstr>54c2d3b8-09b6-4201-9885-1c953b859d97</vt:lpwstr>
  </property>
  <property fmtid="{D5CDD505-2E9C-101B-9397-08002B2CF9AE}" pid="18" name="MSIP_Label_6bd9ddd1-4d20-43f6-abfa-fc3c07406f94_ContentBits">
    <vt:lpwstr>0</vt:lpwstr>
  </property>
  <property fmtid="{D5CDD505-2E9C-101B-9397-08002B2CF9AE}" pid="19" name="MSIP_Label_6bd9ddd1-4d20-43f6-abfa-fc3c07406f94_Tag">
    <vt:lpwstr>10, 3, 0, 1</vt:lpwstr>
  </property>
  <property fmtid="{D5CDD505-2E9C-101B-9397-08002B2CF9AE}" pid="20" name="ContentTypeId">
    <vt:lpwstr>0x0101001904E1EBFBC69D4E9F6EFDF5C754386E</vt:lpwstr>
  </property>
  <property fmtid="{D5CDD505-2E9C-101B-9397-08002B2CF9AE}" pid="21" name="MediaServiceImageTags">
    <vt:lpwstr/>
  </property>
  <property fmtid="{D5CDD505-2E9C-101B-9397-08002B2CF9AE}" pid="22" name="Level of sensitivity">
    <vt:lpwstr>Standard treatment</vt:lpwstr>
  </property>
  <property fmtid="{D5CDD505-2E9C-101B-9397-08002B2CF9AE}" pid="23" name="DocStatus">
    <vt:lpwstr>Green</vt:lpwstr>
  </property>
  <property fmtid="{D5CDD505-2E9C-101B-9397-08002B2CF9AE}" pid="24" name="First annex">
    <vt:lpwstr>1</vt:lpwstr>
  </property>
  <property fmtid="{D5CDD505-2E9C-101B-9397-08002B2CF9AE}" pid="25" name="Last annex">
    <vt:lpwstr>1</vt:lpwstr>
  </property>
  <property fmtid="{D5CDD505-2E9C-101B-9397-08002B2CF9AE}" pid="26" name="Unique annex">
    <vt:lpwstr>1</vt:lpwstr>
  </property>
  <property fmtid="{D5CDD505-2E9C-101B-9397-08002B2CF9AE}" pid="27" name="Part">
    <vt:lpwstr>1</vt:lpwstr>
  </property>
  <property fmtid="{D5CDD505-2E9C-101B-9397-08002B2CF9AE}" pid="28" name="Total parts">
    <vt:lpwstr>1</vt:lpwstr>
  </property>
  <property fmtid="{D5CDD505-2E9C-101B-9397-08002B2CF9AE}" pid="29" name="CPTemplateID">
    <vt:lpwstr>CP-036</vt:lpwstr>
  </property>
  <property fmtid="{D5CDD505-2E9C-101B-9397-08002B2CF9AE}" pid="30" name="MSIP_Label_b1df41d6-74a9-4a97-809c-213cd32520cc_Enabled">
    <vt:lpwstr>true</vt:lpwstr>
  </property>
  <property fmtid="{D5CDD505-2E9C-101B-9397-08002B2CF9AE}" pid="31" name="MSIP_Label_b1df41d6-74a9-4a97-809c-213cd32520cc_SetDate">
    <vt:lpwstr>2023-11-23T10:11:22Z</vt:lpwstr>
  </property>
  <property fmtid="{D5CDD505-2E9C-101B-9397-08002B2CF9AE}" pid="32" name="MSIP_Label_b1df41d6-74a9-4a97-809c-213cd32520cc_Method">
    <vt:lpwstr>Privileged</vt:lpwstr>
  </property>
  <property fmtid="{D5CDD505-2E9C-101B-9397-08002B2CF9AE}" pid="33" name="MSIP_Label_b1df41d6-74a9-4a97-809c-213cd32520cc_Name">
    <vt:lpwstr>GSCEU - NON PUBLIC Label</vt:lpwstr>
  </property>
  <property fmtid="{D5CDD505-2E9C-101B-9397-08002B2CF9AE}" pid="34" name="MSIP_Label_b1df41d6-74a9-4a97-809c-213cd32520cc_SiteId">
    <vt:lpwstr>03ad1c97-0a4d-4e82-8f93-27291a6a0767</vt:lpwstr>
  </property>
  <property fmtid="{D5CDD505-2E9C-101B-9397-08002B2CF9AE}" pid="35" name="MSIP_Label_b1df41d6-74a9-4a97-809c-213cd32520cc_ActionId">
    <vt:lpwstr>28c01988-2cd0-44a3-825d-25252de6429b</vt:lpwstr>
  </property>
  <property fmtid="{D5CDD505-2E9C-101B-9397-08002B2CF9AE}" pid="36" name="MSIP_Label_b1df41d6-74a9-4a97-809c-213cd32520cc_ContentBits">
    <vt:lpwstr>0</vt:lpwstr>
  </property>
</Properties>
</file>